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1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Категории получателей субсидии, результат предоставления субсидии,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размер субсидии и направления затрат, на возмещение которых предоставляется субсидия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7513"/>
      </w:tblGrid>
      <w:tr>
        <w:tc>
          <w:tcPr>
            <w:tcW w:w="50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  <w:t xml:space="preserve">Категории получателей субсидии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субсидии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и направления затрат, на возмещение которых предоставляется субсидия</w:t>
            </w:r>
          </w:p>
        </w:tc>
      </w:tr>
      <w:tr>
        <w:tc>
          <w:tcPr>
            <w:tcW w:w="50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(далее – субъекты МСП),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O, S (за исключением кодов 95 и 96), T, U Общероссийского классификатора видов экономической деятельности (ОК 029-2014 (КДЕС Ред. 2), субъекты МСП, в отношении которых в единый реестр субъектов МСП внесено указание о том, что они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предприятием, осуществившие приобретение оборудования в целях создания и (или) развития, и (или) модернизации производства товаров (работ, услуг) и (или) заключившие договор лизинга, со следующим предметом лизинга: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универсальные мобильные платформы (мобильная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нестационарные объекты для ведения предпринимательской деятельности субъектами МСП (временные сооружения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среднесписочной численности работников в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количестве, указанном в заявке, и (или)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(дохода) на одного работника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(учитывается только среднесписочная численность) в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субсидии, в размере, указанном в заявке, при сохранении среднесписочной численности работников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 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налогообложения), но не более запрашиваемого размера субсидии, указанного в заявке;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 20% от фактически произведенных на момент подачи заявки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 50% от первого взноса (аванса) при заключении договора лизинга оборудования, но не более запрашиваемого размера субсидии, указанного в заявке.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расчетный размер субсидии меньше запрашиваемого размера субсидии, указанного в заявке, субсидия предоставляется в расчетном размере.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субсидий, указанных в подпунктах «а» – «в», должна составлять не более 5,0 млн рублей на одного получателя субсидии, а также не должна превышать размер фактически уплаченных получателем субсидии 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возмещение части затрат на приобретение и (или) лизинг оборудования, используемого для основной деятельности субъектов МСП </w:t>
            </w:r>
            <w:hyperlink w:anchor="Par1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перечисляется единовременно.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</w:p>
    <w:p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>
        <w:rPr>
          <w:rFonts w:ascii="Times New Roman" w:hAnsi="Times New Roman" w:cs="Times New Roman"/>
          <w:sz w:val="28"/>
          <w:szCs w:val="28"/>
        </w:rPr>
        <w:t xml:space="preserve">____________</w:t>
      </w:r>
    </w:p>
    <w:p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_________»</w:t>
      </w:r>
    </w:p>
    <w:sectPr>
      <w:type w:val="continuous"/>
      <w:pgSz w:w="16838" w:h="11906" w:orient="landscape"/>
      <w:pgMar w:top="1418" w:right="1134" w:bottom="567" w:left="1134" w:header="567" w:footer="56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LAW&amp;n=462157&amp;dst=105016" TargetMode="External"/><Relationship Id="rId7" Type="http://schemas.openxmlformats.org/officeDocument/2006/relationships/hyperlink" Target="https://login.consultant.ru/link/?req=doc&amp;base=LAW&amp;n=462157&amp;dst=10502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5777</Characters>
  <CharactersWithSpaces>6777</CharactersWithSpaces>
  <Company>АГНОиПНО</Company>
  <DocSecurity>0</DocSecurity>
  <HyperlinksChanged>false</HyperlinksChanged>
  <Lines>48</Lines>
  <LinksUpToDate>false</LinksUpToDate>
  <Pages>3</Pages>
  <Paragraphs>13</Paragraphs>
  <ScaleCrop>false</ScaleCrop>
  <SharedDoc>false</SharedDoc>
  <Template>Normal</Template>
  <TotalTime>6</TotalTime>
  <Words>1013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2024-06-24T15:49:00Z</dcterms:created>
  <dcterms:modified xsi:type="dcterms:W3CDTF">2024-06-24T15:49:00Z</dcterms:modified>
</cp:coreProperties>
</file>