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14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от 31.01.2017 № 14-п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</w:t>
      </w:r>
    </w:p>
    <w:p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 Общие положения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0" w:tooltip="https://login.consultant.ru/link/?req=doc&amp;base=RLAW049&amp;n=166123&amp;dst=100472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грантов в форме субсидий социальным предприятиям и (или) молодым предпринимателям на 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</w:t>
      </w:r>
      <w:bookmarkStart w:id="0" w:name="_Hlk169644695"/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гранты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Под социальными предприятиями в целях настоящего Порядка понимаются субъекты малого и среднего предпринимательства (далее – субъекты МСП), в отношении которых в единый реестр субъектов МСП внесено указание о том, что они являются социальным предприятием.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</w:t>
      </w:r>
      <w:r>
        <w:rPr>
          <w:rFonts w:ascii="Times New Roman" w:hAnsi="Times New Roman" w:cs="Times New Roman"/>
          <w:sz w:val="28"/>
          <w:szCs w:val="28"/>
        </w:rPr>
        <w:t xml:space="preserve">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Гранты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грантов осуществляется в пределах лимитов бюджетных обязательств, утвержденных на реализацию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Информация о грантах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Гранты предоставляются в целях реализации регионального проекта Новосибирской области «Создание условий для легкого старта и комфортного ведения бизнеса»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Определение получателей грантов осуществляется по результатам отбора путем проведения конкурса, организатором которого является Министерство (далее - отбор).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 1781 (далее – Правила отбора).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 Условия и порядок предоставления гранта</w:t>
      </w:r>
    </w:p>
    <w:p>
      <w:pPr>
        <w:widowControl w:val="o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 Гранты предоставляются при соответствии получателя гранта (участника отбора) на дату рассмотрения заявки следующим требованиям: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сведения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участника отбора социальным предприятием в порядке, определенном в соответствии с частью 3 статьи 24.1 Федерального закона № 209-ФЗ, внесены в единый реестр субъектов МСП в период с 10 июля по 31 декабря года предоставления гранта – для социальных предприятий;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 субъект МСП, подтвердивший статус социального предприятия, реализует ранее созданный проект в сфере социального предпринимательства – для социальных предприятий;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 субъект МСП, впервые признанный социальным предприятием, прошел обучение в рамках обучающей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предпринимательства, проведение которой организовано автономной некоммерческой организацией «Центр содействия развитию предпринимательства Новосибирской области» (далее – АНО «ЦСРП НСО») или акционерным обществом «Федеральная корпорация по развитию малого и среднего предпринимательства» (далее – Корпорация МСП) – для социальных предприятий;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4) субъект МСП, соответствующий пункту 3 настоящего Порядка,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деятельности, проведение которой организовано проведение которой организовано АНО «ЦСРП НСО» или Корпорацией МСП – для молодых предпринимателей;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является участником соглашений о разделе продукции;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 не осуществляет предпринимательскую деятельность в сфере игорного бизнеса;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обществ;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6 настоящего Порядка;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16) представлены документы, указанные в приложении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 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 отбора подают заявку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разделом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 отбора с приложением документов, указанных в приложении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Порядку (далее - документы).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 Проверка участника отбора (получателя гранта) на соответствие требованиям, указанным в пункте 10 настоящего Порядка, осуществляется в срок не позднее трех рабочих дней до дня начала оценки заявок, указанного в объявлении о проведении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отбора,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Правилами отбора.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Основаниями для отказа в предоставлении гранта являются: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гранта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получателем гранта информации;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получателя гранта требованиям, установленным в пункте 10 настоящего Порядка;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 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недостаточность лимитов бюджетных обязательств, утвержденных на предоставление грантов на соответствующий финансовый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14. Направления расходов, источником финансового обеспечения которых является грант, указаны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4"/>
        </w:rPr>
        <w:t xml:space="preserve"> «Результат предоставления гранта, размер гранта и направления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 xml:space="preserve">» к настоящему Порядку.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15. При предоставлении гранта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16. Размер гранта установлен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Грант предоставляется при условии софинансирования социальным предприятием или молодым предпринимателем расходов, связанных с реализацией проекта, в размере не менее 25% от размера расходов, предусмотренных на реализацию проекта и указанных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Порядку, которое также предоставляется в целях финансового обеспечения данных расходов.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настоящем пункте условие проверяется на любую дату в течение периода, равного 30 календарным дням, предшествующего дате подачи заявки.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18. Результат предоставления гранта установлен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 xml:space="preserve">» к настоящему Порядку.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</w:t>
      </w: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 xml:space="preserve"> Министерство заключает с получателем гранта соглашение о предоставлении гранта (далее - соглашение) в течение 25 рабочих дней со дня подписания протокола подведения итогов отбора.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Соглашение заключается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ГИИС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 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 199н).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В соглашении в том числе должны содержаться: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дата достижения и значение результата предоставления гранта;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гранта; 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график перечисления гранта; 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согласие получателя гранта на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статьями 268.1 и 269.2 Бюджетного кодекса Российской Федерации;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3 настоящего Порядка, приводящего к невозможности предоставления гранта в размере, определенном в соглашении;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обязательство получателя гранта 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11" w:tooltip="https://login.consultant.ru/link/?req=doc&amp;base=LAW&amp;n=470713&amp;dst=3704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269.2 Бюджетного кодекса Российской Федерации;</w:t>
      </w:r>
    </w:p>
    <w:p>
      <w:pPr>
        <w:widowControl w:val="off"/>
        <w:shd w:val="clear" w:color="ffffff" w:themeColor="background1" w:fill="ffffff" w:themeFill="background1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запрет приобретения за счет средств гранта получателем гранта - юридическим лицом иностранной валюты, за исключением операций, осуществляемых в соответствии с валютным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при закупке (поставке) высокотехнологичного импортного оборудования, сырья и комплектующих изделий;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возможность осуществления расходов, источником финансового обеспечения которых являются не использованные в отчетном финансовом году остатки гранта,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 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- в случае, если грант в соответствии с бюджетным законодательством Российской Федерации подлежит казначейскому сопровождению;</w:t>
      </w:r>
    </w:p>
    <w:p>
      <w:pPr>
        <w:widowControl w:val="off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обязательство получателя гранта ежегодно в течение трех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 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прохождение военной службы по контракту),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Министерства.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Перечисление гранта осуществляется в соответствии с графиком, установленным соглашением.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 xml:space="preserve">32. Заявление о наличии потребности в остатке гранта (далее - заявление) представляется в Министерство в произвольной письменной форме с указанием: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получателя гранта;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- решение о возврате);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целей предоставления гранта;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размера остатка гранта с указанием суммы, в отношении которой требуется подтверждение потребности.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- пояснительная записка).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 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Заявление регистрируется в Министерстве в течение одного рабочего дня, следующего за днем его поступления.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Министерство принимает решение о наличии потребности в следующих случаях: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расходы, которые планируется осуществить за счет остатка гранта, соответствуют затратам, подлежащим субсидированию, указанным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представленные получателем гранта заявление и пояснительная записка соответствуют требованиям, определенным пунктом 32 настоящего Порядка.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Министерство принимает решение о возврате в следующих случаях: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расходы, которые планируется осуществить за счет остатка гранта, не соответствуют затратам, подлежащим субсидированию, указанным в приложении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непредставление заявления или пояснительной записки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или их несоответствие требованиям, определенным пунктом 32 настоящего Порядка.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В случае непредставления получателем гранта в Министерство заявления и пояснительной записки в срок, установленный в пункте 31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возврате в течение десяти рабочих дней после истечения данного срока.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Принятое решение о наличии потребности в остатке гранта или решение о возврате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пяти рабочих дней со дня принятия.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остатка гранта в указанный срок Министерство обязано принять меры для его возврата в судебном порядке.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 Размер остатка гранта, подлежащий возврату (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), определяется по формуле:</w:t>
      </w: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 = S -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x 0,75, где: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размер гранта, предоставленного в соответствии с соглашением;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- размер фактически израсходованных получателем гранта средств на цели, указанные в соглашении.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Расходование неиспользованного остатка гранта осуществляется до 1 апреля текущего финансового года.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 Требования к отчетности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Получатели грантов представляют в ГИИС «Электронный бюджет» по формам, определенным формой соглашения, утвержденной приказом № 199н: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грант, -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гранта - не позднее 20-го рабочего дня года, следующего за годом предоставления гранта, и второго года, следующего за годом предоставления гранта.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44. Министерство осуществляет проверку и принятие отчета о</w:t>
      </w:r>
      <w:r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грант,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60 рабочих дней со дня предоставления такого отчета.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проверку и принятие отчета о достижении результата предоставления гранта, в течение 60 рабочих дней со дня предоставления такого отчета.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Получатели грантов несут ответственность за достоверность представленных сведений об использовании грантов в соответствии с действующим законодательством Российской Федерации.</w:t>
      </w: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грантов и ответственности за их нарушения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При предоставлении грантов Министерством проводится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гранта, а также проверка органами государственного финансового контроля в соответствии со </w:t>
      </w:r>
      <w:hyperlink r:id="rId12" w:tooltip="https://login.consultant.ru/link/?req=doc&amp;base=LAW&amp;n=465808&amp;dst=3704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https://login.consultant.ru/link/?req=doc&amp;base=LAW&amp;n=465808&amp;dst=3722" w:history="1">
        <w:r>
          <w:rPr>
            <w:rFonts w:ascii="Times New Roman" w:hAnsi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В случае если получателем гранта по итогам года, следующего за годом предоставления гранта, допущены нарушения обязательств по достижению значения результата предоставления гранта, выявленные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размере пропорционально недостижению значения результата предоставления гранта в течение 30 рабочих дней со дня предъявления Министерством требования о возврате.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В случае невозврата гранта в сроки, указанные в пунктах 46, 47 настоящего Порядка, Министерство обязано принять меры для возврата гранта в судебном порядке.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При предоставлении грантов Министерством проводится мониторинг достижения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sectPr>
      <w:headerReference w:type="default" r:id="rId8"/>
      <w:pgSz w:w="11906" w:h="16838"/>
      <w:pgMar w:top="1134" w:right="567" w:bottom="1134" w:left="1418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7901013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10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049&amp;n=166123&amp;dst=100472" TargetMode="External"/><Relationship Id="rId11" Type="http://schemas.openxmlformats.org/officeDocument/2006/relationships/hyperlink" Target="https://login.consultant.ru/link/?req=doc&amp;base=LAW&amp;n=470713&amp;dst=3704" TargetMode="External"/><Relationship Id="rId12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login.consultant.ru/link/?req=doc&amp;base=LAW&amp;n=465808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AFB24-BC5E-4472-8BA6-7184C2A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25938</Characters>
  <CharactersWithSpaces>30428</CharactersWithSpaces>
  <Company>АГНОиПНО</Company>
  <DocSecurity>0</DocSecurity>
  <HyperlinksChanged>false</HyperlinksChanged>
  <Lines>216</Lines>
  <LinksUpToDate>false</LinksUpToDate>
  <Pages>11</Pages>
  <Paragraphs>60</Paragraphs>
  <ScaleCrop>false</ScaleCrop>
  <SharedDoc>false</SharedDoc>
  <Template>Normal</Template>
  <TotalTime>3</TotalTime>
  <Words>4550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 Алексей</cp:lastModifiedBy>
  <cp:revision>2</cp:revision>
  <dcterms:created xsi:type="dcterms:W3CDTF">2024-06-18T16:33:00Z</dcterms:created>
  <dcterms:modified xsi:type="dcterms:W3CDTF">2024-06-18T16:33:00Z</dcterms:modified>
</cp:coreProperties>
</file>