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 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</w:p>
    <w:p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предоставления грантов в форме субсидий юридическим лицам,</w:t>
      </w:r>
    </w:p>
    <w:p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 - производителям товаров, работ, услуг на реализацию мероприятий</w:t>
      </w:r>
    </w:p>
    <w:p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«Развитие субъектов малого и среднего предпринимательства</w:t>
      </w:r>
    </w:p>
    <w:p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Новосибирской области»</w:t>
      </w:r>
    </w:p>
    <w:p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Результат предоставления гранта, размер гранта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и направления расходов, источником финансового обеспечения которых является грант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148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042"/>
        <w:gridCol w:w="11763"/>
      </w:tblGrid>
      <w:tr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гранта</w:t>
            </w:r>
          </w:p>
        </w:tc>
        <w:tc>
          <w:tcPr>
            <w:tcW w:w="82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гранта и направления расходов,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финансового обеспечения которых является грант</w:t>
            </w:r>
          </w:p>
        </w:tc>
      </w:tr>
      <w:tr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или увеличение среднесписочной численности работников по итогам года, следующего за годом предоставления гранта, по сравнению с годом, предшествующим году предоставления гранта, в количестве, указанном в заявке победителя отбора.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индивидуальных предпринимателей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получателей грантов значение результата определяется с учетом индивидуального предпринимателя</w:t>
            </w:r>
          </w:p>
        </w:tc>
        <w:tc>
          <w:tcPr>
            <w:tcW w:w="82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0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75% расходов субъекта МСП, впервые признанного социальным предприятием, предусмотренных на реализацию нового проекта в сфере социального предпринимательства, или расходов субъекта МСП, подтвердившего статус социального предприятия, на расширение своей деятельности при реализации ранее созданного проекта в сфере социального предпринимательства, или расходов молодого предпринимателя, предусмотренных на реализацию проекта в сфере предпринимательской деятельности, но не менее 100,0 тыс. рублей и не более 500,0 тыс. рублей и не более запрашиваемого размера гранта, указанного в заявке.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расчетный размер субсидии меньше запрашиваемого размера гранта, указанного в заявке, грант предоставляется в расчетном размере.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расчету принимаются расходы на реализацию проекта в сфере социального предпринимательства или проекта в сфере предпринимательской деятельности, которые будут осуществляться после заключения соглашения о предоставлении гранта.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Грант предоставляется в целях финансового обеспечения следующих расходов, связанных с реализацией проекта в сфере социального предпринимательства или с реализацией проекта в сфере предпринимательской деятельности: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аренда нежилого помещения;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нежилого помещения, включая приобретение строительных материалов, оборудования, необходимого для ремонта помещения;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аренда и (или) приобретение оргтехники, оборудования (в том числе инвентаря, мебели);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выплата по передаче прав на франшизу (паушальный платеж);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оплата коммунальных услуг и услуг электроснабжения;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оформление результатов интеллектуальной деятельности;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приобретение основных средств (за исключением приобретения зданий, сооружений, земельных участков, автомобилей);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переоборудование транспортных средств для перевозки маломобильных групп населения, в том числе инвалидов;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оплата услуг связи, в том числе информационно-телекоммуникационной сети «Интернет» (далее - сеть «Интернет»);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оплата услуг по созданию, технической поддержке, наполнению, развитию и продвижению в средствах массовой информации и сети «Интернет» (услуги хостинга, расходы на регистрацию доменных имен в сети «Интернет» и продление регистрации, расходы на поисковую оптимизацию, услуги и (или) работы по модернизации и (или) продвижению сайта и аккаунтов в социальных сетях);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приобретение сырья, расходных материалов, необходимых для производства продукции и оказания услуг;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уплата первого взноса (аванса) при заключении договора лизинга и (или) лизинговых платежей, за исключением уплаты первого взноса (аванса) и лизинговых платежей по договору лизинга, сублизинга, в случае если предметом договора является транспортное средство;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реализация мероприятий по профилактике новой коронавирусной инфекции, включая мероприятия, связанные с обеспечением выполнения санитарно-эпидемиологических требований;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инвалидов - только для проектов в сфере социального предпринимательства.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микрофинансовыми организациями, а также по кредитам, привлеченным в кредитных организациях.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гранта осуществляется в соответствии с графиком перечисления гранта, установленным в соглашении о предоставлении гранта</w:t>
            </w:r>
          </w:p>
        </w:tc>
      </w:tr>
    </w:tbl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9"/>
      <w:bookmarkEnd w:id="1"/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</w:p>
    <w:sectPr>
      <w:headerReference w:type="default" r:id="rId8"/>
      <w:headerReference w:type="first" r:id="rId9"/>
      <w:footerReference w:type="first" r:id="rId10"/>
      <w:type w:val="continuous"/>
      <w:pgSz w:w="16838" w:h="11906" w:orient="landscape"/>
      <w:pgMar w:top="1418" w:right="1134" w:bottom="567" w:left="1134" w:header="567" w:footer="567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a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0"/>
        <w:szCs w:val="20"/>
      </w:rPr>
      <w:t xml:space="preserve">3</w:t>
    </w:r>
    <w:r>
      <w:rPr>
        <w:rFonts w:ascii="Times New Roman" w:hAnsi="Times New Roman" w:eastAsia="Times New Roman" w:cs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a"/>
      <w:jc w:val="center"/>
    </w:pPr>
  </w:p>
  <w:p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styleId="a5" w:customStyle="1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b" w:customStyle="1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ad" w:customStyle="1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styleId="af2" w:customStyle="1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styleId="af5" w:customStyle="1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4335</Characters>
  <CharactersWithSpaces>5085</CharactersWithSpaces>
  <Company>АГНОиПНО</Company>
  <DocSecurity>0</DocSecurity>
  <HyperlinksChanged>false</HyperlinksChanged>
  <Lines>36</Lines>
  <LinksUpToDate>false</LinksUpToDate>
  <Pages>3</Pages>
  <Paragraphs>10</Paragraphs>
  <ScaleCrop>false</ScaleCrop>
  <SharedDoc>false</SharedDoc>
  <Template>Normal</Template>
  <TotalTime>1</TotalTime>
  <Words>760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DEMO-HP-430-G7</cp:lastModifiedBy>
  <cp:revision>2</cp:revision>
  <dcterms:created xsi:type="dcterms:W3CDTF">2024-06-24T16:00:00Z</dcterms:created>
  <dcterms:modified xsi:type="dcterms:W3CDTF">2024-06-24T16:00:00Z</dcterms:modified>
</cp:coreProperties>
</file>