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240" w:after="60"/>
        <w:jc w:val="righ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ПРОЕКТ</w:t>
      </w:r>
    </w:p>
    <w:p>
      <w:pPr>
        <w:pStyle w:val="Normal"/>
        <w:widowControl w:val="false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СОВЕТ ДЕПУТАТОВ ГОРОДА БЕРДСКА</w:t>
      </w:r>
    </w:p>
    <w:p>
      <w:pPr>
        <w:pStyle w:val="Normal"/>
        <w:widowControl w:val="false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ПЯТОГО СОЗЫВА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before="360" w:after="0"/>
        <w:ind w:left="0" w:hanging="0"/>
        <w:jc w:val="center"/>
        <w:outlineLvl w:val="0"/>
        <w:rPr>
          <w:b/>
          <w:bCs/>
          <w:color w:val="000000"/>
          <w:kern w:val="2"/>
          <w:sz w:val="36"/>
          <w:szCs w:val="36"/>
        </w:rPr>
      </w:pPr>
      <w:r>
        <w:rPr>
          <w:b/>
          <w:bCs/>
          <w:color w:val="000000"/>
          <w:kern w:val="2"/>
          <w:sz w:val="36"/>
          <w:szCs w:val="36"/>
        </w:rPr>
        <w:t>Р Е Ш Е Н И Е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(                              )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0" w:hanging="0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 __________ 2024 года </w:t>
        <w:tab/>
        <w:tab/>
        <w:t xml:space="preserve">   </w:t>
        <w:tab/>
        <w:tab/>
        <w:tab/>
        <w:t xml:space="preserve">                     №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 внесении изменений в решение Совета депутатов города Бердска от 20.02.2016 № 711 «О Порядке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22 Устава города Бердска, Совет депутатов города Бердска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pStyle w:val="BodyTextIndent2"/>
        <w:rPr>
          <w:szCs w:val="28"/>
          <w:lang w:val="ru-RU"/>
        </w:rPr>
      </w:pPr>
      <w:r>
        <w:rPr>
          <w:szCs w:val="28"/>
          <w:lang w:val="ru-RU"/>
        </w:rPr>
        <w:t>1. Внести в Поряд</w:t>
      </w:r>
      <w:r>
        <w:rPr>
          <w:szCs w:val="28"/>
          <w:lang w:val="ru-RU"/>
        </w:rPr>
        <w:t>о</w:t>
      </w:r>
      <w:r>
        <w:rPr>
          <w:szCs w:val="28"/>
          <w:lang w:val="ru-RU"/>
        </w:rPr>
        <w:t>к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торгов, утвержденный решением Совета депутатов города Бердска от 20.02.2016 № 711, следующие изменения:</w:t>
      </w:r>
    </w:p>
    <w:p>
      <w:pPr>
        <w:pStyle w:val="BodyTextIndent2"/>
        <w:rPr>
          <w:szCs w:val="28"/>
          <w:lang w:val="ru-RU"/>
        </w:rPr>
      </w:pPr>
      <w:r>
        <w:rPr>
          <w:szCs w:val="28"/>
          <w:lang w:val="ru-RU"/>
        </w:rPr>
        <w:t>1) дополнить раздел 1 Порядка пунктом 1.4 следующего содержания:</w:t>
      </w:r>
    </w:p>
    <w:p>
      <w:pPr>
        <w:pStyle w:val="BodyTextIndent2"/>
        <w:rPr>
          <w:szCs w:val="28"/>
          <w:lang w:val="ru-RU"/>
        </w:rPr>
      </w:pPr>
      <w:r>
        <w:rPr>
          <w:szCs w:val="28"/>
          <w:lang w:val="ru-RU"/>
        </w:rPr>
        <w:t>«1.4. Условия и сроки внесения арендной платы за использование земельных участков, находящихся в муниципальной собственности города Бердска и предоставленных в аренду без торгов определяются договором аренды таких земельных участков.»;</w:t>
      </w:r>
    </w:p>
    <w:p>
      <w:pPr>
        <w:pStyle w:val="BodyTextIndent2"/>
        <w:rPr>
          <w:szCs w:val="28"/>
          <w:lang w:val="ru-RU"/>
        </w:rPr>
      </w:pPr>
      <w:r>
        <w:rPr>
          <w:szCs w:val="28"/>
          <w:lang w:val="ru-RU"/>
        </w:rPr>
        <w:t>2) изложить раздел 2 Порядка в следующей редакции:</w:t>
      </w:r>
    </w:p>
    <w:p>
      <w:pPr>
        <w:pStyle w:val="BodyTextIndent2"/>
        <w:jc w:val="center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Indent2"/>
        <w:jc w:val="center"/>
        <w:rPr/>
      </w:pPr>
      <w:r>
        <w:rPr>
          <w:szCs w:val="28"/>
          <w:lang w:val="ru-RU"/>
        </w:rPr>
        <w:t xml:space="preserve">«2. Способы определения размера арендной платы </w:t>
      </w:r>
    </w:p>
    <w:p>
      <w:pPr>
        <w:pStyle w:val="BodyTextIndent2"/>
        <w:jc w:val="center"/>
        <w:rPr/>
      </w:pPr>
      <w:r>
        <w:rPr>
          <w:szCs w:val="28"/>
          <w:lang w:val="ru-RU"/>
        </w:rPr>
        <w:t>за земельные участки</w:t>
      </w:r>
    </w:p>
    <w:p>
      <w:pPr>
        <w:pStyle w:val="BodyTextIndent2"/>
        <w:jc w:val="center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Если иное не установлено законодательством Российской Федерации и в случаях, не указанных в </w:t>
      </w:r>
      <w:hyperlink w:anchor="Par2">
        <w:r>
          <w:rPr>
            <w:sz w:val="28"/>
            <w:szCs w:val="28"/>
          </w:rPr>
          <w:t>пунктах</w:t>
        </w:r>
        <w:r>
          <w:rPr>
            <w:color w:val="000000"/>
            <w:sz w:val="28"/>
            <w:szCs w:val="28"/>
            <w:shd w:fill="FFFFFF" w:val="clear"/>
          </w:rPr>
          <w:t xml:space="preserve"> 2.2</w:t>
        </w:r>
      </w:hyperlink>
      <w:r>
        <w:rPr>
          <w:color w:val="000000"/>
          <w:sz w:val="28"/>
          <w:szCs w:val="28"/>
          <w:shd w:fill="FFFFFF" w:val="clear"/>
        </w:rPr>
        <w:t xml:space="preserve">, </w:t>
      </w:r>
      <w:hyperlink w:anchor="Par21">
        <w:r>
          <w:rPr>
            <w:color w:val="000000"/>
            <w:sz w:val="28"/>
            <w:szCs w:val="28"/>
            <w:shd w:fill="FFFFFF" w:val="clear"/>
          </w:rPr>
          <w:t>2.3</w:t>
        </w:r>
      </w:hyperlink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>Порядка, размер арендной платы определяется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  <w:bookmarkStart w:id="0" w:name="Par1_Копия_1"/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  <w:bookmarkStart w:id="1" w:name="Par2_Копия_1"/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0,01 процента в отношении: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 </w:t>
      </w:r>
      <w:hyperlink w:anchor="Par9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 </w:t>
      </w:r>
      <w:hyperlink w:anchor="Par9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 </w:t>
      </w:r>
      <w:hyperlink w:anchor="Par9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0,3 процента в отношении земельного участка, предоставленного (занятого) для размещения объектов, утилизирующих твердые коммунальные отходы методом их сортировки и переработки;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2" w:name="Par9_Копия_1"/>
      <w:r>
        <w:rPr>
          <w:sz w:val="28"/>
          <w:szCs w:val="28"/>
        </w:rPr>
        <w:t>) 1,4 процента в отношении: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для строительства объекта недвижимости, осуществляемого полностью за счет средств местного бюджета;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(занятого) для размещения линий связи, в том числе линейно-кабельных сооружений;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1,5 процента в отношении земельного участка, предоставленного (занятого) для размещения объектов электроэнергетики (за исключением генерирующих мощностей), но не более 6,23 руб./кв. м.;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2 процента в отношении: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недропользователю для осуществления пользования недрами;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&lt;*&gt; Устанавливается в заявительном порядке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на основании подпункта 3 пункта 2 статьи 39.6 Земельного кодекса Российской Федерации, для реализации масштабных инвестиционных проектов, предусмотренных пунктами 1 - 2.2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коммунальных отходов, в том числе полигона.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площадь земельного участка, не превышающую площадь предоставленного земельного участка, обязательство по рекультивации которого выполнено, - 2 процента от кадастровой стоимости земельного участка;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площадь земельного участка, превышающую площадь предоставленного земельного участка, обязательство по рекультивации которого выполнено, - 3,5 процента от кадастровой стоимости земельного участка.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2.3.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 0,24 руб./кв. м в отношении: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земельных участков, предоставленных (занятых) для размещения объектов Единой системы газоснабжения, организации, являющейся в соответствии с Федеральным законом от 31.03.1999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недрами;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земельных участков, предоставленных (занятых) для размещения объектов, предназначенных для обеспечения газоснабжения, юридическим лицам.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2.4. При предоставлении в аренду без проведения торгов земельного участка в соответствии с подпунктом 23 пункта 2 статьи 39.6 Земельного кодекса Российской Федерации в случаях, не указанных в пунктах 2.2 и 2.3 настоящего Порядка, арендная плата определяется в размере 1,5 процента кадастровой стоимости земельного участка, если иное не установлено федеральным законом.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Арендная плата за использование земельных участков, указанных в пункте 19 статьи 3.7 Федерального закона от 25.10.2001 № 137-ФЗ «О введении в действие Земельного кодекса Российской Федерации», устанавливается в размере земельного налога за соответствующий земельный участок.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Арендная плата за использование земельного участка, указанного в части 3 статьи 7 Федерального закона от 24.07.2023 № 338-ФЗ «О гаражных объединениях и о внесении изменений в отдельные законодательные акты Российской Федерации», определяется в размере земельного налога за соответствующий земельный участок.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Арендная плата за использование земельного участка, на котором расположен объект культурного наследия, приватизированный путем продажи на конкурсе в соответствии с Федеральным законом от 21.12.2001 № 178-ФЗ «О приватизации государственного и муниципального имущества», определяется в размере одного рубля в год на весь срок выполнения условий конкурса по продаже такого объекта.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Арендная плата за использование земельных участков, указанных в абзаце первом пункта 2 статьи 3 Федерального закона от 25.10.2001 № 137-ФЗ «О введении в действие Земельного кодекса Российской Федерации», устанавливается в размере: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 процентов кадастровой стоимости арендуемых земельных участков;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кадастровой стоимости арендуемых земельных участков, изъятых из оборота или ограниченных в обороте.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настоящим Порядком,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случае если определенный в соответствии с настоящим Порядком размер арендной платы в отношении земельных участков, предусмотренных пунктом 4 статьи 39.7 Земельного кодекса Российской Федерации,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устанавливается в размере, равном размеру арендной платы, определенному для соответствующих целей в отношении земельных участков, находящихся в федеральной собственности.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В случаях, предусмотренных пунктом 5 статьи 39.7 Земельного кодекса Российской Федерации, размер арендной платы в отношении земельного участка устанавливается в размере земельного налога, если определенный в соответствии с настоящим Порядком размер арендной платы в отношении земельного участка превышает размер земельного налога, рассчитанного в отношении такого земельного участка.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При заключении договора аренды земельного участка на основании подпункта 10 пункта 2 статьи 39.6 Земельного кодекса Российской Федерации, пункта 21 статьи 3 Федерального закона от 25.10.2001 № 137-ФЗ «О введении в действие Земельного кодекса Российской Федерации» в целях завершения строительства объектов незавершенного строительства размер арендной платы определяется в размере рыночной стоимости права аренды земельного участка, рассчитанной за год и определяемой в соответствии с законодательством Российской Федерации об оценочной деятельности.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Арендная плата за земельный участок, на котором расположены здания, сооружения, в случаях, не указанн</w:t>
      </w:r>
      <w:r>
        <w:rPr>
          <w:color w:val="000000"/>
          <w:sz w:val="28"/>
          <w:szCs w:val="28"/>
          <w:shd w:fill="FFFFFF" w:val="clear"/>
        </w:rPr>
        <w:t xml:space="preserve">ых в </w:t>
      </w:r>
      <w:hyperlink w:anchor="Par2">
        <w:r>
          <w:rPr>
            <w:color w:val="000000"/>
            <w:sz w:val="28"/>
            <w:szCs w:val="28"/>
            <w:shd w:fill="FFFFFF" w:val="clear"/>
          </w:rPr>
          <w:t>пункте 2.2</w:t>
        </w:r>
      </w:hyperlink>
      <w:r>
        <w:rPr>
          <w:color w:val="000000"/>
          <w:sz w:val="28"/>
          <w:szCs w:val="28"/>
          <w:shd w:fill="FFFFFF" w:val="clear"/>
        </w:rPr>
        <w:t xml:space="preserve"> - 2.12 Порядка,</w:t>
      </w:r>
      <w:r>
        <w:rPr>
          <w:sz w:val="28"/>
          <w:szCs w:val="28"/>
        </w:rPr>
        <w:t xml:space="preserve"> рассчитывается по формуле: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Ап = Кс x Кр x Ка x Кдоп,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Normal"/>
        <w:spacing w:before="20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 - годовой размер арендной платы, в рублях;</w:t>
      </w:r>
    </w:p>
    <w:p>
      <w:pPr>
        <w:pStyle w:val="Normal"/>
        <w:spacing w:before="20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 - кадастровая стоимость земельного участка;</w:t>
      </w:r>
    </w:p>
    <w:p>
      <w:pPr>
        <w:pStyle w:val="Normal"/>
        <w:spacing w:before="20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 - коэффициент, устанавливающий зависимость арендной платы от вида разрешенного использования земельного участка;</w:t>
      </w:r>
    </w:p>
    <w:p>
      <w:pPr>
        <w:pStyle w:val="Normal"/>
        <w:spacing w:before="20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 - коэффициент, устанавливающий зависимость арендной платы от категории арендатора;</w:t>
      </w:r>
    </w:p>
    <w:p>
      <w:pPr>
        <w:pStyle w:val="Normal"/>
        <w:spacing w:before="20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Кдоп - корректирующий коэффициент.</w:t>
      </w:r>
    </w:p>
    <w:p>
      <w:pPr>
        <w:pStyle w:val="Normal"/>
        <w:spacing w:before="20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коэффициентов Кр, Ка, Кдоп приведены в </w:t>
      </w:r>
      <w:hyperlink r:id="rId2">
        <w:r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Порядку.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При заключении договора аренды земельного участка на основании </w:t>
      </w:r>
      <w:hyperlink r:id="rId3">
        <w:r>
          <w:rPr>
            <w:sz w:val="28"/>
            <w:szCs w:val="28"/>
          </w:rPr>
          <w:t>подпункта 3 пункта 2 статьи 39.6</w:t>
        </w:r>
      </w:hyperlink>
      <w:r>
        <w:rPr>
          <w:sz w:val="28"/>
          <w:szCs w:val="28"/>
        </w:rPr>
        <w:t xml:space="preserve"> Земельного кодекса Российской Федерации арендодатель предусматривает в таком договоре возможность применения к арендной плате повышающего коэффициента 2, в случае нарушения арендатором предусмотренных распоряжением высшего должностного лица Новосибирской области сроков размещения объектов социально-культурного и коммунально-бытового назначения, реализации масштабных инвестиционных проектов.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bookmarkStart w:id="3" w:name="Par4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В случае уточнения предусмотренных </w:t>
      </w:r>
      <w:hyperlink r:id="rId4">
        <w:r>
          <w:rPr>
            <w:color w:val="000000"/>
            <w:sz w:val="28"/>
            <w:szCs w:val="28"/>
            <w:shd w:fill="FFFFFF" w:val="clear"/>
          </w:rPr>
          <w:t>пунктами 2</w:t>
        </w:r>
      </w:hyperlink>
      <w:r>
        <w:rPr>
          <w:color w:val="000000"/>
          <w:sz w:val="28"/>
          <w:szCs w:val="28"/>
          <w:shd w:fill="FFFFFF" w:val="clear"/>
        </w:rPr>
        <w:t>.1, 2.2 и 2.3 настоящего Порядка условий, в соответствии с которыми определяется размер арендной платы за земельный участок, ар</w:t>
      </w:r>
      <w:r>
        <w:rPr>
          <w:sz w:val="28"/>
          <w:szCs w:val="28"/>
        </w:rPr>
        <w:t>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 либо в соответствии со ставками арендной платы,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случаях, предусмотренных федеральным законодательством, коэффициентов, применяемых для определения годового размера арендной платы, ставок арендной платы. При этом арендная плата подлежит перерасчету по состоянию на 1 января года, следующего за годом, в котором произошло соответствующее изменение. В этом случае индексация арендной платы с учетом размера уровня инфляции, указанного в </w:t>
      </w:r>
      <w:hyperlink w:anchor="Par4">
        <w:r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2.15 настоящего Порядка, не проводится.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При заключении договора аренды земельного участка, в соответствии с которым арендная плата рассчитана на основании рыночной стоимости права аренды земельного участка,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 и не ранее чем через 3 года после заключения договора аренды земельного участка.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арендной платы в связи с изменением рыночной стоимости права аренды земельного участка размер уровня инфляции, указанный в </w:t>
      </w:r>
      <w:hyperlink w:anchor="Par4">
        <w:r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2.15 настоящего Порядка, не применяется.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 Отступление от этого правила возможно с согласия всех правообладателей здания, сооружения или помещений в них либо по решению суда.».</w:t>
      </w:r>
    </w:p>
    <w:p>
      <w:pPr>
        <w:pStyle w:val="BodyTextIndent2"/>
        <w:rPr>
          <w:szCs w:val="28"/>
          <w:lang w:val="ru-RU"/>
        </w:rPr>
      </w:pPr>
      <w:r>
        <w:rPr>
          <w:szCs w:val="28"/>
          <w:lang w:val="en-US"/>
        </w:rPr>
        <w:t>3</w:t>
      </w:r>
      <w:r>
        <w:rPr>
          <w:szCs w:val="28"/>
          <w:lang w:val="ru-RU"/>
        </w:rPr>
        <w:t xml:space="preserve">) изложить приложение к Порядку в новой редакции согласно приложению к настоящему решению.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 Опубликовать настоящее решение в газете «Бердские новости», сетевом издании «VN.ru Все новости Новосибирской области» и разместить на официальном сайте администрации города Бердска.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FFFFFF" w:val="clear"/>
        </w:rPr>
        <w:t>3. Настоящее решение вступает в силу со дня его опубликования.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4. Контроль за исполнением решения возложить на комитет по бюджету и управлению муниципальной собственностью.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>Глава города Бердска</w:t>
        <w:tab/>
        <w:t xml:space="preserve">                                      Председатель Совета депутатов </w:t>
      </w:r>
    </w:p>
    <w:p>
      <w:pPr>
        <w:sectPr>
          <w:footerReference w:type="default" r:id="rId5"/>
          <w:type w:val="nextPage"/>
          <w:pgSz w:w="11906" w:h="16838"/>
          <w:pgMar w:left="1701" w:right="850" w:gutter="0" w:header="0" w:top="709" w:footer="327" w:bottom="1146"/>
          <w:pgNumType w:fmt="decimal"/>
          <w:formProt w:val="false"/>
          <w:textDirection w:val="lrTb"/>
          <w:docGrid w:type="default" w:linePitch="360" w:charSpace="0"/>
        </w:sectPr>
        <w:pStyle w:val="1"/>
        <w:rPr>
          <w:b w:val="false"/>
          <w:szCs w:val="28"/>
        </w:rPr>
      </w:pPr>
      <w:r>
        <w:rPr>
          <w:b w:val="false"/>
          <w:szCs w:val="28"/>
        </w:rPr>
        <w:t>___________________ /</w:t>
      </w:r>
      <w:r>
        <w:rPr>
          <w:b w:val="false"/>
          <w:szCs w:val="28"/>
          <w:lang w:val="ru-RU"/>
        </w:rPr>
        <w:t>Р.В. Бурдин</w:t>
      </w:r>
      <w:r>
        <w:rPr>
          <w:b w:val="false"/>
          <w:szCs w:val="28"/>
        </w:rPr>
        <w:tab/>
        <w:t xml:space="preserve">                  _______________/ </w:t>
      </w:r>
      <w:r>
        <w:rPr>
          <w:b w:val="false"/>
          <w:szCs w:val="28"/>
          <w:lang w:val="ru-RU"/>
        </w:rPr>
        <w:t>В</w:t>
      </w:r>
      <w:r>
        <w:rPr>
          <w:b w:val="false"/>
          <w:szCs w:val="28"/>
        </w:rPr>
        <w:t>.</w:t>
      </w:r>
      <w:r>
        <w:rPr>
          <w:b w:val="false"/>
          <w:szCs w:val="28"/>
          <w:lang w:val="ru-RU"/>
        </w:rPr>
        <w:t>А</w:t>
      </w:r>
      <w:r>
        <w:rPr>
          <w:b w:val="false"/>
          <w:szCs w:val="28"/>
        </w:rPr>
        <w:t xml:space="preserve">. </w:t>
      </w:r>
      <w:r>
        <w:rPr>
          <w:b w:val="false"/>
          <w:szCs w:val="28"/>
          <w:lang w:val="ru-RU"/>
        </w:rPr>
        <w:t>Голубев</w:t>
      </w:r>
    </w:p>
    <w:p>
      <w:pPr>
        <w:pStyle w:val="Normal"/>
        <w:ind w:left="5664" w:right="-2" w:hanging="0"/>
        <w:jc w:val="center"/>
        <w:rPr/>
      </w:pPr>
      <w:bookmarkStart w:id="4" w:name="_GoBack"/>
      <w:bookmarkEnd w:id="4"/>
      <w:r>
        <w:rPr/>
        <w:t>ПРИЛОЖЕНИЕ</w:t>
      </w:r>
    </w:p>
    <w:p>
      <w:pPr>
        <w:pStyle w:val="Normal"/>
        <w:ind w:left="5664" w:right="-2" w:hanging="0"/>
        <w:jc w:val="center"/>
        <w:rPr/>
      </w:pPr>
      <w:r>
        <w:rPr/>
        <w:t xml:space="preserve">к решению Совета депутатов города Бердска ________ созыва </w:t>
      </w:r>
    </w:p>
    <w:p>
      <w:pPr>
        <w:pStyle w:val="Normal"/>
        <w:ind w:left="5664" w:right="-2" w:hanging="0"/>
        <w:jc w:val="center"/>
        <w:rPr/>
      </w:pPr>
      <w:r>
        <w:rPr/>
        <w:t>от ________ № ______</w:t>
      </w:r>
    </w:p>
    <w:p>
      <w:pPr>
        <w:pStyle w:val="Normal"/>
        <w:ind w:left="5664" w:right="-2" w:hanging="0"/>
        <w:jc w:val="center"/>
        <w:rPr/>
      </w:pPr>
      <w:r>
        <w:rPr/>
      </w:r>
    </w:p>
    <w:p>
      <w:pPr>
        <w:pStyle w:val="Normal"/>
        <w:ind w:left="5664" w:right="-2" w:hanging="0"/>
        <w:jc w:val="center"/>
        <w:rPr/>
      </w:pPr>
      <w:r>
        <w:rPr>
          <w:sz w:val="28"/>
          <w:szCs w:val="28"/>
        </w:rPr>
        <w:t>«</w:t>
      </w:r>
      <w:r>
        <w:rPr/>
        <w:t>ПРИЛОЖЕНИЕ к Порядку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Коэффициенты, применяемые для определения годового размера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арендной платы за использование земельных участков,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в собственности города Бердска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коэффициент Кр, определяющий зависимость арендной платы от вида разрешенного использования земельного участка:</w:t>
      </w:r>
    </w:p>
    <w:p>
      <w:pPr>
        <w:pStyle w:val="Normal"/>
        <w:widowControl w:val="false"/>
        <w:ind w:firstLine="540"/>
        <w:jc w:val="right"/>
        <w:rPr/>
      </w:pPr>
      <w:r>
        <w:rPr/>
        <w:t>Таблица 1</w:t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4"/>
        <w:gridCol w:w="7093"/>
        <w:gridCol w:w="1701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Вид разрешенного использования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Размер коэффициента (Кр),%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сельскохозяйственного использования, или земли в составе зон сельскохозяйственного использования и используемые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эксплуатации домов малоэтажной жилой застройки и индивидуальной жилой застройки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эксплуатации домов среднеэтажной и многоэтажной жилой застройки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7.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занятые индивидуальными и коллективными погребами и овощехранилищами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1,5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0,8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размещения зданий, строений, сооружений материально-технического, продовольственного снабжения, сбыта и заготовок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1,0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Земельные участки, занятые индивидуальными гаражами и гаражными кооперативами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0,75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Прочие земельные участки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1,5</w:t>
            </w:r>
          </w:p>
        </w:tc>
      </w:tr>
    </w:tbl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коэффициент Ка, определяющий зависимость арендной платы от категории арендатора, равным единице.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корректирующий коэффициент Кдоп:</w:t>
      </w:r>
    </w:p>
    <w:p>
      <w:pPr>
        <w:pStyle w:val="Normal"/>
        <w:widowControl w:val="false"/>
        <w:ind w:firstLine="540"/>
        <w:jc w:val="right"/>
        <w:rPr/>
      </w:pPr>
      <w:bookmarkStart w:id="5" w:name="Par33_Копия_1_Копия_1"/>
      <w:bookmarkStart w:id="6" w:name="Par1_Копия_1_Копия_1"/>
      <w:bookmarkStart w:id="7" w:name="Par2_Копия_1_Копия_1"/>
      <w:bookmarkStart w:id="8" w:name="Par21_Копия_1_Копия_1"/>
      <w:bookmarkStart w:id="9" w:name="Par9_Копия_1_Копия_1"/>
      <w:bookmarkEnd w:id="0"/>
      <w:bookmarkEnd w:id="1"/>
      <w:bookmarkEnd w:id="2"/>
      <w:bookmarkEnd w:id="3"/>
      <w:bookmarkEnd w:id="5"/>
      <w:bookmarkEnd w:id="6"/>
      <w:bookmarkEnd w:id="7"/>
      <w:bookmarkEnd w:id="8"/>
      <w:bookmarkEnd w:id="9"/>
      <w:r>
        <w:rPr/>
        <w:t>Таблица 2</w:t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4"/>
        <w:gridCol w:w="6668"/>
        <w:gridCol w:w="2126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Цель использования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Корректирующий коэффициент (Кдоп)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Земельные участки, предоставленные для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1,5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Земельные участки, предоставленные для строительства, за исключением земельных участков, предоставленных для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1,4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Прочие земельные участки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1,0</w:t>
            </w:r>
          </w:p>
        </w:tc>
      </w:tr>
    </w:tbl>
    <w:p>
      <w:pPr>
        <w:pStyle w:val="Normal"/>
        <w:widowControl w:val="false"/>
        <w:ind w:hanging="0"/>
        <w:jc w:val="both"/>
        <w:rPr/>
      </w:pPr>
      <w:r>
        <w:rPr>
          <w:sz w:val="28"/>
          <w:szCs w:val="28"/>
        </w:rPr>
        <w:t>»</w:t>
      </w:r>
      <w:r>
        <w:rPr/>
        <w:t>.</w:t>
      </w:r>
    </w:p>
    <w:p>
      <w:pPr>
        <w:pStyle w:val="Normal"/>
        <w:widowControl w:val="false"/>
        <w:ind w:hanging="0"/>
        <w:jc w:val="both"/>
        <w:rPr/>
      </w:pPr>
      <w:r>
        <w:rPr/>
      </w:r>
    </w:p>
    <w:p>
      <w:pPr>
        <w:pStyle w:val="Normal"/>
        <w:widowControl w:val="false"/>
        <w:ind w:hanging="0"/>
        <w:jc w:val="center"/>
        <w:rPr/>
      </w:pPr>
      <w:r>
        <w:rPr/>
        <w:t>_______________________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1"/>
        <w:rPr>
          <w:sz w:val="28"/>
          <w:szCs w:val="28"/>
        </w:rPr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701" w:right="850" w:gutter="0" w:header="0" w:top="113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34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72341f"/>
    <w:pPr>
      <w:keepNext w:val="true"/>
      <w:jc w:val="both"/>
      <w:outlineLvl w:val="0"/>
    </w:pPr>
    <w:rPr>
      <w:b/>
      <w:bCs/>
      <w:sz w:val="28"/>
      <w:lang w:val="x-none"/>
    </w:rPr>
  </w:style>
  <w:style w:type="paragraph" w:styleId="2">
    <w:name w:val="Heading 2"/>
    <w:basedOn w:val="Normal"/>
    <w:next w:val="Normal"/>
    <w:link w:val="21"/>
    <w:semiHidden/>
    <w:unhideWhenUsed/>
    <w:qFormat/>
    <w:rsid w:val="0072341f"/>
    <w:pPr>
      <w:keepNext w:val="true"/>
      <w:ind w:firstLine="720"/>
      <w:jc w:val="both"/>
      <w:outlineLvl w:val="1"/>
    </w:pPr>
    <w:rPr>
      <w:b/>
      <w:bCs/>
      <w:sz w:val="28"/>
      <w:lang w:val="x-none"/>
    </w:rPr>
  </w:style>
  <w:style w:type="paragraph" w:styleId="3">
    <w:name w:val="Heading 3"/>
    <w:basedOn w:val="Normal"/>
    <w:next w:val="Normal"/>
    <w:link w:val="31"/>
    <w:semiHidden/>
    <w:unhideWhenUsed/>
    <w:qFormat/>
    <w:rsid w:val="0072341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72341f"/>
    <w:rPr>
      <w:rFonts w:ascii="Times New Roman" w:hAnsi="Times New Roman" w:eastAsia="Times New Roman" w:cs="Times New Roman"/>
      <w:b/>
      <w:bCs/>
      <w:sz w:val="28"/>
      <w:szCs w:val="24"/>
      <w:lang w:val="x-none" w:eastAsia="ru-RU"/>
    </w:rPr>
  </w:style>
  <w:style w:type="character" w:styleId="21" w:customStyle="1">
    <w:name w:val="Заголовок 2 Знак"/>
    <w:basedOn w:val="DefaultParagraphFont"/>
    <w:semiHidden/>
    <w:qFormat/>
    <w:rsid w:val="0072341f"/>
    <w:rPr>
      <w:rFonts w:ascii="Times New Roman" w:hAnsi="Times New Roman" w:eastAsia="Times New Roman" w:cs="Times New Roman"/>
      <w:b/>
      <w:bCs/>
      <w:sz w:val="28"/>
      <w:szCs w:val="24"/>
      <w:lang w:val="x-none" w:eastAsia="ru-RU"/>
    </w:rPr>
  </w:style>
  <w:style w:type="character" w:styleId="31" w:customStyle="1">
    <w:name w:val="Заголовок 3 Знак"/>
    <w:basedOn w:val="DefaultParagraphFont"/>
    <w:semiHidden/>
    <w:qFormat/>
    <w:rsid w:val="0072341f"/>
    <w:rPr>
      <w:rFonts w:ascii="Arial" w:hAnsi="Arial" w:eastAsia="Times New Roman" w:cs="Times New Roman"/>
      <w:b/>
      <w:bCs/>
      <w:sz w:val="26"/>
      <w:szCs w:val="26"/>
      <w:lang w:val="x-none"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72341f"/>
    <w:rPr>
      <w:rFonts w:ascii="Times New Roman" w:hAnsi="Times New Roman" w:eastAsia="Times New Roman" w:cs="Times New Roman"/>
      <w:sz w:val="28"/>
      <w:szCs w:val="24"/>
      <w:lang w:val="x-none" w:eastAsia="ru-RU"/>
    </w:rPr>
  </w:style>
  <w:style w:type="character" w:styleId="-">
    <w:name w:val="Hyperlink"/>
    <w:basedOn w:val="DefaultParagraphFont"/>
    <w:uiPriority w:val="99"/>
    <w:unhideWhenUsed/>
    <w:rsid w:val="00c043c6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813d58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2"/>
    <w:semiHidden/>
    <w:unhideWhenUsed/>
    <w:qFormat/>
    <w:rsid w:val="0072341f"/>
    <w:pPr>
      <w:ind w:firstLine="720"/>
      <w:jc w:val="both"/>
    </w:pPr>
    <w:rPr>
      <w:sz w:val="28"/>
      <w:lang w:val="x-none"/>
    </w:rPr>
  </w:style>
  <w:style w:type="paragraph" w:styleId="ConsPlusNormal" w:customStyle="1">
    <w:name w:val="ConsPlusNormal"/>
    <w:qFormat/>
    <w:rsid w:val="001b0f31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b0f3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813d58"/>
    <w:pPr/>
    <w:rPr>
      <w:rFonts w:ascii="Tahoma" w:hAnsi="Tahoma" w:cs="Tahoma"/>
      <w:sz w:val="16"/>
      <w:szCs w:val="16"/>
    </w:rPr>
  </w:style>
  <w:style w:type="paragraph" w:styleId="Style17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Style17"/>
    <w:pPr/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009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49&amp;n=87719&amp;dst=100053" TargetMode="External"/><Relationship Id="rId3" Type="http://schemas.openxmlformats.org/officeDocument/2006/relationships/hyperlink" Target="https://login.consultant.ru/link/?req=doc&amp;base=LAW&amp;n=454318&amp;dst=470" TargetMode="External"/><Relationship Id="rId4" Type="http://schemas.openxmlformats.org/officeDocument/2006/relationships/hyperlink" Target="https://login.consultant.ru/link/?req=doc&amp;base=RLAW049&amp;n=168629&amp;dst=100013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ECD9-5A74-4A50-99C1-414DF960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Application>LibreOffice/7.5.2.2$Windows_X86_64 LibreOffice_project/53bb9681a964705cf672590721dbc85eb4d0c3a2</Application>
  <AppVersion>15.0000</AppVersion>
  <Pages>9</Pages>
  <Words>2284</Words>
  <Characters>16064</Characters>
  <CharactersWithSpaces>18320</CharactersWithSpaces>
  <Paragraphs>146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2024-05-23T11:15:00Z</dcterms:created>
  <dc:creator>k23-MikhaylovaTV</dc:creator>
  <dc:description/>
  <dc:language>ru-RU</dc:language>
  <cp:lastModifiedBy/>
  <cp:lastPrinted>2024-05-29T14:11:37Z</cp:lastPrinted>
  <dcterms:modified xsi:type="dcterms:W3CDTF">2024-05-29T14:10:23Z</dcterms:modified>
  <cp:revision>116</cp:revision>
  <dc:subject/>
  <dc:title>Постановление администрации города Бердска от 09.08.2023 N 3605/65"О внесении изменений в постановление администрации города Бердска от 07.12.2020 N 3264 "Об утверждении административного регламента предоставления муниципальной услуги "Выдача разрешения на строительство"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