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54B" w:rsidRPr="00BA754B" w:rsidRDefault="00BA754B" w:rsidP="00BA754B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Сводный отчет о проведении оценки регулирующего воздействия проекта нормативного правового акта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Общая информация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54B" w:rsidRPr="00BA754B" w:rsidRDefault="00BA754B" w:rsidP="0003054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Наименование проекта нормативного правового акта (далее – проект акта): </w:t>
      </w:r>
    </w:p>
    <w:p w:rsidR="000C4102" w:rsidRPr="000C4102" w:rsidRDefault="000C4102" w:rsidP="000C410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0C4102">
        <w:rPr>
          <w:rFonts w:ascii="Times New Roman" w:eastAsia="Times New Roman" w:hAnsi="Times New Roman" w:cs="Times New Roman"/>
          <w:b/>
          <w:sz w:val="28"/>
        </w:rPr>
        <w:t>«О внесении изменений в приказ министерства транспорта и дорожного хозяйства Новосибирской области от 27.08.2018 № 125»</w:t>
      </w:r>
    </w:p>
    <w:p w:rsidR="00BA754B" w:rsidRDefault="00BA754B" w:rsidP="0003054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Разработчик проекта акта, в том числе контактные данные: </w:t>
      </w:r>
    </w:p>
    <w:p w:rsidR="00030546" w:rsidRDefault="00030546" w:rsidP="0003054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Минтранс Новосибирской области</w:t>
      </w:r>
    </w:p>
    <w:p w:rsidR="00030546" w:rsidRPr="00030546" w:rsidRDefault="00030546" w:rsidP="0003054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Сокол Лидия Георгиевна, консультант-юрист, т. 238-68-05,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slg</w:t>
      </w:r>
      <w:r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nso</w:t>
      </w:r>
      <w:r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Описание проблем, для решения которых разработан проект акта и предлагаемого регулирования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Краткая характеристика проблем, для решения которых разработан проект </w:t>
      </w:r>
      <w:r w:rsidRPr="004E5C8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</w:t>
      </w:r>
      <w:r w:rsidR="004E5C83" w:rsidRPr="004E5C8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способов их решения.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Проблемы и их негативные эффекты (последствия)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проблем и негативных эффектов (последствий) приведено </w:t>
      </w: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hyperlink w:anchor="P595" w:history="1">
        <w:r w:rsidRPr="00BA75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таблице 1 части III</w:t>
        </w:r>
      </w:hyperlink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сводного отчета.</w:t>
      </w:r>
    </w:p>
    <w:p w:rsidR="000C4102" w:rsidRPr="000C4102" w:rsidRDefault="00BA754B" w:rsidP="000C41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проблемы и их негативные эффекты (последствия) состоят в следующем: </w:t>
      </w:r>
      <w:r w:rsidR="000C4102" w:rsidRPr="000C41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пунктом 2 части 5.3 статьи 20 Федерального закона 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предусматривается только установление порядка выдачи согласия в письменной форме владельца автомобильной дороги и перечень документов, необходимых для его выдачи, без установления права отзыва согласия.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Возможные способы решения проблем, в том числе без введения нового правового регулирования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решения проблем приведены в таблицах 2-3 части III настоящего сводного отчета.</w:t>
      </w:r>
    </w:p>
    <w:p w:rsidR="00BA754B" w:rsidRPr="008C5D6B" w:rsidRDefault="00BA754B" w:rsidP="008C5D6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способы сводятся к следующим: </w:t>
      </w:r>
      <w:r w:rsidR="008C5D6B" w:rsidRPr="008C5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изменений в</w:t>
      </w:r>
      <w:r w:rsidR="008C5D6B" w:rsidRPr="008C5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8C5D6B" w:rsidRPr="008C5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8C5D6B" w:rsidRPr="008C5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˗ приказ Минтранса Новосибирской области.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Предлагаемое регулирование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Default="00BA754B" w:rsidP="000305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Описание предлагаемого регулирования </w:t>
      </w:r>
    </w:p>
    <w:p w:rsidR="00030546" w:rsidRPr="00BA754B" w:rsidRDefault="00030546" w:rsidP="000305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нормативного правового акта ˗ приказа Минтранса Новосибирской области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Обоснование выбора предлагаемого регулирования (выбранных способов решения проблем)</w:t>
      </w:r>
    </w:p>
    <w:p w:rsidR="00BA754B" w:rsidRPr="00A74903" w:rsidRDefault="00BA754B" w:rsidP="000C41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Причины, по которым из всех возможных способов решения заявленных проблем, </w:t>
      </w: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приведенных в таблицах 2-3 части III настоящего сводного отчета, был выбран описанный в пункте 2.1: </w:t>
      </w:r>
      <w:r w:rsidR="00030546"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способ 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 статьей 23 </w:t>
      </w:r>
      <w:r w:rsidR="000C4102" w:rsidRP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C4102" w:rsidRP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от 25.12.2006 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C4102" w:rsidRP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80-ОЗ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C4102" w:rsidRP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нормативных право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 актах Новосибирской области»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Цели регулирования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"/>
        <w:gridCol w:w="2287"/>
        <w:gridCol w:w="3956"/>
        <w:gridCol w:w="3021"/>
      </w:tblGrid>
      <w:tr w:rsidR="00BA754B" w:rsidRPr="00BA754B" w:rsidTr="003A2B5E">
        <w:tc>
          <w:tcPr>
            <w:tcW w:w="326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154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Цели предлагаемого регулирования (со ссылкой на номер проблемы из таблицы 1 части </w:t>
            </w: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сводного отчета)</w:t>
            </w:r>
          </w:p>
        </w:tc>
        <w:tc>
          <w:tcPr>
            <w:tcW w:w="1996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Индикаторы достижения целей; актуальные значения индикаторов</w:t>
            </w:r>
          </w:p>
        </w:tc>
        <w:tc>
          <w:tcPr>
            <w:tcW w:w="1524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Прогнозируемые значения индикаторов</w:t>
            </w:r>
          </w:p>
        </w:tc>
      </w:tr>
      <w:tr w:rsidR="003A7400" w:rsidRPr="00BA754B" w:rsidTr="003A2B5E">
        <w:tc>
          <w:tcPr>
            <w:tcW w:w="326" w:type="pct"/>
          </w:tcPr>
          <w:p w:rsidR="003A7400" w:rsidRPr="000C4102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A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</w:tcPr>
          <w:p w:rsidR="003A7400" w:rsidRPr="00BA754B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в </w:t>
            </w:r>
            <w:r w:rsidRPr="003A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A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части 5.3 статьи 20 Федерального закона 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 отзыва полученного согласия владельца автомобильной дороги</w:t>
            </w:r>
          </w:p>
        </w:tc>
        <w:tc>
          <w:tcPr>
            <w:tcW w:w="1996" w:type="pct"/>
          </w:tcPr>
          <w:p w:rsidR="003A7400" w:rsidRP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– исключение пункта 15</w:t>
            </w:r>
          </w:p>
        </w:tc>
        <w:tc>
          <w:tcPr>
            <w:tcW w:w="1524" w:type="pct"/>
          </w:tcPr>
          <w:p w:rsidR="003A7400" w:rsidRP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– НПА принят</w:t>
            </w: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Описание способа расчета (оценки) значений индикаторов достижения цели предлагаемого регулирования</w:t>
      </w:r>
    </w:p>
    <w:p w:rsidR="00BA754B" w:rsidRPr="004E5C83" w:rsidRDefault="00BA754B" w:rsidP="004E5C8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 индикаторов, приведенных в пункте 2.3 будут рассчитываться следующим образом и с получением информации из следующих источников: </w:t>
      </w:r>
      <w:r w:rsidR="004E5C83" w:rsidRPr="004E5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отсутствуют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tabs>
          <w:tab w:val="left" w:pos="2835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Описание программ мониторинга</w:t>
      </w:r>
    </w:p>
    <w:p w:rsidR="00BA754B" w:rsidRPr="004E5C83" w:rsidRDefault="00BA754B" w:rsidP="004E5C83">
      <w:pPr>
        <w:widowControl w:val="0"/>
        <w:tabs>
          <w:tab w:val="left" w:pos="2835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текущей оценки достижения целей предлагаемого регулирования (в том числе, при необходимости, для предварительной оценки достижения целевых значений индикаторов) со следующей периодичностью будут проводиться следующие программы мониторинга: </w:t>
      </w:r>
      <w:r w:rsidR="004E5C83" w:rsidRPr="004E5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отсутствуют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Иные способы оценки достижения целей предлагаемого регулирования:</w:t>
      </w:r>
    </w:p>
    <w:p w:rsidR="00BA754B" w:rsidRPr="004E5C83" w:rsidRDefault="004E5C83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5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обращения и жалобы граждан на действия владельца автомобильных дорог регионального и межмуниципального значения</w:t>
      </w:r>
    </w:p>
    <w:p w:rsidR="00BA754B" w:rsidRPr="00BA754B" w:rsidRDefault="00BA754B" w:rsidP="000C41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Обоснование наличия полномочий по принятию нормативного правового акта:</w:t>
      </w:r>
      <w:r w:rsidR="00A74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903" w:rsidRPr="00A74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11.2 статьи 6 Закона Новосибирской области от 02.05.2009 № 329-ОЗ «О дорожной деятельности в отношении автомобильных дорог регионального или межмуниципального значения»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пункт 11 п</w:t>
      </w:r>
      <w:r w:rsidR="000C4102" w:rsidRP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C4102" w:rsidRP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Новосибирской области от 19.10.2015 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C4102" w:rsidRP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382-п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C4102" w:rsidRP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 министерстве транспорта и дорожного </w:t>
      </w:r>
      <w:r w:rsidR="000C410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хозяйства Новосибирской области».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Заинтересованные лица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Основные группы субъектов предпринимательской и (или) инвестиционной деятельности, затрагиваемых предлагаемым регулированием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4"/>
        <w:gridCol w:w="3518"/>
        <w:gridCol w:w="2698"/>
      </w:tblGrid>
      <w:tr w:rsidR="00BA754B" w:rsidRPr="00BA754B" w:rsidTr="003A2B5E">
        <w:tc>
          <w:tcPr>
            <w:tcW w:w="1864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групп субъектов предпринимательской и (или) инвестиционной деятельности</w:t>
            </w:r>
          </w:p>
        </w:tc>
        <w:tc>
          <w:tcPr>
            <w:tcW w:w="1775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количества на стадии разработки проекта акта</w:t>
            </w:r>
          </w:p>
        </w:tc>
        <w:tc>
          <w:tcPr>
            <w:tcW w:w="1361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данных</w:t>
            </w:r>
          </w:p>
        </w:tc>
      </w:tr>
      <w:tr w:rsidR="00BA754B" w:rsidRPr="00BA754B" w:rsidTr="004E5C83">
        <w:trPr>
          <w:trHeight w:val="1515"/>
        </w:trPr>
        <w:tc>
          <w:tcPr>
            <w:tcW w:w="1864" w:type="pct"/>
          </w:tcPr>
          <w:p w:rsidR="004E5C83" w:rsidRDefault="004E5C83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существующих объектов сервиса, построенных вдоль автомобильных дорог регионального и межмуниципального значения</w:t>
            </w:r>
          </w:p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pct"/>
          </w:tcPr>
          <w:p w:rsidR="00BA754B" w:rsidRPr="00BA754B" w:rsidRDefault="009C546C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361" w:type="pct"/>
          </w:tcPr>
          <w:p w:rsidR="00BA754B" w:rsidRPr="00BA754B" w:rsidRDefault="009C546C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 ГКУ НСО ТУАД (владелец автомобильных дорог)</w:t>
            </w:r>
          </w:p>
        </w:tc>
      </w:tr>
      <w:tr w:rsidR="004E5C83" w:rsidRPr="00BA754B" w:rsidTr="004E5C83">
        <w:trPr>
          <w:trHeight w:val="1470"/>
        </w:trPr>
        <w:tc>
          <w:tcPr>
            <w:tcW w:w="1864" w:type="pct"/>
          </w:tcPr>
          <w:p w:rsidR="004E5C83" w:rsidRDefault="004E5C83" w:rsidP="004E5C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Субъекты предпринимательской деятельности, желающие построить объект сервиса или присоединить существующий к автомобильной дороге </w:t>
            </w:r>
          </w:p>
          <w:p w:rsidR="004E5C83" w:rsidRDefault="004E5C83" w:rsidP="004E5C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pct"/>
          </w:tcPr>
          <w:p w:rsidR="004E5C83" w:rsidRPr="00BA754B" w:rsidRDefault="004E5C83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61" w:type="pct"/>
          </w:tcPr>
          <w:p w:rsidR="004E5C83" w:rsidRPr="00BA754B" w:rsidRDefault="004E5C83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E5C83" w:rsidRPr="00BA754B" w:rsidTr="003A2B5E">
        <w:trPr>
          <w:trHeight w:val="360"/>
        </w:trPr>
        <w:tc>
          <w:tcPr>
            <w:tcW w:w="1864" w:type="pct"/>
          </w:tcPr>
          <w:p w:rsidR="004E5C83" w:rsidRDefault="004E5C83" w:rsidP="004E5C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предприниматели, физические лица, желающие присоединить свои автомобильные дороги к автомобильной дороге регионального или межмуниципального значения</w:t>
            </w:r>
          </w:p>
        </w:tc>
        <w:tc>
          <w:tcPr>
            <w:tcW w:w="1775" w:type="pct"/>
          </w:tcPr>
          <w:p w:rsidR="004E5C83" w:rsidRDefault="004E5C83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61" w:type="pct"/>
          </w:tcPr>
          <w:p w:rsidR="004E5C83" w:rsidRDefault="004E5C83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Устанавливаемые или изменяемые обязанности субъектов предпринимательской и (или) инвестиционной деятельности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81"/>
        <w:gridCol w:w="3284"/>
        <w:gridCol w:w="2345"/>
      </w:tblGrid>
      <w:tr w:rsidR="003A7400" w:rsidRPr="003A7400" w:rsidTr="003A2B5E">
        <w:tc>
          <w:tcPr>
            <w:tcW w:w="2160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новой (изменяемой) обязанности</w:t>
            </w:r>
          </w:p>
        </w:tc>
        <w:tc>
          <w:tcPr>
            <w:tcW w:w="1657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организации исполнения </w:t>
            </w:r>
          </w:p>
        </w:tc>
        <w:tc>
          <w:tcPr>
            <w:tcW w:w="1183" w:type="pct"/>
            <w:vAlign w:val="center"/>
          </w:tcPr>
          <w:p w:rsidR="00BA754B" w:rsidRPr="003A7400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расходов субъектов (включая периодичность, если применимо)</w:t>
            </w:r>
          </w:p>
        </w:tc>
      </w:tr>
      <w:tr w:rsidR="00BA754B" w:rsidRPr="00BA754B" w:rsidTr="003A2B5E">
        <w:tc>
          <w:tcPr>
            <w:tcW w:w="5000" w:type="pct"/>
            <w:gridSpan w:val="3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Группа субъектов (по </w:t>
            </w:r>
            <w:hyperlink w:anchor="P477" w:history="1">
              <w:r w:rsidRPr="00BA754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пункту 3.1</w:t>
              </w:r>
            </w:hyperlink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A754B" w:rsidRPr="00BA754B" w:rsidTr="003A2B5E">
        <w:tc>
          <w:tcPr>
            <w:tcW w:w="2160" w:type="pct"/>
            <w:vAlign w:val="center"/>
          </w:tcPr>
          <w:p w:rsidR="00BA754B" w:rsidRPr="00BA754B" w:rsidRDefault="003A7400" w:rsidP="009D4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657" w:type="pct"/>
            <w:vAlign w:val="center"/>
          </w:tcPr>
          <w:p w:rsidR="00BA754B" w:rsidRPr="00BA754B" w:rsidRDefault="003A7400" w:rsidP="005A2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83" w:type="pct"/>
            <w:vAlign w:val="center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Оценка иных расходов субъектов предпринимательской и (или) инвестиционной деятельности, связанных с введением предлагаемого регулирования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769"/>
        <w:gridCol w:w="3032"/>
        <w:gridCol w:w="3569"/>
      </w:tblGrid>
      <w:tr w:rsidR="00BA754B" w:rsidRPr="00BA754B" w:rsidTr="003A2B5E">
        <w:tc>
          <w:tcPr>
            <w:tcW w:w="540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29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проекта акта, реализация которого может потребовать расходы</w:t>
            </w:r>
          </w:p>
        </w:tc>
        <w:tc>
          <w:tcPr>
            <w:tcW w:w="3118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3649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расходов (включая периодичность, если применимо)</w:t>
            </w:r>
          </w:p>
        </w:tc>
      </w:tr>
      <w:tr w:rsidR="00BA754B" w:rsidRPr="00BA754B" w:rsidTr="003A2B5E">
        <w:tc>
          <w:tcPr>
            <w:tcW w:w="540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9" w:type="dxa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18" w:type="dxa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49" w:type="dxa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A754B" w:rsidRPr="00BA754B" w:rsidTr="003A2B5E">
        <w:tc>
          <w:tcPr>
            <w:tcW w:w="540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9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9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Полномочия органов государственной власти Новосибирской области/органов местного самоуправления, устанавливаемые или изменяемые предлагаемым регулированием, и оценка расходов на их реализацию.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09"/>
        <w:gridCol w:w="3591"/>
        <w:gridCol w:w="1867"/>
        <w:gridCol w:w="3043"/>
      </w:tblGrid>
      <w:tr w:rsidR="00BA754B" w:rsidRPr="00BA754B" w:rsidTr="003A2B5E">
        <w:tc>
          <w:tcPr>
            <w:tcW w:w="1331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Полномочие</w:t>
            </w:r>
          </w:p>
        </w:tc>
        <w:tc>
          <w:tcPr>
            <w:tcW w:w="1450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 воздействия  (установление/изменение/отмена)</w:t>
            </w:r>
          </w:p>
        </w:tc>
        <w:tc>
          <w:tcPr>
            <w:tcW w:w="1272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Предполагаемый порядок реализации</w:t>
            </w:r>
          </w:p>
        </w:tc>
        <w:tc>
          <w:tcPr>
            <w:tcW w:w="947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</w:t>
            </w: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областного/муниципального бюджета</w:t>
            </w:r>
          </w:p>
        </w:tc>
      </w:tr>
      <w:tr w:rsidR="00BA754B" w:rsidRPr="00BA754B" w:rsidTr="003A2B5E">
        <w:tc>
          <w:tcPr>
            <w:tcW w:w="5000" w:type="pct"/>
            <w:gridSpan w:val="4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органа государственной власти/органа местного самоуправления</w:t>
            </w:r>
          </w:p>
        </w:tc>
      </w:tr>
      <w:tr w:rsidR="00BA754B" w:rsidRPr="00BA754B" w:rsidTr="003A2B5E">
        <w:tc>
          <w:tcPr>
            <w:tcW w:w="1331" w:type="pct"/>
            <w:vAlign w:val="center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50" w:type="pct"/>
            <w:vAlign w:val="center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2" w:type="pct"/>
            <w:vAlign w:val="center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7" w:type="pct"/>
            <w:vAlign w:val="center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Оценка иных расходов бюджета Новосибирской области, связанных с введением предлагаемого регулирования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740"/>
        <w:gridCol w:w="3037"/>
        <w:gridCol w:w="3593"/>
      </w:tblGrid>
      <w:tr w:rsidR="00BA754B" w:rsidRPr="00BA754B" w:rsidTr="003A2B5E">
        <w:tc>
          <w:tcPr>
            <w:tcW w:w="500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28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проекта акта, реализация которого может потребовать расходы</w:t>
            </w:r>
          </w:p>
        </w:tc>
        <w:tc>
          <w:tcPr>
            <w:tcW w:w="3465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3994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расходов бюджета (включая периодичность, если применимо)</w:t>
            </w:r>
          </w:p>
        </w:tc>
      </w:tr>
      <w:tr w:rsidR="00BA754B" w:rsidRPr="00BA754B" w:rsidTr="003A2B5E">
        <w:tc>
          <w:tcPr>
            <w:tcW w:w="500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8" w:type="dxa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65" w:type="dxa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94" w:type="dxa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A754B" w:rsidRPr="00BA754B" w:rsidTr="003A2B5E">
        <w:tc>
          <w:tcPr>
            <w:tcW w:w="500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8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4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9C546C" w:rsidRDefault="00BA754B" w:rsidP="00BA75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46C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Оценка возможных поступлений в областной бюджет Новосибирской области/бюджеты муниципальных образований Новосибирской области</w:t>
      </w:r>
    </w:p>
    <w:p w:rsidR="00BA754B" w:rsidRPr="00BA754B" w:rsidRDefault="00BA754B" w:rsidP="00BA754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5"/>
        <w:gridCol w:w="2814"/>
        <w:gridCol w:w="2991"/>
      </w:tblGrid>
      <w:tr w:rsidR="00BA754B" w:rsidRPr="00BA754B" w:rsidTr="003A2B5E">
        <w:trPr>
          <w:trHeight w:val="28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54B" w:rsidRPr="00BA754B" w:rsidRDefault="00BA754B" w:rsidP="00B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бюджета бюджетной системы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54B" w:rsidRPr="00BA754B" w:rsidRDefault="00BA754B" w:rsidP="00B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поступлений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54B" w:rsidRPr="00BA754B" w:rsidRDefault="00BA754B" w:rsidP="00B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Количественная оценка и периодичность возможных поступлений в соответствующий бюджет</w:t>
            </w:r>
          </w:p>
        </w:tc>
      </w:tr>
      <w:tr w:rsidR="00BA754B" w:rsidRPr="00BA754B" w:rsidTr="003A2B5E"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54B" w:rsidRPr="00BA754B" w:rsidRDefault="009D474E" w:rsidP="00B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54B" w:rsidRPr="00BA754B" w:rsidRDefault="009D474E" w:rsidP="00B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54B" w:rsidRPr="00BA754B" w:rsidRDefault="009D474E" w:rsidP="00B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A754B" w:rsidRPr="00BA754B" w:rsidRDefault="00BA754B" w:rsidP="00BA75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Обоснование количественной оценки поступлений в соответствующий бюджет __________________________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BA754B" w:rsidRPr="00BA754B" w:rsidRDefault="00BA754B" w:rsidP="00BA75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BA754B" w:rsidRPr="00BA754B" w:rsidRDefault="00BA754B" w:rsidP="00BA75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4. Анализ воздействия предлагаемого регулирования на состояние конкуренции в Новосибирской области в регулируемой сфере деятельности.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numPr>
          <w:ilvl w:val="2"/>
          <w:numId w:val="0"/>
        </w:numPr>
        <w:spacing w:after="0" w:line="240" w:lineRule="auto"/>
        <w:ind w:firstLine="39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4.1. Положения, которые могут отрицательно воздействовать на состояние конкуренции</w:t>
      </w:r>
    </w:p>
    <w:p w:rsidR="00BA754B" w:rsidRPr="00BA754B" w:rsidRDefault="00BA754B" w:rsidP="00BA754B">
      <w:pPr>
        <w:numPr>
          <w:ilvl w:val="2"/>
          <w:numId w:val="0"/>
        </w:numPr>
        <w:spacing w:after="0" w:line="240" w:lineRule="auto"/>
        <w:ind w:firstLine="39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1"/>
        <w:tblW w:w="5000" w:type="pct"/>
        <w:tblLook w:val="06A0" w:firstRow="1" w:lastRow="0" w:firstColumn="1" w:lastColumn="0" w:noHBand="1" w:noVBand="1"/>
      </w:tblPr>
      <w:tblGrid>
        <w:gridCol w:w="914"/>
        <w:gridCol w:w="4591"/>
        <w:gridCol w:w="1258"/>
        <w:gridCol w:w="3147"/>
      </w:tblGrid>
      <w:tr w:rsidR="00BA754B" w:rsidRPr="00BA754B" w:rsidTr="003A2B5E">
        <w:tc>
          <w:tcPr>
            <w:tcW w:w="376" w:type="pct"/>
            <w:vMerge w:val="restart"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  <w:r w:rsidRPr="00BA754B">
              <w:rPr>
                <w:b/>
              </w:rPr>
              <w:t>№ п/п</w:t>
            </w:r>
          </w:p>
        </w:tc>
        <w:tc>
          <w:tcPr>
            <w:tcW w:w="2345" w:type="pct"/>
            <w:vMerge w:val="restart"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  <w:r w:rsidRPr="00BA754B">
              <w:rPr>
                <w:b/>
              </w:rPr>
              <w:t>Положение, которое может отрицательно воздействовать на состояние конкуренции</w:t>
            </w:r>
          </w:p>
        </w:tc>
        <w:tc>
          <w:tcPr>
            <w:tcW w:w="2279" w:type="pct"/>
            <w:gridSpan w:val="2"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  <w:r w:rsidRPr="00BA754B">
              <w:rPr>
                <w:b/>
              </w:rPr>
              <w:t>Наличие положения в проекте акта</w:t>
            </w:r>
          </w:p>
        </w:tc>
      </w:tr>
      <w:tr w:rsidR="00BA754B" w:rsidRPr="00BA754B" w:rsidTr="003A2B5E">
        <w:tc>
          <w:tcPr>
            <w:tcW w:w="376" w:type="pct"/>
            <w:vMerge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</w:p>
        </w:tc>
        <w:tc>
          <w:tcPr>
            <w:tcW w:w="2345" w:type="pct"/>
            <w:vMerge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</w:p>
        </w:tc>
        <w:tc>
          <w:tcPr>
            <w:tcW w:w="663" w:type="pct"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  <w:r w:rsidRPr="00BA754B">
              <w:rPr>
                <w:b/>
              </w:rPr>
              <w:t>Есть /нет</w:t>
            </w:r>
          </w:p>
        </w:tc>
        <w:tc>
          <w:tcPr>
            <w:tcW w:w="1616" w:type="pct"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  <w:r w:rsidRPr="00BA754B">
              <w:rPr>
                <w:b/>
              </w:rPr>
              <w:t>Ссылка на положение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pPr>
              <w:rPr>
                <w:b/>
              </w:rPr>
            </w:pPr>
            <w:r w:rsidRPr="00BA754B">
              <w:rPr>
                <w:b/>
              </w:rPr>
              <w:t>1</w:t>
            </w:r>
          </w:p>
        </w:tc>
        <w:tc>
          <w:tcPr>
            <w:tcW w:w="4624" w:type="pct"/>
            <w:gridSpan w:val="3"/>
          </w:tcPr>
          <w:p w:rsidR="00BA754B" w:rsidRPr="00BA754B" w:rsidRDefault="00BA754B" w:rsidP="00BA754B">
            <w:r w:rsidRPr="00BA754B">
              <w:t>Ограничение количества или круга субъектов предпринимательской деятельности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r w:rsidRPr="00BA754B">
              <w:t>1.1</w:t>
            </w:r>
          </w:p>
        </w:tc>
        <w:tc>
          <w:tcPr>
            <w:tcW w:w="2345" w:type="pct"/>
          </w:tcPr>
          <w:p w:rsidR="00BA754B" w:rsidRPr="00BA754B" w:rsidRDefault="00BA754B" w:rsidP="00BA754B">
            <w:r w:rsidRPr="00BA754B">
              <w:t>Предоставляет преимущество по продаже товаров, выполнению работ, оказанию услуг субъекту (группе субъектов) предпринимательской деятельности</w:t>
            </w:r>
          </w:p>
        </w:tc>
        <w:tc>
          <w:tcPr>
            <w:tcW w:w="663" w:type="pct"/>
          </w:tcPr>
          <w:p w:rsidR="00BA754B" w:rsidRPr="00BA754B" w:rsidRDefault="009D474E" w:rsidP="00BA754B">
            <w:r>
              <w:t>нет</w:t>
            </w:r>
          </w:p>
        </w:tc>
        <w:tc>
          <w:tcPr>
            <w:tcW w:w="1616" w:type="pct"/>
          </w:tcPr>
          <w:p w:rsidR="00BA754B" w:rsidRPr="00BA754B" w:rsidRDefault="009D474E" w:rsidP="00BA754B">
            <w:r>
              <w:t>-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r w:rsidRPr="00BA754B">
              <w:t>1.2</w:t>
            </w:r>
          </w:p>
        </w:tc>
        <w:tc>
          <w:tcPr>
            <w:tcW w:w="2345" w:type="pct"/>
          </w:tcPr>
          <w:p w:rsidR="00BA754B" w:rsidRPr="00BA754B" w:rsidRDefault="00BA754B" w:rsidP="00BA754B">
            <w:r w:rsidRPr="00BA754B">
              <w:t>Ограничивает возможность субъектов предпринимательской деятельности продавать товары, выполнять работы, оказывать услуги</w:t>
            </w:r>
          </w:p>
        </w:tc>
        <w:tc>
          <w:tcPr>
            <w:tcW w:w="663" w:type="pct"/>
          </w:tcPr>
          <w:p w:rsidR="00BA754B" w:rsidRPr="00BA754B" w:rsidRDefault="009D474E" w:rsidP="00BA754B">
            <w:r>
              <w:t>нет</w:t>
            </w:r>
          </w:p>
        </w:tc>
        <w:tc>
          <w:tcPr>
            <w:tcW w:w="1616" w:type="pct"/>
          </w:tcPr>
          <w:p w:rsidR="00BA754B" w:rsidRPr="00BA754B" w:rsidRDefault="009D474E" w:rsidP="00BA754B">
            <w:r>
              <w:t>-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DB3DBF" w:rsidRDefault="00BA754B" w:rsidP="00BA754B">
            <w:r w:rsidRPr="00DB3DBF">
              <w:t>1.3</w:t>
            </w:r>
          </w:p>
        </w:tc>
        <w:tc>
          <w:tcPr>
            <w:tcW w:w="2345" w:type="pct"/>
          </w:tcPr>
          <w:p w:rsidR="00BA754B" w:rsidRPr="00DB3DBF" w:rsidRDefault="00BA754B" w:rsidP="00BA754B">
            <w:r w:rsidRPr="00DB3DBF">
              <w:t>Вводит требование по получению разрешения или согласования в качестве условия для начала или продолжения деятельности</w:t>
            </w:r>
          </w:p>
        </w:tc>
        <w:tc>
          <w:tcPr>
            <w:tcW w:w="663" w:type="pct"/>
          </w:tcPr>
          <w:p w:rsidR="00BA754B" w:rsidRPr="00DB3DBF" w:rsidRDefault="003A7400" w:rsidP="00BA754B">
            <w:r>
              <w:t>нет</w:t>
            </w:r>
          </w:p>
        </w:tc>
        <w:tc>
          <w:tcPr>
            <w:tcW w:w="1616" w:type="pct"/>
          </w:tcPr>
          <w:p w:rsidR="00BA754B" w:rsidRPr="00DB3DBF" w:rsidRDefault="003A7400" w:rsidP="00BA754B">
            <w:r>
              <w:t>-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r w:rsidRPr="00BA754B">
              <w:t>1.4</w:t>
            </w:r>
          </w:p>
        </w:tc>
        <w:tc>
          <w:tcPr>
            <w:tcW w:w="2345" w:type="pct"/>
          </w:tcPr>
          <w:p w:rsidR="00BA754B" w:rsidRPr="00BA754B" w:rsidRDefault="00BA754B" w:rsidP="00BA754B">
            <w:r w:rsidRPr="00BA754B">
              <w:t>Создает географический барьер, ограничивающий возможность субъектов предпринимательской деятельности продавать товары, выполнять работы, оказывать услуги</w:t>
            </w:r>
          </w:p>
        </w:tc>
        <w:tc>
          <w:tcPr>
            <w:tcW w:w="663" w:type="pct"/>
          </w:tcPr>
          <w:p w:rsidR="00BA754B" w:rsidRPr="00BA754B" w:rsidRDefault="009D474E" w:rsidP="00BA754B">
            <w:r>
              <w:t>нет</w:t>
            </w:r>
          </w:p>
        </w:tc>
        <w:tc>
          <w:tcPr>
            <w:tcW w:w="1616" w:type="pct"/>
          </w:tcPr>
          <w:p w:rsidR="00BA754B" w:rsidRPr="00BA754B" w:rsidRDefault="009D474E" w:rsidP="00BA754B">
            <w:r>
              <w:t>-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pPr>
              <w:rPr>
                <w:b/>
              </w:rPr>
            </w:pPr>
            <w:r w:rsidRPr="00BA754B">
              <w:rPr>
                <w:b/>
              </w:rPr>
              <w:t>2</w:t>
            </w:r>
          </w:p>
        </w:tc>
        <w:tc>
          <w:tcPr>
            <w:tcW w:w="4624" w:type="pct"/>
            <w:gridSpan w:val="3"/>
          </w:tcPr>
          <w:p w:rsidR="00BA754B" w:rsidRPr="00BA754B" w:rsidRDefault="00BA754B" w:rsidP="00BA754B">
            <w:r w:rsidRPr="00BA754B">
              <w:t>Ограничение способности субъектов предпринимательской деятельности вести конкуренцию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r w:rsidRPr="00BA754B">
              <w:t>2.1</w:t>
            </w:r>
          </w:p>
        </w:tc>
        <w:tc>
          <w:tcPr>
            <w:tcW w:w="2345" w:type="pct"/>
          </w:tcPr>
          <w:p w:rsidR="00BA754B" w:rsidRPr="00BA754B" w:rsidRDefault="00BA754B" w:rsidP="00BA754B">
            <w:r w:rsidRPr="00BA754B">
              <w:t>Ограничивает возможность субъектов предпринимательской деятельности устанавливать цены на товары, работы или услуги</w:t>
            </w:r>
          </w:p>
        </w:tc>
        <w:tc>
          <w:tcPr>
            <w:tcW w:w="663" w:type="pct"/>
          </w:tcPr>
          <w:p w:rsidR="00BA754B" w:rsidRPr="00BA754B" w:rsidRDefault="009D474E" w:rsidP="00BA754B">
            <w:r>
              <w:t>нет</w:t>
            </w:r>
          </w:p>
        </w:tc>
        <w:tc>
          <w:tcPr>
            <w:tcW w:w="1616" w:type="pct"/>
          </w:tcPr>
          <w:p w:rsidR="00BA754B" w:rsidRPr="00BA754B" w:rsidRDefault="009D474E" w:rsidP="00BA754B">
            <w:r>
              <w:t>-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r w:rsidRPr="00BA754B">
              <w:t>2.2</w:t>
            </w:r>
          </w:p>
        </w:tc>
        <w:tc>
          <w:tcPr>
            <w:tcW w:w="2345" w:type="pct"/>
          </w:tcPr>
          <w:p w:rsidR="00BA754B" w:rsidRPr="00BA754B" w:rsidRDefault="00BA754B" w:rsidP="00BA754B">
            <w:r w:rsidRPr="00BA754B">
              <w:t>Ограничивает свободу субъектов предпринимательской деятельности осуществлять рекламу или маркетинг</w:t>
            </w:r>
          </w:p>
        </w:tc>
        <w:tc>
          <w:tcPr>
            <w:tcW w:w="663" w:type="pct"/>
          </w:tcPr>
          <w:p w:rsidR="00BA754B" w:rsidRPr="00BA754B" w:rsidRDefault="009D474E" w:rsidP="00BA754B">
            <w:r>
              <w:t>нет</w:t>
            </w:r>
          </w:p>
        </w:tc>
        <w:tc>
          <w:tcPr>
            <w:tcW w:w="1616" w:type="pct"/>
          </w:tcPr>
          <w:p w:rsidR="00BA754B" w:rsidRPr="00BA754B" w:rsidRDefault="009D474E" w:rsidP="00BA754B">
            <w:r>
              <w:t>-</w:t>
            </w:r>
          </w:p>
        </w:tc>
      </w:tr>
    </w:tbl>
    <w:p w:rsidR="00BA754B" w:rsidRPr="00BA754B" w:rsidRDefault="00BA754B" w:rsidP="00BA754B">
      <w:pPr>
        <w:numPr>
          <w:ilvl w:val="2"/>
          <w:numId w:val="0"/>
        </w:numPr>
        <w:spacing w:after="0" w:line="240" w:lineRule="auto"/>
        <w:ind w:firstLine="39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5A2445" w:rsidRDefault="00BA754B" w:rsidP="005A2445">
      <w:pPr>
        <w:numPr>
          <w:ilvl w:val="2"/>
          <w:numId w:val="0"/>
        </w:numPr>
        <w:spacing w:after="0" w:line="240" w:lineRule="auto"/>
        <w:ind w:firstLine="39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5A2445">
        <w:rPr>
          <w:rFonts w:ascii="Times New Roman" w:eastAsia="Times New Roman" w:hAnsi="Times New Roman" w:cs="Times New Roman"/>
          <w:sz w:val="28"/>
          <w:szCs w:val="28"/>
        </w:rPr>
        <w:t xml:space="preserve">4.2. Обоснование необходимости введения указанных разработчиком положений (при наличии): </w:t>
      </w:r>
      <w:r w:rsidR="003A7400">
        <w:rPr>
          <w:rFonts w:ascii="Times New Roman" w:eastAsia="Times New Roman" w:hAnsi="Times New Roman" w:cs="Times New Roman"/>
          <w:sz w:val="28"/>
          <w:szCs w:val="28"/>
        </w:rPr>
        <w:t>-</w:t>
      </w:r>
    </w:p>
    <w:p w:rsidR="00BA754B" w:rsidRPr="00BA754B" w:rsidRDefault="00BA754B" w:rsidP="00BA754B">
      <w:pPr>
        <w:numPr>
          <w:ilvl w:val="2"/>
          <w:numId w:val="0"/>
        </w:numPr>
        <w:spacing w:after="0" w:line="240" w:lineRule="auto"/>
        <w:ind w:firstLine="39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BA754B" w:rsidRDefault="00BA754B" w:rsidP="00BA754B">
      <w:pPr>
        <w:numPr>
          <w:ilvl w:val="2"/>
          <w:numId w:val="0"/>
        </w:numPr>
        <w:spacing w:after="0" w:line="240" w:lineRule="auto"/>
        <w:ind w:firstLine="39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4.3. Риск отрицательного воздействия на состояние конкуренции</w:t>
      </w:r>
    </w:p>
    <w:p w:rsidR="00BA754B" w:rsidRPr="009C546C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46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Количество лиц, осуществляющих предпринимательскую деятельность в регулируемой сфере, составляет </w:t>
      </w:r>
      <w:r w:rsidR="009C546C" w:rsidRPr="009C546C">
        <w:rPr>
          <w:rFonts w:ascii="Times New Roman" w:eastAsia="Times New Roman" w:hAnsi="Times New Roman" w:cs="Times New Roman"/>
          <w:sz w:val="28"/>
          <w:szCs w:val="28"/>
        </w:rPr>
        <w:t>204</w:t>
      </w:r>
      <w:r w:rsidRPr="009C546C">
        <w:rPr>
          <w:rFonts w:ascii="Times New Roman" w:eastAsia="Times New Roman" w:hAnsi="Times New Roman" w:cs="Times New Roman"/>
          <w:sz w:val="28"/>
          <w:szCs w:val="28"/>
        </w:rPr>
        <w:t xml:space="preserve">. (Источник: </w:t>
      </w:r>
      <w:r w:rsidR="009C546C" w:rsidRPr="009C546C">
        <w:rPr>
          <w:rFonts w:ascii="Times New Roman" w:eastAsia="Times New Roman" w:hAnsi="Times New Roman" w:cs="Times New Roman"/>
          <w:sz w:val="28"/>
          <w:szCs w:val="28"/>
        </w:rPr>
        <w:t>статистика владельца автомобильных дорого регионального и межмуниципального значения – ГКУ НСО ТУАД</w:t>
      </w:r>
      <w:r w:rsidRPr="009C546C">
        <w:rPr>
          <w:rFonts w:ascii="Times New Roman" w:eastAsia="Times New Roman" w:hAnsi="Times New Roman" w:cs="Times New Roman"/>
          <w:sz w:val="28"/>
          <w:szCs w:val="28"/>
        </w:rPr>
        <w:t xml:space="preserve">) Из них соответствуют требованиям предлагаемого регулирования либо имеют возможность соответствовать им </w:t>
      </w:r>
      <w:r w:rsidR="009C546C" w:rsidRPr="009C546C">
        <w:rPr>
          <w:rFonts w:ascii="Times New Roman" w:eastAsia="Times New Roman" w:hAnsi="Times New Roman" w:cs="Times New Roman"/>
          <w:sz w:val="28"/>
          <w:szCs w:val="28"/>
        </w:rPr>
        <w:t>204</w:t>
      </w:r>
      <w:r w:rsidRPr="009C546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C546C" w:rsidRPr="009C546C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9C546C">
        <w:rPr>
          <w:rFonts w:ascii="Times New Roman" w:eastAsia="Times New Roman" w:hAnsi="Times New Roman" w:cs="Times New Roman"/>
          <w:sz w:val="28"/>
          <w:szCs w:val="28"/>
        </w:rPr>
        <w:t xml:space="preserve"> % от указанного количества, доля). </w:t>
      </w:r>
    </w:p>
    <w:p w:rsidR="00BA754B" w:rsidRP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Вводимое регулирование, в соответствии с нижеследующим порядком расчета, обладает _______</w:t>
      </w:r>
      <w:r w:rsidR="009D474E">
        <w:rPr>
          <w:rFonts w:ascii="Times New Roman" w:eastAsia="Times New Roman" w:hAnsi="Times New Roman" w:cs="Times New Roman"/>
          <w:sz w:val="28"/>
          <w:szCs w:val="28"/>
        </w:rPr>
        <w:t>низкой</w:t>
      </w:r>
      <w:r w:rsidRPr="00BA754B">
        <w:rPr>
          <w:rFonts w:ascii="Times New Roman" w:eastAsia="Times New Roman" w:hAnsi="Times New Roman" w:cs="Times New Roman"/>
          <w:sz w:val="28"/>
          <w:szCs w:val="28"/>
        </w:rPr>
        <w:t>_________ степенью риска отрицательного воздействия на состояние конкуренции.</w:t>
      </w:r>
    </w:p>
    <w:p w:rsidR="00BA754B" w:rsidRPr="00BA754B" w:rsidRDefault="00BA754B" w:rsidP="00BA754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486"/>
        <w:gridCol w:w="2477"/>
        <w:gridCol w:w="2475"/>
        <w:gridCol w:w="2472"/>
      </w:tblGrid>
      <w:tr w:rsidR="00BA754B" w:rsidRPr="00BA754B" w:rsidTr="003A2B5E">
        <w:tc>
          <w:tcPr>
            <w:tcW w:w="2534" w:type="dxa"/>
            <w:vMerge w:val="restart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54B">
              <w:rPr>
                <w:rFonts w:ascii="Times New Roman" w:hAnsi="Times New Roman"/>
                <w:b/>
                <w:sz w:val="24"/>
                <w:szCs w:val="24"/>
              </w:rPr>
              <w:t xml:space="preserve">Доля лиц, указанных в подпункте 4.3 пункта 4 части </w:t>
            </w:r>
            <w:r w:rsidRPr="00BA754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BA754B">
              <w:rPr>
                <w:rFonts w:ascii="Times New Roman" w:hAnsi="Times New Roman"/>
                <w:b/>
                <w:sz w:val="24"/>
                <w:szCs w:val="24"/>
              </w:rPr>
              <w:t xml:space="preserve"> сводного отчета</w:t>
            </w:r>
          </w:p>
        </w:tc>
        <w:tc>
          <w:tcPr>
            <w:tcW w:w="7602" w:type="dxa"/>
            <w:gridSpan w:val="3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54B">
              <w:rPr>
                <w:rFonts w:ascii="Times New Roman" w:hAnsi="Times New Roman"/>
                <w:b/>
                <w:sz w:val="24"/>
                <w:szCs w:val="24"/>
              </w:rPr>
              <w:t>Степень риска отрицательного воздействия</w:t>
            </w:r>
          </w:p>
        </w:tc>
      </w:tr>
      <w:tr w:rsidR="00BA754B" w:rsidRPr="00BA754B" w:rsidTr="003A2B5E">
        <w:tc>
          <w:tcPr>
            <w:tcW w:w="2534" w:type="dxa"/>
            <w:vMerge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54B">
              <w:rPr>
                <w:rFonts w:ascii="Times New Roman" w:hAnsi="Times New Roman"/>
                <w:b/>
                <w:sz w:val="24"/>
                <w:szCs w:val="24"/>
              </w:rPr>
              <w:t>Высокая</w:t>
            </w: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54B">
              <w:rPr>
                <w:rFonts w:ascii="Times New Roman" w:hAnsi="Times New Roman"/>
                <w:b/>
                <w:sz w:val="24"/>
                <w:szCs w:val="24"/>
              </w:rPr>
              <w:t>Средняя</w:t>
            </w: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54B">
              <w:rPr>
                <w:rFonts w:ascii="Times New Roman" w:hAnsi="Times New Roman"/>
                <w:b/>
                <w:sz w:val="24"/>
                <w:szCs w:val="24"/>
              </w:rPr>
              <w:t>Низкая</w:t>
            </w:r>
          </w:p>
        </w:tc>
      </w:tr>
      <w:tr w:rsidR="00BA754B" w:rsidRPr="00BA754B" w:rsidTr="003A2B5E"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54B">
              <w:rPr>
                <w:rFonts w:ascii="Times New Roman" w:hAnsi="Times New Roman"/>
                <w:sz w:val="24"/>
                <w:szCs w:val="24"/>
              </w:rPr>
              <w:t>менее 50 %</w:t>
            </w: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54B" w:rsidRPr="00BA754B" w:rsidTr="003A2B5E"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54B">
              <w:rPr>
                <w:rFonts w:ascii="Times New Roman" w:hAnsi="Times New Roman"/>
                <w:sz w:val="24"/>
                <w:szCs w:val="24"/>
              </w:rPr>
              <w:t>от 50 до 80 %</w:t>
            </w: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54B" w:rsidRPr="00BA754B" w:rsidTr="003A2B5E"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54B">
              <w:rPr>
                <w:rFonts w:ascii="Times New Roman" w:hAnsi="Times New Roman"/>
                <w:sz w:val="24"/>
                <w:szCs w:val="24"/>
              </w:rPr>
              <w:t>более 80 %</w:t>
            </w: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54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</w:tbl>
    <w:p w:rsidR="00BA754B" w:rsidRPr="00BA754B" w:rsidRDefault="00BA754B" w:rsidP="00BA754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3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Иные риски решения проблем предложенным способом и риски негативных последствий _________________</w:t>
      </w:r>
      <w:r w:rsidR="009D474E" w:rsidRPr="009D474E">
        <w:t xml:space="preserve"> </w:t>
      </w:r>
      <w:r w:rsidR="009D474E" w:rsidRPr="009D47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предусмотрены законодательством</w:t>
      </w:r>
      <w:r w:rsidR="009D474E" w:rsidRP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754B" w:rsidRPr="00BA754B" w:rsidRDefault="00BA754B" w:rsidP="009D474E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Порядок введения регулирования</w:t>
      </w:r>
      <w:r w:rsidRPr="00BA754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порядок вступления в силу предусмотрен частью 2 статьи 2 </w:t>
      </w:r>
      <w:r w:rsidR="009D474E" w:rsidRP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D474E" w:rsidRP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ибирской области от 07.05.2018 № </w:t>
      </w:r>
      <w:r w:rsidR="009D474E" w:rsidRP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256-ОЗ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D474E" w:rsidRP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статьи 6 и 13 Закона Новосибирской области 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D474E" w:rsidRP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дорожной деятельности в отношении автомобильных дорог регионального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межмуниципального значения».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Иные сведения, которые, по мнению разработчика акта, позволяют оценить обоснованность предлагаемого регулирования ______________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BA754B" w:rsidRPr="00BA754B" w:rsidSect="00C008F8">
          <w:headerReference w:type="default" r:id="rId7"/>
          <w:pgSz w:w="11905" w:h="16838"/>
          <w:pgMar w:top="1134" w:right="567" w:bottom="1134" w:left="1418" w:header="0" w:footer="0" w:gutter="0"/>
          <w:cols w:space="720"/>
          <w:titlePg/>
          <w:docGrid w:linePitch="326"/>
        </w:sect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III. Обоснование проблем и способы их решения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Описание проблем, негативных эффектов и их обоснование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0"/>
        <w:gridCol w:w="3107"/>
        <w:gridCol w:w="2193"/>
        <w:gridCol w:w="3046"/>
        <w:gridCol w:w="5544"/>
      </w:tblGrid>
      <w:tr w:rsidR="00BA754B" w:rsidRPr="00BA754B" w:rsidTr="003A2B5E">
        <w:tc>
          <w:tcPr>
            <w:tcW w:w="230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067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</w:t>
            </w: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(сущность проблемы)</w:t>
            </w:r>
          </w:p>
        </w:tc>
        <w:tc>
          <w:tcPr>
            <w:tcW w:w="753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проблемы</w:t>
            </w:r>
          </w:p>
        </w:tc>
        <w:tc>
          <w:tcPr>
            <w:tcW w:w="1046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Негативные эффекты</w:t>
            </w:r>
          </w:p>
        </w:tc>
        <w:tc>
          <w:tcPr>
            <w:tcW w:w="1904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негативных эффектов</w:t>
            </w:r>
          </w:p>
        </w:tc>
      </w:tr>
      <w:tr w:rsidR="00BA754B" w:rsidRPr="00BA754B" w:rsidTr="003A2B5E">
        <w:tc>
          <w:tcPr>
            <w:tcW w:w="230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7" w:type="pct"/>
          </w:tcPr>
          <w:p w:rsidR="00BA754B" w:rsidRPr="00BA754B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в </w:t>
            </w:r>
            <w:r w:rsidRPr="003A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A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части 5.3 статьи 20 Федерального закона 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 отзыва полученного согласия владельца автомобильной дороги</w:t>
            </w:r>
          </w:p>
        </w:tc>
        <w:tc>
          <w:tcPr>
            <w:tcW w:w="753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6" w:type="pct"/>
          </w:tcPr>
          <w:p w:rsidR="00BA754B" w:rsidRPr="00BA754B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Установлена необходимость отзыва владельцем автомобильной дороги выданного согласия при нарушении заинтересованным лицом условий полученного согласия</w:t>
            </w:r>
          </w:p>
        </w:tc>
        <w:tc>
          <w:tcPr>
            <w:tcW w:w="1904" w:type="pct"/>
          </w:tcPr>
          <w:p w:rsidR="00BA754B" w:rsidRPr="00BA754B" w:rsidRDefault="00E60713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приводит к тому, что владелец автомобильной дороги </w:t>
            </w:r>
            <w:r w:rsidR="003A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обязан отозвать выданное согласие, хотя такое действие федеральным законодательством не предусмотрено</w:t>
            </w: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Описание способов решения заявленных проблем (международного опыта, опыта других </w:t>
      </w: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субъектов Российской Федерации), в том числе без введения предлагаемого регулирования.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8"/>
        <w:gridCol w:w="877"/>
        <w:gridCol w:w="58"/>
        <w:gridCol w:w="4106"/>
        <w:gridCol w:w="2848"/>
        <w:gridCol w:w="713"/>
        <w:gridCol w:w="2260"/>
      </w:tblGrid>
      <w:tr w:rsidR="00BA754B" w:rsidRPr="00BA754B" w:rsidTr="003A7400">
        <w:trPr>
          <w:trHeight w:val="614"/>
        </w:trPr>
        <w:tc>
          <w:tcPr>
            <w:tcW w:w="1270" w:type="pct"/>
            <w:vMerge w:val="restar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проблемы с указанием номера (из </w:t>
            </w:r>
            <w:hyperlink w:anchor="P595" w:history="1">
              <w:r w:rsidRPr="00BA754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таблицы 1</w:t>
              </w:r>
            </w:hyperlink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31" w:type="pct"/>
            <w:gridSpan w:val="3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решения заявленных проблем</w:t>
            </w:r>
          </w:p>
        </w:tc>
        <w:tc>
          <w:tcPr>
            <w:tcW w:w="978" w:type="pct"/>
            <w:vMerge w:val="restar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субъекта РФ (страны)</w:t>
            </w:r>
          </w:p>
        </w:tc>
        <w:tc>
          <w:tcPr>
            <w:tcW w:w="1021" w:type="pct"/>
            <w:gridSpan w:val="2"/>
            <w:vMerge w:val="restar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данных (название статьи нормативного правового акта, адрес страницы сайта)</w:t>
            </w:r>
          </w:p>
        </w:tc>
      </w:tr>
      <w:tr w:rsidR="00BA754B" w:rsidRPr="00BA754B" w:rsidTr="003A7400">
        <w:trPr>
          <w:trHeight w:val="613"/>
        </w:trPr>
        <w:tc>
          <w:tcPr>
            <w:tcW w:w="1270" w:type="pct"/>
            <w:vMerge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gridSpan w:val="2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способа</w:t>
            </w:r>
          </w:p>
        </w:tc>
        <w:tc>
          <w:tcPr>
            <w:tcW w:w="1410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способа</w:t>
            </w:r>
          </w:p>
        </w:tc>
        <w:tc>
          <w:tcPr>
            <w:tcW w:w="978" w:type="pct"/>
            <w:vMerge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gridSpan w:val="2"/>
            <w:vMerge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5D6B" w:rsidTr="008C5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1"/>
          <w:wBefore w:w="1571" w:type="pct"/>
          <w:wAfter w:w="776" w:type="pct"/>
          <w:trHeight w:val="105"/>
        </w:trPr>
        <w:tc>
          <w:tcPr>
            <w:tcW w:w="2653" w:type="pct"/>
            <w:gridSpan w:val="4"/>
          </w:tcPr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7400" w:rsidRPr="00BA754B" w:rsidTr="003A7400">
        <w:tc>
          <w:tcPr>
            <w:tcW w:w="1270" w:type="pct"/>
          </w:tcPr>
          <w:p w:rsidR="003A7400" w:rsidRPr="00BA754B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в </w:t>
            </w:r>
            <w:r w:rsidRPr="003A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A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части 5.3 статьи 20 Федерального закона от </w:t>
            </w:r>
            <w:r w:rsidRPr="003A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 отзыва полученного согласия владельца автомобильной дороги</w:t>
            </w:r>
          </w:p>
        </w:tc>
        <w:tc>
          <w:tcPr>
            <w:tcW w:w="321" w:type="pct"/>
            <w:gridSpan w:val="2"/>
          </w:tcPr>
          <w:p w:rsidR="003A7400" w:rsidRPr="00BA754B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410" w:type="pct"/>
          </w:tcPr>
          <w:p w:rsidR="003A7400" w:rsidRPr="00BA754B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Принятие нормативного правового акта</w:t>
            </w:r>
          </w:p>
        </w:tc>
        <w:tc>
          <w:tcPr>
            <w:tcW w:w="978" w:type="pct"/>
          </w:tcPr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 – для автомобильных дорог федерального значения</w:t>
            </w: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Pr="00BA754B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gridSpan w:val="2"/>
          </w:tcPr>
          <w:p w:rsidR="003A7400" w:rsidRPr="00E60713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Приказ Департамента дорожного хозяйства и </w:t>
            </w:r>
            <w:r w:rsidRPr="00E60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транспорта Вологодской области от 11.05.2018 N 65</w:t>
            </w: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утверждении Порядка выдачи согласия в письменной форме владельцем автомобильной дороги общего пользования регионального или межмуниципального значения в целях строительства, реконструкции, капитального ремонта, ремонта являющихся сооружениями пересечения автомобильной дороги общего пользования регионального или межмуниципального значения с другими автомобильными дорогами и примыкания автомобильной дороги общего пользования регионального или межмуниципального значения к другой автомобильной дороге, а также перечня документов, необходимых для выдачи такого согласия"</w:t>
            </w: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http://www.pravo.gov35.ru</w:t>
            </w: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Pr="008C5D6B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Приказа Минтранса России</w:t>
            </w:r>
          </w:p>
          <w:p w:rsidR="003A7400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утверждении Порядка выдачи согласия в письменной форме владельцем автомобильной дороги федерального значения в целях строительства, реконструкции, капитального ремонта, ремонта являющихся сооружениями пересечения автомобильной дороги федерального значения с другими автомобильными дорогами и примыкания автомобильной дороги федерального значения к другой автомобильной дороге, а также перечня документов, необходимых для выдачи такого согласия"</w:t>
            </w:r>
          </w:p>
          <w:p w:rsidR="003A7400" w:rsidRPr="008C5D6B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7400" w:rsidRDefault="003A7400" w:rsidP="003A7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http://regulation.gov.ru/ </w:t>
            </w:r>
          </w:p>
          <w:p w:rsidR="003A7400" w:rsidRPr="00BA754B" w:rsidRDefault="003A7400" w:rsidP="003A74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Описание иных </w:t>
      </w: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способов решения заявленных проблем, в том числе без введения предлагаемого регулирования.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Помимо способов, описанных в </w:t>
      </w:r>
      <w:hyperlink w:anchor="P648" w:history="1">
        <w:r w:rsidRPr="00BA75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таблице 2</w:t>
        </w:r>
      </w:hyperlink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настоящей части, заявленные проблемы могут быть решены также иными </w:t>
      </w: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способами (в том числе без введения нового регулирования)</w:t>
      </w: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footnoteReference w:id="3"/>
      </w: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59"/>
        <w:gridCol w:w="935"/>
        <w:gridCol w:w="6357"/>
        <w:gridCol w:w="3209"/>
      </w:tblGrid>
      <w:tr w:rsidR="00BA754B" w:rsidRPr="00BA754B" w:rsidTr="003A2B5E">
        <w:trPr>
          <w:trHeight w:val="460"/>
        </w:trPr>
        <w:tc>
          <w:tcPr>
            <w:tcW w:w="1395" w:type="pct"/>
            <w:vMerge w:val="restar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проблемы с указанием номера (из </w:t>
            </w:r>
            <w:hyperlink w:anchor="P595" w:history="1">
              <w:r w:rsidRPr="00BA754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таблицы 1</w:t>
              </w:r>
            </w:hyperlink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02" w:type="pct"/>
            <w:gridSpan w:val="2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решения заявленных проблем</w:t>
            </w:r>
          </w:p>
        </w:tc>
        <w:tc>
          <w:tcPr>
            <w:tcW w:w="1103" w:type="pct"/>
            <w:vMerge w:val="restar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Примечания</w:t>
            </w:r>
          </w:p>
        </w:tc>
      </w:tr>
      <w:tr w:rsidR="00BA754B" w:rsidRPr="00BA754B" w:rsidTr="003A2B5E">
        <w:trPr>
          <w:trHeight w:val="460"/>
        </w:trPr>
        <w:tc>
          <w:tcPr>
            <w:tcW w:w="1395" w:type="pct"/>
            <w:vMerge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способа</w:t>
            </w:r>
          </w:p>
        </w:tc>
        <w:tc>
          <w:tcPr>
            <w:tcW w:w="2184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способа</w:t>
            </w:r>
          </w:p>
        </w:tc>
        <w:tc>
          <w:tcPr>
            <w:tcW w:w="1103" w:type="pct"/>
            <w:vMerge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754B" w:rsidRPr="00BA754B" w:rsidTr="003A2B5E">
        <w:tc>
          <w:tcPr>
            <w:tcW w:w="1395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8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84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3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A754B" w:rsidRPr="00BA754B" w:rsidSect="00C008F8">
          <w:pgSz w:w="16838" w:h="11905" w:orient="landscape"/>
          <w:pgMar w:top="1418" w:right="1134" w:bottom="567" w:left="1134" w:header="0" w:footer="0" w:gutter="0"/>
          <w:cols w:space="720"/>
          <w:docGrid w:linePitch="299"/>
        </w:sectPr>
      </w:pPr>
    </w:p>
    <w:p w:rsidR="00BA754B" w:rsidRPr="00BA754B" w:rsidRDefault="00BA754B" w:rsidP="00BA75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IV. Сведения о проведении публичных консультаций</w:t>
      </w:r>
    </w:p>
    <w:p w:rsidR="00BA754B" w:rsidRPr="00BA754B" w:rsidRDefault="00BA754B" w:rsidP="00BA75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54B" w:rsidRPr="00BA754B" w:rsidRDefault="00BA754B" w:rsidP="00BA754B">
      <w:pPr>
        <w:numPr>
          <w:ilvl w:val="1"/>
          <w:numId w:val="3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Сведения о проведении публичных консультаций по уведомлению о необходимости разработки проекта акта</w:t>
      </w:r>
    </w:p>
    <w:p w:rsidR="00BA754B" w:rsidRPr="00BA754B" w:rsidRDefault="00BA754B" w:rsidP="00BA754B">
      <w:pPr>
        <w:spacing w:after="0" w:line="240" w:lineRule="auto"/>
        <w:ind w:left="39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BA754B" w:rsidRDefault="00BA754B" w:rsidP="00BA754B">
      <w:pPr>
        <w:numPr>
          <w:ilvl w:val="2"/>
          <w:numId w:val="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Публичные консультации проводились</w:t>
      </w:r>
    </w:p>
    <w:p w:rsid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499549726"/>
      <w:r w:rsidRPr="00BA754B">
        <w:rPr>
          <w:rFonts w:ascii="Times New Roman" w:eastAsia="Times New Roman" w:hAnsi="Times New Roman" w:cs="Times New Roman"/>
          <w:sz w:val="28"/>
          <w:szCs w:val="28"/>
        </w:rPr>
        <w:t xml:space="preserve">Публичные консультации проводились с </w:t>
      </w:r>
      <w:r w:rsidR="003A7400">
        <w:rPr>
          <w:rFonts w:ascii="Times New Roman" w:eastAsia="Times New Roman" w:hAnsi="Times New Roman" w:cs="Times New Roman"/>
          <w:sz w:val="28"/>
          <w:szCs w:val="28"/>
        </w:rPr>
        <w:t>09.01.2019</w:t>
      </w:r>
      <w:r w:rsidRPr="00BA754B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3A7400">
        <w:rPr>
          <w:rFonts w:ascii="Times New Roman" w:eastAsia="Times New Roman" w:hAnsi="Times New Roman" w:cs="Times New Roman"/>
          <w:sz w:val="28"/>
          <w:szCs w:val="28"/>
        </w:rPr>
        <w:t>18.01.2019</w:t>
      </w:r>
      <w:r w:rsidRPr="00BA754B">
        <w:rPr>
          <w:rFonts w:ascii="Times New Roman" w:eastAsia="Times New Roman" w:hAnsi="Times New Roman" w:cs="Times New Roman"/>
          <w:sz w:val="28"/>
          <w:szCs w:val="28"/>
        </w:rPr>
        <w:t xml:space="preserve">; информация доступна в сети Интернет по следующему адресу: </w:t>
      </w:r>
    </w:p>
    <w:p w:rsidR="00D035B9" w:rsidRPr="00E9713E" w:rsidRDefault="00D035B9" w:rsidP="00D035B9">
      <w:pPr>
        <w:jc w:val="both"/>
        <w:rPr>
          <w:sz w:val="28"/>
          <w:szCs w:val="28"/>
        </w:rPr>
      </w:pPr>
      <w:r w:rsidRPr="000D020B">
        <w:rPr>
          <w:sz w:val="28"/>
          <w:szCs w:val="28"/>
        </w:rPr>
        <w:t>http://dem.nso.ru/lawandnpa/cf8e90de-201e-472b-93b7-136e3bf9f45e</w:t>
      </w:r>
    </w:p>
    <w:bookmarkEnd w:id="0"/>
    <w:p w:rsidR="00BA754B" w:rsidRPr="00BA754B" w:rsidRDefault="00BA754B" w:rsidP="00BA754B">
      <w:pPr>
        <w:numPr>
          <w:ilvl w:val="2"/>
          <w:numId w:val="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Публичные консультации не проводились</w:t>
      </w:r>
    </w:p>
    <w:p w:rsidR="00D035B9" w:rsidRDefault="00D035B9" w:rsidP="00D035B9">
      <w:pPr>
        <w:spacing w:after="0" w:line="240" w:lineRule="auto"/>
        <w:ind w:left="39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BA754B" w:rsidRDefault="00BA754B" w:rsidP="00BA754B">
      <w:pPr>
        <w:numPr>
          <w:ilvl w:val="1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Сведения о проведении публичных консультаций по проекту акта, сводному отчету</w:t>
      </w:r>
    </w:p>
    <w:p w:rsidR="00BA754B" w:rsidRPr="00BA754B" w:rsidRDefault="00BA754B" w:rsidP="00BA754B">
      <w:pPr>
        <w:spacing w:after="0" w:line="240" w:lineRule="auto"/>
        <w:ind w:left="39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BA754B" w:rsidRDefault="00BA754B" w:rsidP="00BA754B">
      <w:pPr>
        <w:numPr>
          <w:ilvl w:val="2"/>
          <w:numId w:val="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Публичные консультации проводились</w:t>
      </w:r>
    </w:p>
    <w:p w:rsid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 xml:space="preserve">Публичные консультации проводились с </w:t>
      </w:r>
      <w:r w:rsidR="00D035B9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BA754B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D035B9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BA754B">
        <w:rPr>
          <w:rFonts w:ascii="Times New Roman" w:eastAsia="Times New Roman" w:hAnsi="Times New Roman" w:cs="Times New Roman"/>
          <w:sz w:val="28"/>
          <w:szCs w:val="28"/>
        </w:rPr>
        <w:t xml:space="preserve">; информация доступна в сети Интернет по следующему адресу: </w:t>
      </w:r>
    </w:p>
    <w:p w:rsidR="00D035B9" w:rsidRDefault="00D035B9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BA754B" w:rsidRDefault="00BA754B" w:rsidP="00BA754B">
      <w:pPr>
        <w:numPr>
          <w:ilvl w:val="2"/>
          <w:numId w:val="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Публичные консультации не проводились</w:t>
      </w:r>
    </w:p>
    <w:p w:rsidR="00BA754B" w:rsidRP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В соответствии с подпунктом ____ пункта 24 Порядка проведения оценки регулирующего воздействия проектов нормативных правовых актов Новосибирской области, утвержденного постановлением Губернатора Новосибир</w:t>
      </w:r>
      <w:r w:rsidR="0093277D">
        <w:rPr>
          <w:rFonts w:ascii="Times New Roman" w:eastAsia="Times New Roman" w:hAnsi="Times New Roman" w:cs="Times New Roman"/>
          <w:sz w:val="28"/>
          <w:szCs w:val="28"/>
        </w:rPr>
        <w:t>ской области от 17.01.2017 № 2.</w:t>
      </w:r>
    </w:p>
    <w:p w:rsidR="00BA754B" w:rsidRP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9C546C" w:rsidRDefault="00D035B9" w:rsidP="00BA754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C546C" w:rsidRPr="009C5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инистр транспорта и </w:t>
      </w:r>
    </w:p>
    <w:p w:rsidR="009C546C" w:rsidRPr="009C546C" w:rsidRDefault="009C546C" w:rsidP="00BA754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дорожного хозяйства </w:t>
      </w:r>
    </w:p>
    <w:p w:rsidR="009C546C" w:rsidRPr="009C546C" w:rsidRDefault="009C546C" w:rsidP="00BA754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46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                                                               А.В. Костылевский</w:t>
      </w:r>
    </w:p>
    <w:p w:rsidR="009C546C" w:rsidRPr="009C546C" w:rsidRDefault="009C546C" w:rsidP="00BA754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46C" w:rsidRPr="009C546C" w:rsidRDefault="00ED4686" w:rsidP="00BA754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bookmarkStart w:id="1" w:name="_GoBack"/>
      <w:bookmarkEnd w:id="1"/>
      <w:r w:rsidR="0093277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658F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C546C" w:rsidRPr="009C546C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658F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C546C" w:rsidRPr="009C5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72751A" w:rsidRDefault="0072751A"/>
    <w:sectPr w:rsidR="0072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31C" w:rsidRDefault="00C6031C" w:rsidP="00BA754B">
      <w:pPr>
        <w:spacing w:after="0" w:line="240" w:lineRule="auto"/>
      </w:pPr>
      <w:r>
        <w:separator/>
      </w:r>
    </w:p>
  </w:endnote>
  <w:endnote w:type="continuationSeparator" w:id="0">
    <w:p w:rsidR="00C6031C" w:rsidRDefault="00C6031C" w:rsidP="00BA7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31C" w:rsidRDefault="00C6031C" w:rsidP="00BA754B">
      <w:pPr>
        <w:spacing w:after="0" w:line="240" w:lineRule="auto"/>
      </w:pPr>
      <w:r>
        <w:separator/>
      </w:r>
    </w:p>
  </w:footnote>
  <w:footnote w:type="continuationSeparator" w:id="0">
    <w:p w:rsidR="00C6031C" w:rsidRDefault="00C6031C" w:rsidP="00BA754B">
      <w:pPr>
        <w:spacing w:after="0" w:line="240" w:lineRule="auto"/>
      </w:pPr>
      <w:r>
        <w:continuationSeparator/>
      </w:r>
    </w:p>
  </w:footnote>
  <w:footnote w:id="1">
    <w:p w:rsidR="00BA754B" w:rsidRDefault="00BA754B" w:rsidP="00BA754B">
      <w:pPr>
        <w:pStyle w:val="a7"/>
        <w:jc w:val="both"/>
      </w:pPr>
      <w:r w:rsidRPr="001C0EE2">
        <w:rPr>
          <w:rStyle w:val="a9"/>
        </w:rPr>
        <w:footnoteRef/>
      </w:r>
      <w:r w:rsidRPr="001C0EE2">
        <w:t xml:space="preserve"> Если отмена или изменение полномочий вед</w:t>
      </w:r>
      <w:r>
        <w:t>е</w:t>
      </w:r>
      <w:r w:rsidRPr="001C0EE2">
        <w:t>т к сокращению расходов соответствующего бюджета, высвобождению трудовых и иных ресурсов</w:t>
      </w:r>
      <w:r>
        <w:t>,</w:t>
      </w:r>
      <w:r w:rsidRPr="001C0EE2">
        <w:t xml:space="preserve"> информацию рекомендуется указать в пункте 7</w:t>
      </w:r>
      <w:r>
        <w:t xml:space="preserve"> части </w:t>
      </w:r>
      <w:r>
        <w:rPr>
          <w:lang w:val="en-US"/>
        </w:rPr>
        <w:t>II</w:t>
      </w:r>
      <w:r w:rsidRPr="00482C76">
        <w:t xml:space="preserve"> </w:t>
      </w:r>
      <w:r>
        <w:t>сводного отчета</w:t>
      </w:r>
    </w:p>
  </w:footnote>
  <w:footnote w:id="2">
    <w:p w:rsidR="00BA754B" w:rsidRDefault="00BA754B" w:rsidP="00BA754B">
      <w:pPr>
        <w:pStyle w:val="a7"/>
        <w:jc w:val="both"/>
      </w:pPr>
      <w:r w:rsidRPr="00451B82">
        <w:rPr>
          <w:rStyle w:val="a9"/>
        </w:rPr>
        <w:footnoteRef/>
      </w:r>
      <w:r>
        <w:t> </w:t>
      </w:r>
      <w:r w:rsidRPr="00451B82">
        <w:t xml:space="preserve">Указывается обоснование (отсутствия) необходимости установления переходного периода или отсрочки вступления в силу </w:t>
      </w:r>
      <w:r>
        <w:t>нормативного правового акта</w:t>
      </w:r>
    </w:p>
  </w:footnote>
  <w:footnote w:id="3">
    <w:p w:rsidR="00BA754B" w:rsidRDefault="00BA754B" w:rsidP="00BA754B">
      <w:pPr>
        <w:pStyle w:val="a7"/>
        <w:jc w:val="both"/>
      </w:pPr>
      <w:r w:rsidRPr="009978DA">
        <w:rPr>
          <w:rStyle w:val="a9"/>
        </w:rPr>
        <w:footnoteRef/>
      </w:r>
      <w:r w:rsidRPr="009978DA">
        <w:t xml:space="preserve"> Разработчиком акта может быть сформулирован иной способ решения заявленных проблем, не представленный в других субъектах РФ. В примечании может быть приведена ссылка на нормативный</w:t>
      </w:r>
      <w:r>
        <w:t xml:space="preserve"> правовой </w:t>
      </w:r>
      <w:r w:rsidRPr="009978DA">
        <w:t xml:space="preserve"> акт (при необходимости), на статьи, иные работы, в которых такой способ предлагается, или иная информация, которую сочт</w:t>
      </w:r>
      <w:r>
        <w:t>е</w:t>
      </w:r>
      <w:r w:rsidRPr="009978DA">
        <w:t>т нужным привести разработчик акта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54B" w:rsidRDefault="00BA754B">
    <w:pPr>
      <w:pStyle w:val="a5"/>
      <w:jc w:val="center"/>
    </w:pPr>
  </w:p>
  <w:p w:rsidR="00BA754B" w:rsidRPr="00BA754B" w:rsidRDefault="00BA754B">
    <w:pPr>
      <w:pStyle w:val="a5"/>
      <w:jc w:val="center"/>
      <w:rPr>
        <w:color w:val="FFFFFF"/>
      </w:rPr>
    </w:pPr>
    <w:r w:rsidRPr="00BA754B">
      <w:rPr>
        <w:color w:val="FFFFFF"/>
      </w:rPr>
      <w:fldChar w:fldCharType="begin"/>
    </w:r>
    <w:r w:rsidRPr="00BA754B">
      <w:rPr>
        <w:color w:val="FFFFFF"/>
      </w:rPr>
      <w:instrText>PAGE   \* MERGEFORMAT</w:instrText>
    </w:r>
    <w:r w:rsidRPr="00BA754B">
      <w:rPr>
        <w:color w:val="FFFFFF"/>
      </w:rPr>
      <w:fldChar w:fldCharType="separate"/>
    </w:r>
    <w:r w:rsidR="00ED4686">
      <w:rPr>
        <w:noProof/>
        <w:color w:val="FFFFFF"/>
      </w:rPr>
      <w:t>7</w:t>
    </w:r>
    <w:r w:rsidRPr="00BA754B">
      <w:rPr>
        <w:color w:val="FFFFFF"/>
      </w:rPr>
      <w:fldChar w:fldCharType="end"/>
    </w:r>
  </w:p>
  <w:p w:rsidR="00BA754B" w:rsidRDefault="00BA754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F5F94"/>
    <w:multiLevelType w:val="multilevel"/>
    <w:tmpl w:val="43E2857E"/>
    <w:styleLink w:val="a"/>
    <w:lvl w:ilvl="0">
      <w:start w:val="1"/>
      <w:numFmt w:val="decimal"/>
      <w:pStyle w:val="a0"/>
      <w:suff w:val="space"/>
      <w:lvlText w:val="%1."/>
      <w:lvlJc w:val="left"/>
      <w:pPr>
        <w:ind w:firstLine="397"/>
      </w:pPr>
      <w:rPr>
        <w:rFonts w:cs="Times New Roman" w:hint="default"/>
      </w:rPr>
    </w:lvl>
    <w:lvl w:ilvl="1">
      <w:start w:val="1"/>
      <w:numFmt w:val="bullet"/>
      <w:suff w:val="space"/>
      <w:lvlText w:val=""/>
      <w:lvlJc w:val="left"/>
      <w:pPr>
        <w:ind w:firstLine="397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rPr>
        <w:rFonts w:cs="Times New Roman" w:hint="default"/>
      </w:rPr>
    </w:lvl>
    <w:lvl w:ilvl="3">
      <w:start w:val="1"/>
      <w:numFmt w:val="none"/>
      <w:lvlText w:val=""/>
      <w:lvlJc w:val="left"/>
      <w:rPr>
        <w:rFonts w:cs="Times New Roman" w:hint="default"/>
      </w:rPr>
    </w:lvl>
    <w:lvl w:ilvl="4">
      <w:start w:val="1"/>
      <w:numFmt w:val="none"/>
      <w:lvlText w:val=""/>
      <w:lvlJc w:val="left"/>
      <w:rPr>
        <w:rFonts w:cs="Times New Roman" w:hint="default"/>
      </w:rPr>
    </w:lvl>
    <w:lvl w:ilvl="5">
      <w:start w:val="1"/>
      <w:numFmt w:val="none"/>
      <w:lvlText w:val=""/>
      <w:lvlJc w:val="left"/>
      <w:rPr>
        <w:rFonts w:cs="Times New Roman" w:hint="default"/>
      </w:rPr>
    </w:lvl>
    <w:lvl w:ilvl="6">
      <w:start w:val="1"/>
      <w:numFmt w:val="none"/>
      <w:lvlText w:val=""/>
      <w:lvlJc w:val="left"/>
      <w:rPr>
        <w:rFonts w:cs="Times New Roman" w:hint="default"/>
      </w:rPr>
    </w:lvl>
    <w:lvl w:ilvl="7">
      <w:start w:val="1"/>
      <w:numFmt w:val="none"/>
      <w:lvlText w:val=""/>
      <w:lvlJc w:val="left"/>
      <w:rPr>
        <w:rFonts w:cs="Times New Roman" w:hint="default"/>
      </w:rPr>
    </w:lvl>
    <w:lvl w:ilvl="8">
      <w:start w:val="1"/>
      <w:numFmt w:val="none"/>
      <w:lvlText w:val=""/>
      <w:lvlJc w:val="left"/>
      <w:rPr>
        <w:rFonts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a0"/>
        <w:suff w:val="space"/>
        <w:lvlText w:val="%1."/>
        <w:lvlJc w:val="left"/>
        <w:pPr>
          <w:ind w:firstLine="397"/>
        </w:pPr>
        <w:rPr>
          <w:rFonts w:ascii="Times New Roman" w:hAnsi="Times New Roman" w:cs="Times New Roman"/>
          <w:color w:val="auto"/>
          <w:sz w:val="22"/>
        </w:rPr>
      </w:lvl>
    </w:lvlOverride>
    <w:lvlOverride w:ilvl="1">
      <w:lvl w:ilvl="1">
        <w:start w:val="1"/>
        <w:numFmt w:val="decimal"/>
        <w:suff w:val="space"/>
        <w:lvlText w:val="%2."/>
        <w:lvlJc w:val="left"/>
        <w:pPr>
          <w:ind w:firstLine="397"/>
        </w:pPr>
        <w:rPr>
          <w:rFonts w:ascii="Times New Roman" w:hAnsi="Times New Roman" w:cs="Times New Roman" w:hint="default"/>
          <w:color w:val="auto"/>
          <w:sz w:val="28"/>
          <w:szCs w:val="28"/>
        </w:rPr>
      </w:lvl>
    </w:lvlOverride>
    <w:lvlOverride w:ilvl="2">
      <w:lvl w:ilvl="2">
        <w:start w:val="1"/>
        <w:numFmt w:val="decimal"/>
        <w:suff w:val="space"/>
        <w:lvlText w:val="%2.%3."/>
        <w:lvlJc w:val="left"/>
        <w:pPr>
          <w:ind w:firstLine="397"/>
        </w:pPr>
        <w:rPr>
          <w:rFonts w:ascii="Times New Roman" w:hAnsi="Times New Roman" w:cs="Times New Roman" w:hint="default"/>
          <w:b w:val="0"/>
          <w:i w:val="0"/>
          <w:color w:val="auto"/>
          <w:sz w:val="28"/>
          <w:szCs w:val="28"/>
        </w:rPr>
      </w:lvl>
    </w:lvlOverride>
    <w:lvlOverride w:ilvl="3">
      <w:lvl w:ilvl="3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4">
      <w:lvl w:ilvl="4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5">
      <w:lvl w:ilvl="5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6">
      <w:lvl w:ilvl="6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7">
      <w:lvl w:ilvl="7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8">
      <w:lvl w:ilvl="8">
        <w:start w:val="1"/>
        <w:numFmt w:val="none"/>
        <w:lvlText w:val=""/>
        <w:lvlJc w:val="left"/>
        <w:rPr>
          <w:rFonts w:cs="Times New Roman" w:hint="default"/>
        </w:rPr>
      </w:lvl>
    </w:lvlOverride>
  </w:num>
  <w:num w:numId="3">
    <w:abstractNumId w:val="0"/>
    <w:lvlOverride w:ilvl="0">
      <w:startOverride w:val="1"/>
      <w:lvl w:ilvl="0">
        <w:start w:val="1"/>
        <w:numFmt w:val="decimal"/>
        <w:pStyle w:val="a0"/>
        <w:suff w:val="space"/>
        <w:lvlText w:val="%1."/>
        <w:lvlJc w:val="left"/>
        <w:pPr>
          <w:ind w:firstLine="397"/>
        </w:pPr>
        <w:rPr>
          <w:rFonts w:ascii="Times New Roman" w:hAnsi="Times New Roman" w:cs="Times New Roman"/>
          <w:color w:val="auto"/>
          <w:sz w:val="22"/>
        </w:rPr>
      </w:lvl>
    </w:lvlOverride>
    <w:lvlOverride w:ilvl="1">
      <w:startOverride w:val="1"/>
      <w:lvl w:ilvl="1">
        <w:start w:val="1"/>
        <w:numFmt w:val="decimal"/>
        <w:suff w:val="space"/>
        <w:lvlText w:val="%2."/>
        <w:lvlJc w:val="left"/>
        <w:pPr>
          <w:ind w:firstLine="397"/>
        </w:pPr>
        <w:rPr>
          <w:rFonts w:ascii="Times New Roman" w:hAnsi="Times New Roman" w:cs="Times New Roman" w:hint="default"/>
          <w:color w:val="auto"/>
          <w:sz w:val="28"/>
          <w:szCs w:val="28"/>
        </w:rPr>
      </w:lvl>
    </w:lvlOverride>
    <w:lvlOverride w:ilvl="2">
      <w:startOverride w:val="1"/>
      <w:lvl w:ilvl="2">
        <w:start w:val="1"/>
        <w:numFmt w:val="decimal"/>
        <w:suff w:val="space"/>
        <w:lvlText w:val="%2.%3."/>
        <w:lvlJc w:val="left"/>
        <w:pPr>
          <w:ind w:firstLine="397"/>
        </w:pPr>
        <w:rPr>
          <w:rFonts w:ascii="Times New Roman" w:hAnsi="Times New Roman" w:cs="Times New Roman" w:hint="default"/>
          <w:b w:val="0"/>
          <w:i w:val="0"/>
          <w:color w:val="auto"/>
          <w:sz w:val="22"/>
        </w:rPr>
      </w:lvl>
    </w:lvlOverride>
    <w:lvlOverride w:ilvl="3">
      <w:startOverride w:val="1"/>
      <w:lvl w:ilvl="3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rPr>
          <w:rFonts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54B"/>
    <w:rsid w:val="00030546"/>
    <w:rsid w:val="0008612C"/>
    <w:rsid w:val="000C4102"/>
    <w:rsid w:val="00115459"/>
    <w:rsid w:val="00131213"/>
    <w:rsid w:val="003A7400"/>
    <w:rsid w:val="004E5C83"/>
    <w:rsid w:val="005A2445"/>
    <w:rsid w:val="007128BB"/>
    <w:rsid w:val="0072751A"/>
    <w:rsid w:val="0083748C"/>
    <w:rsid w:val="008C5D6B"/>
    <w:rsid w:val="0093277D"/>
    <w:rsid w:val="009C546C"/>
    <w:rsid w:val="009D474E"/>
    <w:rsid w:val="00A74903"/>
    <w:rsid w:val="00B023C5"/>
    <w:rsid w:val="00B5396C"/>
    <w:rsid w:val="00B658F4"/>
    <w:rsid w:val="00BA754B"/>
    <w:rsid w:val="00C6031C"/>
    <w:rsid w:val="00CC5616"/>
    <w:rsid w:val="00D035B9"/>
    <w:rsid w:val="00DB3DBF"/>
    <w:rsid w:val="00DD6BFE"/>
    <w:rsid w:val="00E60713"/>
    <w:rsid w:val="00E93AED"/>
    <w:rsid w:val="00ED4686"/>
    <w:rsid w:val="00F1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B4A1C"/>
  <w15:chartTrackingRefBased/>
  <w15:docId w15:val="{A3C3FE4C-1585-433E-8672-F2AA3A30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BA75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2"/>
    <w:link w:val="a5"/>
    <w:uiPriority w:val="99"/>
    <w:rsid w:val="00BA75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1"/>
    <w:link w:val="a8"/>
    <w:uiPriority w:val="99"/>
    <w:unhideWhenUsed/>
    <w:rsid w:val="00BA7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2"/>
    <w:link w:val="a7"/>
    <w:uiPriority w:val="99"/>
    <w:rsid w:val="00BA75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2"/>
    <w:uiPriority w:val="99"/>
    <w:unhideWhenUsed/>
    <w:rsid w:val="00BA754B"/>
    <w:rPr>
      <w:rFonts w:cs="Times New Roman"/>
      <w:vertAlign w:val="superscript"/>
    </w:rPr>
  </w:style>
  <w:style w:type="paragraph" w:customStyle="1" w:styleId="a0">
    <w:name w:val="Текст документа"/>
    <w:basedOn w:val="a1"/>
    <w:rsid w:val="00BA754B"/>
    <w:pPr>
      <w:numPr>
        <w:numId w:val="1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table" w:customStyle="1" w:styleId="4">
    <w:name w:val="Сетка таблицы4"/>
    <w:basedOn w:val="a3"/>
    <w:next w:val="aa"/>
    <w:uiPriority w:val="39"/>
    <w:rsid w:val="00BA75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3"/>
    <w:next w:val="aa"/>
    <w:uiPriority w:val="59"/>
    <w:rsid w:val="00BA75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3"/>
    <w:next w:val="aa"/>
    <w:uiPriority w:val="39"/>
    <w:rsid w:val="00BA754B"/>
    <w:pPr>
      <w:spacing w:after="0" w:line="240" w:lineRule="auto"/>
      <w:ind w:firstLine="397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">
    <w:name w:val="Сквозная нумерация"/>
    <w:rsid w:val="00BA754B"/>
    <w:pPr>
      <w:numPr>
        <w:numId w:val="1"/>
      </w:numPr>
    </w:pPr>
  </w:style>
  <w:style w:type="table" w:styleId="aa">
    <w:name w:val="Table Grid"/>
    <w:basedOn w:val="a3"/>
    <w:uiPriority w:val="39"/>
    <w:rsid w:val="00BA7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2"/>
    <w:uiPriority w:val="99"/>
    <w:unhideWhenUsed/>
    <w:rsid w:val="00030546"/>
    <w:rPr>
      <w:color w:val="0563C1" w:themeColor="hyperlink"/>
      <w:u w:val="single"/>
    </w:rPr>
  </w:style>
  <w:style w:type="paragraph" w:styleId="ac">
    <w:name w:val="Balloon Text"/>
    <w:basedOn w:val="a1"/>
    <w:link w:val="ad"/>
    <w:uiPriority w:val="99"/>
    <w:semiHidden/>
    <w:unhideWhenUsed/>
    <w:rsid w:val="009C5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9C54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2101</Words>
  <Characters>11979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 Лидия Георгиевна</dc:creator>
  <cp:keywords/>
  <dc:description/>
  <cp:lastModifiedBy>Сокол Лидия Георгиевна</cp:lastModifiedBy>
  <cp:revision>5</cp:revision>
  <cp:lastPrinted>2018-06-20T04:44:00Z</cp:lastPrinted>
  <dcterms:created xsi:type="dcterms:W3CDTF">2019-01-23T03:54:00Z</dcterms:created>
  <dcterms:modified xsi:type="dcterms:W3CDTF">2019-03-07T02:53:00Z</dcterms:modified>
</cp:coreProperties>
</file>