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CB" w:rsidRPr="00D46455" w:rsidRDefault="004109ED" w:rsidP="000479CB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46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Сводный отчет о проведении оценки регулирующего воздействия проекта </w:t>
      </w: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нормативного правового акта</w:t>
      </w: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</w:p>
    <w:p w:rsidR="000479CB" w:rsidRPr="00D46455" w:rsidRDefault="000479CB" w:rsidP="000479CB">
      <w:pPr>
        <w:pStyle w:val="a7"/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7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D46455">
        <w:rPr>
          <w:rFonts w:ascii="Times New Roman" w:eastAsia="Times New Roman" w:hAnsi="Times New Roman" w:cs="Times New Roman"/>
          <w:b/>
          <w:bCs/>
          <w:sz w:val="28"/>
          <w:szCs w:val="28"/>
        </w:rPr>
        <w:t>. Общая информация</w:t>
      </w:r>
    </w:p>
    <w:p w:rsidR="000479CB" w:rsidRPr="00D46455" w:rsidRDefault="000479CB" w:rsidP="000479CB">
      <w:pPr>
        <w:pStyle w:val="a7"/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7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ED" w:rsidRPr="00D46455" w:rsidRDefault="000479CB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1.Н</w:t>
      </w:r>
      <w:r w:rsidR="004109ED" w:rsidRPr="00D46455">
        <w:rPr>
          <w:rFonts w:ascii="Times New Roman" w:eastAsia="Times New Roman" w:hAnsi="Times New Roman" w:cs="Times New Roman"/>
          <w:bCs/>
          <w:sz w:val="28"/>
          <w:szCs w:val="28"/>
        </w:rPr>
        <w:t>аименование проекта нормативного правового акта</w:t>
      </w: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проект акта)</w:t>
      </w:r>
      <w:r w:rsidR="004109ED" w:rsidRPr="00D4645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проект приказа Министерства транспорта и дорожного хозяйства Новосибирской области «Об</w:t>
      </w:r>
      <w:r w:rsidR="006A67C5" w:rsidRPr="00D4645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утверждении Порядка обследования межмуниципальных маршрутов</w:t>
      </w: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регулярных перевозок на территории Новосибирской области»</w:t>
      </w: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2. Разработчик проекта нормативного правового акта</w:t>
      </w:r>
      <w:r w:rsidR="000479CB" w:rsidRPr="00D46455">
        <w:rPr>
          <w:rFonts w:ascii="Times New Roman" w:eastAsia="Times New Roman" w:hAnsi="Times New Roman" w:cs="Times New Roman"/>
          <w:bCs/>
          <w:sz w:val="28"/>
          <w:szCs w:val="28"/>
        </w:rPr>
        <w:t>, в том числе контактные данные</w:t>
      </w: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4109ED" w:rsidRPr="00D46455" w:rsidRDefault="004109ED" w:rsidP="000479CB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министерство транспорта и дорожного хозяйства Новосибирской области</w:t>
      </w:r>
      <w:r w:rsidR="000479CB" w:rsidRPr="00D4645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109ED" w:rsidRPr="00D46455" w:rsidRDefault="000479CB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4109ED" w:rsidRPr="00D46455">
        <w:rPr>
          <w:rFonts w:ascii="Times New Roman" w:eastAsia="Times New Roman" w:hAnsi="Times New Roman" w:cs="Times New Roman"/>
          <w:bCs/>
          <w:sz w:val="28"/>
          <w:szCs w:val="28"/>
        </w:rPr>
        <w:t>онтактная информация разработчика нормативного правового акта (органа, осуществляющего полномочия разработчика акта):</w:t>
      </w: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 xml:space="preserve">Ф.И.О.: </w:t>
      </w:r>
      <w:r w:rsidR="006A67C5" w:rsidRPr="00D46455">
        <w:rPr>
          <w:rFonts w:ascii="Times New Roman" w:eastAsia="Times New Roman" w:hAnsi="Times New Roman" w:cs="Times New Roman"/>
          <w:bCs/>
          <w:sz w:val="28"/>
          <w:szCs w:val="28"/>
        </w:rPr>
        <w:t>Хазов Сергей Анатольевич</w:t>
      </w: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Должность: </w:t>
      </w:r>
      <w:r w:rsidR="006A67C5" w:rsidRPr="00D464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консультант</w:t>
      </w:r>
      <w:r w:rsidRPr="00D464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управления организации пассажирских перевозок</w:t>
      </w: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Телефон, адрес электронной почты: </w:t>
      </w:r>
      <w:r w:rsidR="0060281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231-11-</w:t>
      </w:r>
      <w:r w:rsidR="006A67C5" w:rsidRPr="00D464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75</w:t>
      </w:r>
      <w:r w:rsidRPr="00D464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, </w:t>
      </w:r>
      <w:hyperlink r:id="rId8" w:history="1">
        <w:r w:rsidR="000479CB" w:rsidRPr="00D46455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hsa</w:t>
        </w:r>
        <w:r w:rsidR="000479CB" w:rsidRPr="00D46455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@nso.ru</w:t>
        </w:r>
      </w:hyperlink>
      <w:r w:rsidR="000479CB" w:rsidRPr="00D464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D4645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D46455">
        <w:rPr>
          <w:rFonts w:ascii="Times New Roman" w:eastAsia="Times New Roman" w:hAnsi="Times New Roman" w:cs="Times New Roman"/>
          <w:b/>
          <w:bCs/>
          <w:sz w:val="28"/>
          <w:szCs w:val="28"/>
        </w:rPr>
        <w:t>. Описание пробл</w:t>
      </w:r>
      <w:r w:rsidR="001A4422" w:rsidRPr="00D46455">
        <w:rPr>
          <w:rFonts w:ascii="Times New Roman" w:eastAsia="Times New Roman" w:hAnsi="Times New Roman" w:cs="Times New Roman"/>
          <w:b/>
          <w:bCs/>
          <w:sz w:val="28"/>
          <w:szCs w:val="28"/>
        </w:rPr>
        <w:t>ем, для решения которых разработан проект акта и предлагаемого регулирования</w:t>
      </w:r>
    </w:p>
    <w:p w:rsidR="001A4422" w:rsidRPr="00D46455" w:rsidRDefault="001A4422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  <w:tab w:val="left" w:pos="10206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1. Краткая характеристика пробл</w:t>
      </w:r>
      <w:r w:rsidR="000479CB" w:rsidRPr="00D46455">
        <w:rPr>
          <w:rFonts w:ascii="Times New Roman" w:eastAsia="Times New Roman" w:hAnsi="Times New Roman" w:cs="Times New Roman"/>
          <w:bCs/>
          <w:sz w:val="28"/>
          <w:szCs w:val="28"/>
        </w:rPr>
        <w:t>ем, на решение которых разработан</w:t>
      </w:r>
      <w:r w:rsidR="001A4422" w:rsidRPr="00D464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 </w:t>
      </w: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акта, и способов их решения</w:t>
      </w:r>
      <w:bookmarkEnd w:id="1"/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ED" w:rsidRPr="00D46455" w:rsidRDefault="004109ED" w:rsidP="004109ED">
      <w:pPr>
        <w:widowControl w:val="0"/>
        <w:numPr>
          <w:ilvl w:val="1"/>
          <w:numId w:val="1"/>
        </w:numPr>
        <w:tabs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Проблемы и их негативные эффекты</w:t>
      </w:r>
    </w:p>
    <w:p w:rsidR="004109ED" w:rsidRPr="00D46455" w:rsidRDefault="004109ED" w:rsidP="004109E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 и негативных эффектов приведено в таблице 1 части </w:t>
      </w:r>
      <w:r w:rsidRPr="00D4645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сводного отчета.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Указанные проблемы и их негативные эффекты состоят в следующем: </w:t>
      </w:r>
    </w:p>
    <w:p w:rsidR="004109ED" w:rsidRPr="00D46455" w:rsidRDefault="008074A1" w:rsidP="00410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межмуниципального маршрута является составной частью подготовки</w:t>
      </w:r>
      <w:r w:rsidR="00492C35" w:rsidRPr="00D46455">
        <w:rPr>
          <w:rFonts w:ascii="Times New Roman" w:eastAsia="Times New Roman" w:hAnsi="Times New Roman" w:cs="Times New Roman"/>
          <w:sz w:val="28"/>
          <w:szCs w:val="28"/>
        </w:rPr>
        <w:t xml:space="preserve"> технико-экономического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C35" w:rsidRPr="00D46455">
        <w:rPr>
          <w:rFonts w:ascii="Times New Roman" w:eastAsia="Times New Roman" w:hAnsi="Times New Roman" w:cs="Times New Roman"/>
          <w:sz w:val="28"/>
          <w:szCs w:val="28"/>
        </w:rPr>
        <w:t xml:space="preserve">обоснования при принятии решения </w:t>
      </w:r>
      <w:r w:rsidR="00492C35"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установления, изменения или отмены маршрута регулярных перев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озок. Отсутствие утвержденного единого Порядка обследования создает трудности</w:t>
      </w:r>
      <w:r w:rsidR="0065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объективном </w:t>
      </w:r>
      <w:r w:rsidR="006531A1" w:rsidRPr="00653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решения о возможности установления, изменения или отмены маршрута регулярных перевозок.</w:t>
      </w:r>
    </w:p>
    <w:p w:rsidR="004109ED" w:rsidRPr="00D46455" w:rsidRDefault="004109ED" w:rsidP="004109ED">
      <w:pPr>
        <w:widowControl w:val="0"/>
        <w:tabs>
          <w:tab w:val="left" w:pos="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ab/>
        <w:t>1.2. Способы решения заявленных проблем, в том числе в других субъектах Российской Федерации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Способы решения заявленных проблем приведены в таблицах</w:t>
      </w:r>
      <w:hyperlink r:id="rId9" w:anchor="bookmark8" w:tooltip="Current Document" w:history="1">
        <w:r w:rsidRPr="00D46455">
          <w:rPr>
            <w:rFonts w:ascii="Times New Roman" w:eastAsia="Times New Roman" w:hAnsi="Times New Roman" w:cs="Times New Roman"/>
            <w:sz w:val="28"/>
            <w:szCs w:val="28"/>
          </w:rPr>
          <w:t xml:space="preserve"> 2-</w:t>
        </w:r>
      </w:hyperlink>
      <w:hyperlink r:id="rId10" w:anchor="bookmark10" w:tooltip="Current Document" w:history="1">
        <w:r w:rsidR="007B46DD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Pr="00D4645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46455">
        <w:rPr>
          <w:rFonts w:ascii="Times New Roman" w:eastAsia="Times New Roman" w:hAnsi="Times New Roman" w:cs="Times New Roman"/>
          <w:sz w:val="28"/>
          <w:szCs w:val="28"/>
        </w:rPr>
        <w:t>части III настоящего сводного отчета.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Указанные способы сводятся </w:t>
      </w:r>
      <w:proofErr w:type="gramStart"/>
      <w:r w:rsidRPr="00D4645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следующим: </w:t>
      </w:r>
    </w:p>
    <w:p w:rsidR="004109ED" w:rsidRPr="00D46455" w:rsidRDefault="004109ED" w:rsidP="001A4422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Разработке приказа Министерства транспорта и дорожного хозяйства Новосибирской области «Об </w:t>
      </w:r>
      <w:r w:rsidRPr="008074A1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7B46DD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 xml:space="preserve"> 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Порядка проведения </w:t>
      </w: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обследования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lastRenderedPageBreak/>
        <w:t>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области»</w:t>
      </w:r>
    </w:p>
    <w:p w:rsidR="001A4422" w:rsidRPr="00D46455" w:rsidRDefault="001A4422" w:rsidP="001A4422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bookmarkStart w:id="2" w:name="bookmark3"/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Предлагаемое регулирование</w:t>
      </w:r>
      <w:bookmarkEnd w:id="2"/>
    </w:p>
    <w:p w:rsidR="001A4422" w:rsidRPr="00D46455" w:rsidRDefault="001A4422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9ED" w:rsidRPr="00D46455" w:rsidRDefault="004109ED" w:rsidP="004109E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2.1. Описание предлагаемого регулирования</w:t>
      </w:r>
    </w:p>
    <w:p w:rsidR="004109ED" w:rsidRPr="00D46455" w:rsidRDefault="004109ED" w:rsidP="00410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пункта 5 </w:t>
      </w:r>
      <w:r w:rsidRPr="00D4645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постановления  Правительства Новосибирской области от </w:t>
      </w:r>
      <w:r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14.12.2016 № 415-п «Об 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технико-экономическое обоснование должно подтверждать </w:t>
      </w:r>
      <w:r w:rsidR="000477B9"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технического состояния автомобильных дорог, искусственных дорожных сооружений, элементов обустройства автомобильных дорог, железнодорожных переездов, расположенных на территории Новосибирской области, требованиям безопасности дорожного движения и безопасности пассажирских перевозок, установленным</w:t>
      </w:r>
      <w:proofErr w:type="gramEnd"/>
      <w:r w:rsidR="000477B9"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нормативными правовыми актами Российской Федерации, а также наличия обустроенных остановочных пунктов, разворотных площадок и площадок отстоя транспорта по пути следования Маршрута перед его установлением или изменением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9ED" w:rsidRPr="00D46455" w:rsidRDefault="004109ED" w:rsidP="00410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109ED" w:rsidRPr="00D46455" w:rsidRDefault="004109ED" w:rsidP="001A4422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2.2. Обоснован</w:t>
      </w:r>
      <w:r w:rsidR="001A4422" w:rsidRPr="00D46455">
        <w:rPr>
          <w:rFonts w:ascii="Times New Roman" w:eastAsia="Times New Roman" w:hAnsi="Times New Roman" w:cs="Times New Roman"/>
          <w:sz w:val="28"/>
          <w:szCs w:val="28"/>
        </w:rPr>
        <w:t xml:space="preserve">ие выбора предлагаемого 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  <w:r w:rsidR="006531A1">
        <w:rPr>
          <w:rFonts w:ascii="Times New Roman" w:eastAsia="Times New Roman" w:hAnsi="Times New Roman" w:cs="Times New Roman"/>
          <w:sz w:val="28"/>
          <w:szCs w:val="28"/>
        </w:rPr>
        <w:t xml:space="preserve"> (выбранных спо</w:t>
      </w:r>
      <w:r w:rsidR="001A4422" w:rsidRPr="00D46455">
        <w:rPr>
          <w:rFonts w:ascii="Times New Roman" w:eastAsia="Times New Roman" w:hAnsi="Times New Roman" w:cs="Times New Roman"/>
          <w:sz w:val="28"/>
          <w:szCs w:val="28"/>
        </w:rPr>
        <w:t>собов решения проблем)</w:t>
      </w:r>
    </w:p>
    <w:p w:rsidR="004109ED" w:rsidRPr="00D46455" w:rsidRDefault="001A4422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 2-3 части III настоящего сводного отчета, был выбран описанный в пункте 2.1: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6455">
        <w:rPr>
          <w:rFonts w:ascii="Times New Roman" w:eastAsia="Times New Roman" w:hAnsi="Times New Roman" w:cs="Times New Roman"/>
          <w:sz w:val="28"/>
          <w:szCs w:val="28"/>
        </w:rPr>
        <w:t>Пунктом 1 статьи 12 главы 3 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13.07.2015 года: порядок установления, изменения, отмены муниципальных маршрутов регулярных перевозок, межмуниципальных маршрутов регулярных перевозок (в том числе основания для отказа в установлении либо изменении данных</w:t>
      </w:r>
      <w:proofErr w:type="gramEnd"/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маршрутов, основания для отмены данных маршрутов) устанавливается законами и (или) иными нормативными правовыми актами субъектов Российской Федерации, муниципальными нормативными правовыми актами с учетом положений настоящего Федерального закона.</w:t>
      </w:r>
    </w:p>
    <w:p w:rsidR="006E2D3D" w:rsidRPr="00D46455" w:rsidRDefault="00861D18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статье</w:t>
      </w:r>
      <w:r w:rsidR="006E2D3D" w:rsidRPr="00D46455">
        <w:rPr>
          <w:rFonts w:ascii="Times New Roman" w:eastAsia="Times New Roman" w:hAnsi="Times New Roman" w:cs="Times New Roman"/>
          <w:sz w:val="28"/>
          <w:szCs w:val="28"/>
        </w:rPr>
        <w:t xml:space="preserve"> 6 постановления  Правительства Новосибирской области от 14.12.2016 № 415-п «Об 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</w:t>
      </w:r>
      <w:r w:rsidR="00662F85" w:rsidRPr="00D4645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области» н</w:t>
      </w:r>
      <w:r w:rsidR="006E2D3D" w:rsidRPr="00D46455">
        <w:rPr>
          <w:rFonts w:ascii="Times New Roman" w:eastAsia="Times New Roman" w:hAnsi="Times New Roman" w:cs="Times New Roman"/>
          <w:sz w:val="28"/>
          <w:szCs w:val="28"/>
        </w:rPr>
        <w:t xml:space="preserve">овые маршруты регулярных перевозок могут быть организованы при условии соответствия технического состояния </w:t>
      </w:r>
      <w:r w:rsidR="006E2D3D" w:rsidRPr="00D46455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автомобильных дорог, мостов, железнодорожных переездов по маршруту регулярных перевозок требованиям безопасности дорожного движения и безопасности пассажирских перевозок, а также наличия</w:t>
      </w:r>
      <w:proofErr w:type="gramEnd"/>
      <w:r w:rsidR="006E2D3D" w:rsidRPr="00D46455">
        <w:rPr>
          <w:rFonts w:ascii="Times New Roman" w:eastAsia="Times New Roman" w:hAnsi="Times New Roman" w:cs="Times New Roman"/>
          <w:sz w:val="28"/>
          <w:szCs w:val="28"/>
        </w:rPr>
        <w:t xml:space="preserve"> обустроенных остановочных пунктов, разворотных площадок и площадок отстоя транспорта по пути следования маршрута.</w:t>
      </w:r>
    </w:p>
    <w:p w:rsidR="00A66916" w:rsidRPr="00D46455" w:rsidRDefault="00A66916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861D18">
        <w:rPr>
          <w:rFonts w:ascii="Times New Roman" w:eastAsia="Times New Roman" w:hAnsi="Times New Roman" w:cs="Times New Roman"/>
          <w:sz w:val="28"/>
          <w:szCs w:val="28"/>
        </w:rPr>
        <w:t>статье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8 постановления  Правительства Новосибирской области от 14.12.2016 № 415-п «Об 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 решение об отказе в установлении или изменении действующего маршрута регулярных перевозок принимается уполномоченным органом при наличии</w:t>
      </w:r>
      <w:r w:rsidR="00662F85" w:rsidRPr="00D46455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несоответствия технического состояния автомобильных дорог, мостов, железнодорожных переездов по маршруту регулярных перевозок требованиям безопасности дорожного движения</w:t>
      </w:r>
      <w:proofErr w:type="gramEnd"/>
      <w:r w:rsidR="00662F85" w:rsidRPr="00D46455">
        <w:rPr>
          <w:rFonts w:ascii="Times New Roman" w:eastAsia="Times New Roman" w:hAnsi="Times New Roman" w:cs="Times New Roman"/>
          <w:sz w:val="28"/>
          <w:szCs w:val="28"/>
        </w:rPr>
        <w:t xml:space="preserve"> и безопасности пассажирских перевозок, а также отсутствие обустроенных остановочных пунктов, разворотных площадок и площадок отстоя транспорта по пути следования маршрута</w:t>
      </w:r>
    </w:p>
    <w:p w:rsidR="004109ED" w:rsidRPr="00D46455" w:rsidRDefault="00861D18" w:rsidP="00410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</w:t>
      </w:r>
      <w:r w:rsidR="000477B9"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ED" w:rsidRPr="00D4645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постановления  Правительства Новосибирской области от 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14.12.2016 № 415-п «Об 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0CF" w:rsidRPr="00D46455">
        <w:rPr>
          <w:rFonts w:ascii="Times New Roman" w:eastAsia="Times New Roman" w:hAnsi="Times New Roman" w:cs="Times New Roman"/>
          <w:sz w:val="28"/>
          <w:szCs w:val="28"/>
        </w:rPr>
        <w:t xml:space="preserve">с целью оценки соответствия технического состояния и уровня </w:t>
      </w:r>
      <w:proofErr w:type="gramStart"/>
      <w:r w:rsidR="00C340CF" w:rsidRPr="00D46455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proofErr w:type="gramEnd"/>
      <w:r w:rsidR="00C340CF" w:rsidRPr="00D46455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улиц, искусственных сооружений, железнодорожных переездов, паромных переправ, их инженерного оборудования требованиям безопасности дорожного движения и безопасности пассажирских перевозок, а также наличия обустроенных остановочных пунктов, разворотных площадок и площадок отстоя транспорта по пути следования маршрута комиссиями, образованными соответствующими уполномоченными органами, производится обследование маршрутов регулярных перевозок перед их установлением, изменением, отменой в порядке, определенном уполномоченным органом исполнительной власти Новосибирской области.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2.3. Цели регулирования</w:t>
      </w:r>
    </w:p>
    <w:p w:rsidR="001A4422" w:rsidRPr="00D46455" w:rsidRDefault="001A4422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632"/>
        <w:gridCol w:w="3509"/>
        <w:gridCol w:w="2697"/>
        <w:gridCol w:w="2713"/>
      </w:tblGrid>
      <w:tr w:rsidR="004109ED" w:rsidRPr="00D46455" w:rsidTr="004109E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F18D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F18D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Цели предлагаемого регулирования (со ссылкой на номер проблемы из таблицы 1</w:t>
            </w:r>
            <w:r w:rsidR="001A4422" w:rsidRPr="006F18D1">
              <w:rPr>
                <w:rFonts w:ascii="Times New Roman" w:eastAsia="Times New Roman" w:hAnsi="Times New Roman" w:cs="Times New Roman"/>
              </w:rPr>
              <w:t xml:space="preserve"> части </w:t>
            </w:r>
            <w:r w:rsidR="001A4422" w:rsidRPr="006F18D1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6F18D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4109ED" w:rsidRPr="00D46455" w:rsidTr="004109E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D" w:rsidRPr="006F18D1" w:rsidRDefault="006F18D1" w:rsidP="004109ED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 xml:space="preserve">Разработка нормативно-правового акта уполномоченного </w:t>
            </w:r>
            <w:r w:rsidR="006F18D1" w:rsidRPr="006F18D1">
              <w:rPr>
                <w:rFonts w:ascii="Times New Roman" w:eastAsia="Times New Roman" w:hAnsi="Times New Roman" w:cs="Times New Roman"/>
              </w:rPr>
              <w:t>исполнительного органа государственной</w:t>
            </w:r>
            <w:r w:rsidRPr="006F18D1">
              <w:rPr>
                <w:rFonts w:ascii="Times New Roman" w:eastAsia="Times New Roman" w:hAnsi="Times New Roman" w:cs="Times New Roman"/>
              </w:rPr>
              <w:t xml:space="preserve"> власти Новосибирской области в </w:t>
            </w:r>
            <w:r w:rsidRPr="006F18D1">
              <w:rPr>
                <w:rFonts w:ascii="Times New Roman" w:eastAsia="Times New Roman" w:hAnsi="Times New Roman" w:cs="Times New Roman"/>
              </w:rPr>
              <w:lastRenderedPageBreak/>
              <w:t>соответствии с действующим законодательством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˗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D" w:rsidRPr="00D46455" w:rsidRDefault="004109ED" w:rsidP="004109E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9ED" w:rsidRPr="00D46455" w:rsidRDefault="004109ED" w:rsidP="004109E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455">
              <w:rPr>
                <w:rFonts w:ascii="Times New Roman" w:eastAsia="Times New Roman" w:hAnsi="Times New Roman" w:cs="Times New Roman"/>
                <w:sz w:val="28"/>
                <w:szCs w:val="28"/>
              </w:rPr>
              <w:t>˗</w:t>
            </w:r>
          </w:p>
        </w:tc>
      </w:tr>
    </w:tbl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Индикаторы, приведенные в пункте</w:t>
      </w:r>
      <w:hyperlink r:id="rId11" w:anchor="bookmark5" w:tooltip="Current Document" w:history="1">
        <w:r w:rsidRPr="00D46455">
          <w:rPr>
            <w:rFonts w:ascii="Times New Roman" w:eastAsia="Times New Roman" w:hAnsi="Times New Roman" w:cs="Times New Roman"/>
            <w:sz w:val="28"/>
            <w:szCs w:val="28"/>
          </w:rPr>
          <w:t xml:space="preserve"> 2.3 </w:t>
        </w:r>
      </w:hyperlink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настоящего сводного отчета, будут рассчитываться следующим образом и с получением информации из следующих источников: 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  <w:u w:val="single"/>
        </w:rPr>
        <w:t>отсутствуют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2.5. Описание программ мониторинга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</w:t>
      </w:r>
      <w:r w:rsidRPr="00D46455">
        <w:rPr>
          <w:rFonts w:ascii="Times New Roman" w:eastAsia="Times New Roman" w:hAnsi="Times New Roman" w:cs="Times New Roman"/>
          <w:sz w:val="28"/>
          <w:szCs w:val="28"/>
          <w:u w:val="single"/>
        </w:rPr>
        <w:t>отсутствуют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6455">
        <w:rPr>
          <w:rFonts w:ascii="Times New Roman" w:eastAsia="Times New Roman" w:hAnsi="Times New Roman" w:cs="Times New Roman"/>
          <w:sz w:val="28"/>
          <w:szCs w:val="28"/>
          <w:u w:val="single"/>
        </w:rPr>
        <w:t>отсутствуют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ED" w:rsidRPr="00D46455" w:rsidRDefault="00851FB9" w:rsidP="004109ED">
      <w:pPr>
        <w:widowControl w:val="0"/>
        <w:tabs>
          <w:tab w:val="left" w:pos="1560"/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</w:rPr>
        <w:t>. Обоснование наличия полномочий по принятию проекта акта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6455">
        <w:rPr>
          <w:rFonts w:ascii="Times New Roman" w:eastAsia="Times New Roman" w:hAnsi="Times New Roman" w:cs="Times New Roman"/>
          <w:sz w:val="28"/>
          <w:szCs w:val="28"/>
          <w:u w:val="single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9ED" w:rsidRPr="00D46455" w:rsidRDefault="004109ED" w:rsidP="004109ED">
      <w:pPr>
        <w:widowControl w:val="0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3. Заинтересованные лица</w:t>
      </w:r>
    </w:p>
    <w:p w:rsidR="004109ED" w:rsidRPr="00D46455" w:rsidRDefault="004109ED" w:rsidP="004109ED">
      <w:pPr>
        <w:widowControl w:val="0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bookmark6"/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p w:rsidR="004109ED" w:rsidRPr="00D46455" w:rsidRDefault="004109ED" w:rsidP="004109ED">
      <w:pPr>
        <w:widowControl w:val="0"/>
        <w:tabs>
          <w:tab w:val="left" w:pos="773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6"/>
        <w:tblW w:w="9444" w:type="dxa"/>
        <w:tblInd w:w="20" w:type="dxa"/>
        <w:tblLook w:val="04A0" w:firstRow="1" w:lastRow="0" w:firstColumn="1" w:lastColumn="0" w:noHBand="0" w:noVBand="1"/>
      </w:tblPr>
      <w:tblGrid>
        <w:gridCol w:w="3340"/>
        <w:gridCol w:w="3804"/>
        <w:gridCol w:w="2300"/>
      </w:tblGrid>
      <w:tr w:rsidR="004109ED" w:rsidRPr="00D46455" w:rsidTr="00662F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8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Наименование групп субъектов предпринимательской </w:t>
            </w:r>
            <w:r w:rsidR="00851FB9" w:rsidRPr="006F18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и (или) инвестиционной</w:t>
            </w:r>
            <w:r w:rsidRPr="006F18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 деятельности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8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Оценка количества на стадии разработки проекта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8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Источники данных</w:t>
            </w:r>
          </w:p>
        </w:tc>
      </w:tr>
      <w:tr w:rsidR="004109ED" w:rsidRPr="00D46455" w:rsidTr="00662F8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D" w:rsidRPr="006F18D1" w:rsidRDefault="00662F85" w:rsidP="004109ED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18D1">
              <w:rPr>
                <w:rFonts w:ascii="Times New Roman" w:eastAsia="Times New Roman" w:hAnsi="Times New Roman" w:cs="Times New Roman"/>
                <w:bCs/>
              </w:rPr>
              <w:t>Индивидуальные предприниматели</w:t>
            </w:r>
            <w:r w:rsidR="004109ED" w:rsidRPr="006F18D1">
              <w:rPr>
                <w:rFonts w:ascii="Times New Roman" w:eastAsia="Times New Roman" w:hAnsi="Times New Roman" w:cs="Times New Roman"/>
                <w:bCs/>
              </w:rPr>
              <w:t xml:space="preserve"> и юридические лица, </w:t>
            </w:r>
            <w:r w:rsidR="004109ED" w:rsidRPr="006F18D1">
              <w:rPr>
                <w:rFonts w:ascii="Times New Roman" w:eastAsia="Times New Roman" w:hAnsi="Times New Roman" w:cs="Times New Roman"/>
                <w:bCs/>
              </w:rPr>
              <w:lastRenderedPageBreak/>
              <w:t>осуществляющие перевоз</w:t>
            </w:r>
            <w:r w:rsidRPr="006F18D1">
              <w:rPr>
                <w:rFonts w:ascii="Times New Roman" w:eastAsia="Times New Roman" w:hAnsi="Times New Roman" w:cs="Times New Roman"/>
                <w:bCs/>
              </w:rPr>
              <w:t>ки пассажиров по</w:t>
            </w:r>
            <w:r w:rsidR="004109ED" w:rsidRPr="006F18D1">
              <w:rPr>
                <w:rFonts w:ascii="Times New Roman" w:eastAsia="Times New Roman" w:hAnsi="Times New Roman" w:cs="Times New Roman"/>
                <w:bCs/>
              </w:rPr>
              <w:t xml:space="preserve"> межмуниципальным маршрутам регулярных перевозо</w:t>
            </w:r>
            <w:r w:rsidRPr="006F18D1">
              <w:rPr>
                <w:rFonts w:ascii="Times New Roman" w:eastAsia="Times New Roman" w:hAnsi="Times New Roman" w:cs="Times New Roman"/>
                <w:bCs/>
              </w:rPr>
              <w:t xml:space="preserve">к </w:t>
            </w:r>
            <w:r w:rsidR="004109ED" w:rsidRPr="006F18D1">
              <w:rPr>
                <w:rFonts w:ascii="Times New Roman" w:eastAsia="Times New Roman" w:hAnsi="Times New Roman" w:cs="Times New Roman"/>
                <w:bCs/>
              </w:rPr>
              <w:t>на территории Новосибирской области</w:t>
            </w:r>
          </w:p>
          <w:p w:rsidR="004109ED" w:rsidRPr="006F18D1" w:rsidRDefault="004109ED" w:rsidP="004109ED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ED" w:rsidRPr="006F18D1" w:rsidRDefault="006C60F8" w:rsidP="004109ED">
            <w:pPr>
              <w:shd w:val="clear" w:color="auto" w:fill="FFFFFF"/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18D1">
              <w:rPr>
                <w:rFonts w:ascii="Times New Roman" w:eastAsia="Times New Roman" w:hAnsi="Times New Roman" w:cs="Times New Roman"/>
                <w:bCs/>
              </w:rPr>
              <w:lastRenderedPageBreak/>
              <w:t>147 субъектов, из них: 72 – Индивидуальных предпринимателя</w:t>
            </w:r>
            <w:r w:rsidR="004109ED" w:rsidRPr="006F18D1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4109ED" w:rsidRPr="006F18D1" w:rsidRDefault="004109ED" w:rsidP="004109ED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18D1">
              <w:rPr>
                <w:rFonts w:ascii="Times New Roman" w:eastAsia="Times New Roman" w:hAnsi="Times New Roman" w:cs="Times New Roman"/>
                <w:bCs/>
              </w:rPr>
              <w:lastRenderedPageBreak/>
              <w:t>75 ˗</w:t>
            </w:r>
            <w:r w:rsidR="006C60F8" w:rsidRPr="006F18D1">
              <w:rPr>
                <w:rFonts w:ascii="Times New Roman" w:eastAsia="Times New Roman" w:hAnsi="Times New Roman" w:cs="Times New Roman"/>
                <w:bCs/>
              </w:rPr>
              <w:t xml:space="preserve"> юридических лиц, осуществляющих</w:t>
            </w:r>
            <w:r w:rsidRPr="006F18D1">
              <w:rPr>
                <w:rFonts w:ascii="Times New Roman" w:eastAsia="Times New Roman" w:hAnsi="Times New Roman" w:cs="Times New Roman"/>
                <w:bCs/>
              </w:rPr>
              <w:t xml:space="preserve"> пассажирс</w:t>
            </w:r>
            <w:r w:rsidR="006C60F8" w:rsidRPr="006F18D1">
              <w:rPr>
                <w:rFonts w:ascii="Times New Roman" w:eastAsia="Times New Roman" w:hAnsi="Times New Roman" w:cs="Times New Roman"/>
                <w:bCs/>
              </w:rPr>
              <w:t>кие перевозки по</w:t>
            </w:r>
            <w:r w:rsidRPr="006F18D1">
              <w:rPr>
                <w:rFonts w:ascii="Times New Roman" w:eastAsia="Times New Roman" w:hAnsi="Times New Roman" w:cs="Times New Roman"/>
                <w:bCs/>
              </w:rPr>
              <w:t xml:space="preserve"> межмуниципальным маршрутам регулярных перевозок на территории Новосибирской области</w:t>
            </w:r>
          </w:p>
          <w:p w:rsidR="004109ED" w:rsidRPr="006F18D1" w:rsidRDefault="004109ED" w:rsidP="004109ED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6531A1" w:rsidP="004109ED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F18D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Согласно данным реестра межмуниципальных </w:t>
            </w:r>
            <w:r w:rsidRPr="006F18D1">
              <w:rPr>
                <w:rFonts w:ascii="Times New Roman" w:eastAsia="Times New Roman" w:hAnsi="Times New Roman" w:cs="Times New Roman"/>
                <w:bCs/>
              </w:rPr>
              <w:lastRenderedPageBreak/>
              <w:t>маршрутов регулярных перевозок на территории Новосибирской области</w:t>
            </w:r>
          </w:p>
        </w:tc>
      </w:tr>
    </w:tbl>
    <w:p w:rsidR="004109ED" w:rsidRPr="00D46455" w:rsidRDefault="004109ED" w:rsidP="004109ED">
      <w:pPr>
        <w:widowControl w:val="0"/>
        <w:tabs>
          <w:tab w:val="left" w:pos="773"/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4109ED" w:rsidRPr="00D46455" w:rsidRDefault="00851FB9" w:rsidP="004109ED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3.2. Устанавливаемые 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</w:rPr>
        <w:t>или изме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няемые обязанности 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</w:rPr>
        <w:t xml:space="preserve">субъектов предпринимательской 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и (или) 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4109ED" w:rsidRPr="00D46455" w:rsidRDefault="004109ED" w:rsidP="004109ED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3223"/>
        <w:gridCol w:w="3206"/>
        <w:gridCol w:w="3122"/>
      </w:tblGrid>
      <w:tr w:rsidR="004109ED" w:rsidRPr="00D46455" w:rsidTr="00D95C1B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Содержание новой (измененной) обяз</w:t>
            </w:r>
            <w:r w:rsidR="00851FB9"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анности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Порядок организации исполнения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Оценка расходов субъектов (включая периодичность, если применимо)</w:t>
            </w:r>
          </w:p>
        </w:tc>
      </w:tr>
      <w:tr w:rsidR="004109ED" w:rsidRPr="00D46455" w:rsidTr="00D95C1B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Группа участников (по пункту 3.1)</w:t>
            </w:r>
          </w:p>
        </w:tc>
      </w:tr>
      <w:tr w:rsidR="004109ED" w:rsidRPr="00D46455" w:rsidTr="00D95C1B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6531A1" w:rsidP="006531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8D1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</w:tr>
    </w:tbl>
    <w:p w:rsidR="00D95C1B" w:rsidRPr="00D46455" w:rsidRDefault="00D95C1B" w:rsidP="00D95C1B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95C1B" w:rsidRPr="00D46455" w:rsidRDefault="00D95C1B" w:rsidP="00D95C1B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46455">
        <w:rPr>
          <w:rFonts w:ascii="Times New Roman" w:eastAsia="Times New Roman" w:hAnsi="Times New Roman" w:cs="Times New Roman"/>
          <w:sz w:val="28"/>
          <w:szCs w:val="28"/>
          <w:lang w:bidi="ru-RU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</w:t>
      </w:r>
    </w:p>
    <w:p w:rsidR="00D95C1B" w:rsidRPr="00D46455" w:rsidRDefault="00D95C1B" w:rsidP="00D95C1B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78"/>
        <w:gridCol w:w="2893"/>
        <w:gridCol w:w="3440"/>
      </w:tblGrid>
      <w:tr w:rsidR="00D95C1B" w:rsidRPr="00D46455" w:rsidTr="00895751">
        <w:tc>
          <w:tcPr>
            <w:tcW w:w="540" w:type="dxa"/>
            <w:vAlign w:val="center"/>
          </w:tcPr>
          <w:p w:rsidR="00D95C1B" w:rsidRPr="006F18D1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8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D95C1B" w:rsidRPr="006F18D1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6F18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6F18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829" w:type="dxa"/>
            <w:vAlign w:val="center"/>
          </w:tcPr>
          <w:p w:rsidR="00D95C1B" w:rsidRPr="006F18D1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8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118" w:type="dxa"/>
            <w:vAlign w:val="center"/>
          </w:tcPr>
          <w:p w:rsidR="00D95C1B" w:rsidRPr="006F18D1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8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Вид расходов</w:t>
            </w:r>
          </w:p>
        </w:tc>
        <w:tc>
          <w:tcPr>
            <w:tcW w:w="3649" w:type="dxa"/>
            <w:vAlign w:val="center"/>
          </w:tcPr>
          <w:p w:rsidR="00D95C1B" w:rsidRPr="006F18D1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8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Оценка расходов (включая периодичность, если применимо)</w:t>
            </w:r>
          </w:p>
        </w:tc>
      </w:tr>
      <w:tr w:rsidR="00D95C1B" w:rsidRPr="00D46455" w:rsidTr="00895751">
        <w:tc>
          <w:tcPr>
            <w:tcW w:w="540" w:type="dxa"/>
          </w:tcPr>
          <w:p w:rsidR="00D95C1B" w:rsidRPr="006F18D1" w:rsidRDefault="006F18D1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829" w:type="dxa"/>
          </w:tcPr>
          <w:p w:rsidR="00D95C1B" w:rsidRPr="006F18D1" w:rsidRDefault="00D95C1B" w:rsidP="00A11B92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8D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отсутствуют</w:t>
            </w:r>
          </w:p>
        </w:tc>
        <w:tc>
          <w:tcPr>
            <w:tcW w:w="3118" w:type="dxa"/>
          </w:tcPr>
          <w:p w:rsidR="00D95C1B" w:rsidRPr="006F18D1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49" w:type="dxa"/>
          </w:tcPr>
          <w:p w:rsidR="00D95C1B" w:rsidRPr="006F18D1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95C1B" w:rsidRPr="00D46455" w:rsidTr="00895751">
        <w:tc>
          <w:tcPr>
            <w:tcW w:w="540" w:type="dxa"/>
          </w:tcPr>
          <w:p w:rsidR="00D95C1B" w:rsidRPr="00D46455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9" w:type="dxa"/>
          </w:tcPr>
          <w:p w:rsidR="00D95C1B" w:rsidRPr="00D46455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18" w:type="dxa"/>
          </w:tcPr>
          <w:p w:rsidR="00D95C1B" w:rsidRPr="00D46455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649" w:type="dxa"/>
          </w:tcPr>
          <w:p w:rsidR="00D95C1B" w:rsidRPr="00D46455" w:rsidRDefault="00D95C1B" w:rsidP="00D95C1B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D95C1B" w:rsidRPr="00D46455" w:rsidRDefault="00D95C1B" w:rsidP="00D95C1B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4109ED" w:rsidRPr="00D46455" w:rsidRDefault="004109ED" w:rsidP="004109ED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109ED" w:rsidRPr="00D46455" w:rsidRDefault="00D95C1B" w:rsidP="004109ED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</w:rPr>
        <w:t>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1912"/>
        <w:gridCol w:w="2136"/>
        <w:gridCol w:w="3147"/>
      </w:tblGrid>
      <w:tr w:rsidR="00E34609" w:rsidRPr="00D46455" w:rsidTr="004109ED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D95C1B" w:rsidP="004109ED">
            <w:pPr>
              <w:tabs>
                <w:tab w:val="left" w:pos="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Полномочие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Характер</w:t>
            </w:r>
          </w:p>
          <w:p w:rsidR="004109ED" w:rsidRPr="006F18D1" w:rsidRDefault="00D95C1B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в</w:t>
            </w:r>
            <w:r w:rsidR="004109ED"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оздействия </w:t>
            </w:r>
            <w:r w:rsidRPr="006F18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(установление</w:t>
            </w:r>
            <w:r w:rsidR="004109ED" w:rsidRPr="006F18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/ Изменение/ Отмена)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Предполагаемый</w:t>
            </w:r>
            <w:proofErr w:type="gramEnd"/>
          </w:p>
          <w:p w:rsidR="004109ED" w:rsidRPr="006F18D1" w:rsidRDefault="004109ED" w:rsidP="004109ED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порядок</w:t>
            </w:r>
          </w:p>
          <w:p w:rsidR="004109ED" w:rsidRPr="006F18D1" w:rsidRDefault="004109ED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реализации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Расходы</w:t>
            </w:r>
            <w:r w:rsidRPr="006F18D1">
              <w:rPr>
                <w:rFonts w:ascii="Times New Roman" w:eastAsia="Times New Roman" w:hAnsi="Times New Roman" w:cs="Times New Roman"/>
                <w:bCs/>
                <w:vertAlign w:val="superscript"/>
              </w:rPr>
              <w:footnoteReference w:id="1"/>
            </w:r>
            <w:r w:rsidR="00D95C1B"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областного/муниципального бюджета</w:t>
            </w:r>
          </w:p>
        </w:tc>
      </w:tr>
      <w:tr w:rsidR="004109ED" w:rsidRPr="00D46455" w:rsidTr="004109ED"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6531A1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  <w:t>Министерство транспорта и дорожного хозяйства Новосибирской области</w:t>
            </w:r>
          </w:p>
        </w:tc>
      </w:tr>
      <w:tr w:rsidR="00E34609" w:rsidRPr="00D46455" w:rsidTr="004109ED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9" w:rsidRPr="006F18D1" w:rsidRDefault="009551A9" w:rsidP="006531A1">
            <w:pPr>
              <w:tabs>
                <w:tab w:val="left" w:pos="973"/>
                <w:tab w:val="left" w:pos="1560"/>
                <w:tab w:val="left" w:pos="3261"/>
              </w:tabs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  <w:t>Проведение обследования</w:t>
            </w:r>
            <w:r w:rsidR="006F18D1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  <w:t xml:space="preserve"> межмуниципальных маршрутов регулярных перевозок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9" w:rsidRPr="006F18D1" w:rsidRDefault="009551A9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  <w:t>Установление</w:t>
            </w:r>
          </w:p>
          <w:p w:rsidR="009551A9" w:rsidRPr="006F18D1" w:rsidRDefault="009551A9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trike/>
                <w:color w:val="FF0000"/>
                <w:shd w:val="clear" w:color="auto" w:fill="FFFFFF"/>
              </w:rPr>
            </w:pPr>
          </w:p>
          <w:p w:rsidR="004109ED" w:rsidRPr="006F18D1" w:rsidRDefault="004109ED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061C65" w:rsidP="009551A9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в</w:t>
            </w:r>
            <w:r w:rsidR="004109ED" w:rsidRPr="006F18D1">
              <w:rPr>
                <w:rFonts w:ascii="Times New Roman" w:eastAsia="Times New Roman" w:hAnsi="Times New Roman" w:cs="Times New Roman"/>
              </w:rPr>
              <w:t xml:space="preserve"> соответствии с Поряд</w:t>
            </w:r>
            <w:r w:rsidR="003A2666" w:rsidRPr="006F18D1">
              <w:rPr>
                <w:rFonts w:ascii="Times New Roman" w:eastAsia="Times New Roman" w:hAnsi="Times New Roman" w:cs="Times New Roman"/>
              </w:rPr>
              <w:t>ком обследования маршрутов</w:t>
            </w:r>
            <w:r w:rsidR="004565B0" w:rsidRPr="006F18D1">
              <w:rPr>
                <w:rFonts w:ascii="Times New Roman" w:eastAsia="Times New Roman" w:hAnsi="Times New Roman" w:cs="Times New Roman"/>
              </w:rPr>
              <w:t>, утвержденным</w:t>
            </w:r>
            <w:r w:rsidR="004109ED" w:rsidRPr="006F18D1">
              <w:rPr>
                <w:rFonts w:ascii="Times New Roman" w:eastAsia="Times New Roman" w:hAnsi="Times New Roman" w:cs="Times New Roman"/>
              </w:rPr>
              <w:t xml:space="preserve"> приказом Минтранса Новосибирской </w:t>
            </w:r>
            <w:r w:rsidR="004109ED" w:rsidRPr="006F18D1">
              <w:rPr>
                <w:rFonts w:ascii="Times New Roman" w:eastAsia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lastRenderedPageBreak/>
              <w:t>отсутствуют</w:t>
            </w:r>
          </w:p>
        </w:tc>
      </w:tr>
    </w:tbl>
    <w:p w:rsidR="004109ED" w:rsidRPr="00D46455" w:rsidRDefault="004109ED" w:rsidP="004109ED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4109ED" w:rsidRPr="00D46455" w:rsidRDefault="00851FB9" w:rsidP="00D95C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3.5. Оценки иных расходов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</w:t>
      </w:r>
      <w:r w:rsidRPr="00D46455">
        <w:rPr>
          <w:rFonts w:ascii="Times New Roman" w:hAnsi="Times New Roman" w:cs="Times New Roman"/>
          <w:sz w:val="28"/>
          <w:szCs w:val="28"/>
        </w:rPr>
        <w:t xml:space="preserve"> 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>связанных с введением предлагаемого регулирования</w:t>
      </w: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3166"/>
        <w:gridCol w:w="3167"/>
        <w:gridCol w:w="3218"/>
      </w:tblGrid>
      <w:tr w:rsidR="004109ED" w:rsidRPr="00D46455" w:rsidTr="00851FB9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ED" w:rsidRPr="006F18D1" w:rsidRDefault="00851FB9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ED" w:rsidRPr="006F18D1" w:rsidRDefault="00851FB9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Вид расходов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ED" w:rsidRPr="006F18D1" w:rsidRDefault="00851FB9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Оценка расходов бюджета (включая периодичность, если применимо)</w:t>
            </w:r>
          </w:p>
        </w:tc>
      </w:tr>
      <w:tr w:rsidR="004109ED" w:rsidRPr="00D46455" w:rsidTr="004109ED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</w:tr>
    </w:tbl>
    <w:p w:rsidR="004109ED" w:rsidRPr="00D46455" w:rsidRDefault="004109ED" w:rsidP="004109ED">
      <w:pPr>
        <w:widowControl w:val="0"/>
        <w:tabs>
          <w:tab w:val="left" w:pos="1007"/>
          <w:tab w:val="left" w:pos="1560"/>
          <w:tab w:val="left" w:pos="3261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4109ED" w:rsidRPr="00D46455" w:rsidRDefault="00851FB9" w:rsidP="004109ED">
      <w:pPr>
        <w:widowControl w:val="0"/>
        <w:tabs>
          <w:tab w:val="left" w:pos="1007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109ED" w:rsidRPr="00D46455">
        <w:rPr>
          <w:rFonts w:ascii="Times New Roman" w:eastAsia="Times New Roman" w:hAnsi="Times New Roman" w:cs="Times New Roman"/>
          <w:sz w:val="28"/>
          <w:szCs w:val="28"/>
        </w:rPr>
        <w:t>. Оценка возможных поступлений консолидированного бюджета Новосибирской области</w:t>
      </w: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3161"/>
        <w:gridCol w:w="3168"/>
        <w:gridCol w:w="3222"/>
      </w:tblGrid>
      <w:tr w:rsidR="004109ED" w:rsidRPr="00D46455" w:rsidTr="004109ED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shd w:val="clear" w:color="auto" w:fill="FFFFFF"/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Уровень бюджета бюджетной системы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Источник поступлений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</w:rPr>
              <w:t>Количественная оценка и периодичность возможных поступлений</w:t>
            </w:r>
          </w:p>
        </w:tc>
      </w:tr>
      <w:tr w:rsidR="004109ED" w:rsidRPr="00D46455" w:rsidTr="004109ED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</w:tr>
    </w:tbl>
    <w:p w:rsidR="004109ED" w:rsidRPr="00D46455" w:rsidRDefault="004109ED" w:rsidP="004109ED">
      <w:pPr>
        <w:widowControl w:val="0"/>
        <w:tabs>
          <w:tab w:val="left" w:pos="1007"/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4109ED" w:rsidRPr="00D46455" w:rsidRDefault="00D95C1B" w:rsidP="004109ED">
      <w:pPr>
        <w:widowControl w:val="0"/>
        <w:spacing w:after="0" w:line="240" w:lineRule="auto"/>
        <w:ind w:left="20" w:firstLine="54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3.7. Обоснование </w:t>
      </w:r>
      <w:r w:rsidR="004109ED"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количественной оце</w:t>
      </w: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нки поступлений в соответствующий бюджет</w:t>
      </w:r>
    </w:p>
    <w:p w:rsidR="004109ED" w:rsidRPr="00D46455" w:rsidRDefault="004109ED" w:rsidP="004109E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отсутствуют</w:t>
      </w:r>
    </w:p>
    <w:p w:rsidR="00082AF4" w:rsidRPr="00D46455" w:rsidRDefault="00082AF4" w:rsidP="00082A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082AF4" w:rsidRPr="00D46455" w:rsidRDefault="00082AF4" w:rsidP="00082A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F4" w:rsidRPr="00D46455" w:rsidRDefault="00082AF4" w:rsidP="00082AF4">
      <w:pPr>
        <w:numPr>
          <w:ilvl w:val="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4.1. Положения, которые могут отрицательно воздействовать на состояние конкуренции</w:t>
      </w:r>
    </w:p>
    <w:p w:rsidR="00082AF4" w:rsidRPr="00D46455" w:rsidRDefault="00082AF4" w:rsidP="00082AF4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tblLook w:val="06A0" w:firstRow="1" w:lastRow="0" w:firstColumn="1" w:lastColumn="0" w:noHBand="1" w:noVBand="1"/>
      </w:tblPr>
      <w:tblGrid>
        <w:gridCol w:w="720"/>
        <w:gridCol w:w="4489"/>
        <w:gridCol w:w="1269"/>
        <w:gridCol w:w="3093"/>
      </w:tblGrid>
      <w:tr w:rsidR="00082AF4" w:rsidRPr="006F18D1" w:rsidTr="00895751">
        <w:tc>
          <w:tcPr>
            <w:tcW w:w="376" w:type="pct"/>
            <w:vMerge w:val="restart"/>
            <w:vAlign w:val="center"/>
          </w:tcPr>
          <w:p w:rsidR="00082AF4" w:rsidRPr="006F18D1" w:rsidRDefault="00082AF4" w:rsidP="00082AF4">
            <w:pPr>
              <w:ind w:firstLine="0"/>
            </w:pPr>
            <w:r w:rsidRPr="006F18D1">
              <w:t xml:space="preserve">№ </w:t>
            </w:r>
            <w:proofErr w:type="gramStart"/>
            <w:r w:rsidRPr="006F18D1">
              <w:t>п</w:t>
            </w:r>
            <w:proofErr w:type="gramEnd"/>
            <w:r w:rsidRPr="006F18D1">
              <w:t>/п</w:t>
            </w:r>
          </w:p>
        </w:tc>
        <w:tc>
          <w:tcPr>
            <w:tcW w:w="2345" w:type="pct"/>
            <w:vMerge w:val="restart"/>
            <w:vAlign w:val="center"/>
          </w:tcPr>
          <w:p w:rsidR="00082AF4" w:rsidRPr="006F18D1" w:rsidRDefault="00082AF4" w:rsidP="00082AF4">
            <w:r w:rsidRPr="006F18D1">
              <w:t>Положение, которое может отрицательно воздействовать на состояние конкуренции</w:t>
            </w:r>
          </w:p>
        </w:tc>
        <w:tc>
          <w:tcPr>
            <w:tcW w:w="2279" w:type="pct"/>
            <w:gridSpan w:val="2"/>
            <w:vAlign w:val="center"/>
          </w:tcPr>
          <w:p w:rsidR="00082AF4" w:rsidRPr="006F18D1" w:rsidRDefault="00082AF4" w:rsidP="00082AF4">
            <w:pPr>
              <w:ind w:firstLine="0"/>
            </w:pPr>
            <w:r w:rsidRPr="006F18D1">
              <w:t>Наличие положения в проекте акта</w:t>
            </w:r>
          </w:p>
        </w:tc>
      </w:tr>
      <w:tr w:rsidR="00082AF4" w:rsidRPr="006F18D1" w:rsidTr="00895751">
        <w:tc>
          <w:tcPr>
            <w:tcW w:w="376" w:type="pct"/>
            <w:vMerge/>
            <w:vAlign w:val="center"/>
          </w:tcPr>
          <w:p w:rsidR="00082AF4" w:rsidRPr="006F18D1" w:rsidRDefault="00082AF4" w:rsidP="00082AF4"/>
        </w:tc>
        <w:tc>
          <w:tcPr>
            <w:tcW w:w="2345" w:type="pct"/>
            <w:vMerge/>
            <w:vAlign w:val="center"/>
          </w:tcPr>
          <w:p w:rsidR="00082AF4" w:rsidRPr="006F18D1" w:rsidRDefault="00082AF4" w:rsidP="00082AF4"/>
        </w:tc>
        <w:tc>
          <w:tcPr>
            <w:tcW w:w="663" w:type="pct"/>
            <w:vAlign w:val="center"/>
          </w:tcPr>
          <w:p w:rsidR="00082AF4" w:rsidRPr="006F18D1" w:rsidRDefault="00082AF4" w:rsidP="00082AF4">
            <w:pPr>
              <w:ind w:firstLine="0"/>
            </w:pPr>
            <w:proofErr w:type="gramStart"/>
            <w:r w:rsidRPr="006F18D1">
              <w:t>Есть</w:t>
            </w:r>
            <w:proofErr w:type="gramEnd"/>
            <w:r w:rsidRPr="006F18D1">
              <w:t xml:space="preserve"> /нет</w:t>
            </w:r>
          </w:p>
        </w:tc>
        <w:tc>
          <w:tcPr>
            <w:tcW w:w="1616" w:type="pct"/>
            <w:vAlign w:val="center"/>
          </w:tcPr>
          <w:p w:rsidR="00082AF4" w:rsidRPr="006F18D1" w:rsidRDefault="00082AF4" w:rsidP="00082AF4">
            <w:r w:rsidRPr="006F18D1">
              <w:t>Ссылка на положение</w:t>
            </w:r>
          </w:p>
        </w:tc>
      </w:tr>
      <w:tr w:rsidR="00082AF4" w:rsidRPr="006F18D1" w:rsidTr="00895751">
        <w:tc>
          <w:tcPr>
            <w:tcW w:w="376" w:type="pct"/>
          </w:tcPr>
          <w:p w:rsidR="00082AF4" w:rsidRPr="006F18D1" w:rsidRDefault="00082AF4" w:rsidP="00082AF4">
            <w:pPr>
              <w:ind w:firstLine="0"/>
            </w:pPr>
            <w:r w:rsidRPr="006F18D1">
              <w:t>1</w:t>
            </w:r>
          </w:p>
        </w:tc>
        <w:tc>
          <w:tcPr>
            <w:tcW w:w="4624" w:type="pct"/>
            <w:gridSpan w:val="3"/>
          </w:tcPr>
          <w:p w:rsidR="00082AF4" w:rsidRPr="006F18D1" w:rsidRDefault="00082AF4" w:rsidP="00082AF4">
            <w:pPr>
              <w:ind w:firstLine="0"/>
            </w:pPr>
            <w:r w:rsidRPr="006F18D1">
              <w:t>Ограничение количества или круга субъектов предпринимательской деятельности</w:t>
            </w:r>
          </w:p>
        </w:tc>
      </w:tr>
      <w:tr w:rsidR="00082AF4" w:rsidRPr="006F18D1" w:rsidTr="00895751">
        <w:tc>
          <w:tcPr>
            <w:tcW w:w="376" w:type="pct"/>
          </w:tcPr>
          <w:p w:rsidR="00082AF4" w:rsidRPr="006F18D1" w:rsidRDefault="00082AF4" w:rsidP="00082AF4">
            <w:pPr>
              <w:ind w:firstLine="0"/>
            </w:pPr>
            <w:r w:rsidRPr="006F18D1">
              <w:t>1.1</w:t>
            </w:r>
          </w:p>
        </w:tc>
        <w:tc>
          <w:tcPr>
            <w:tcW w:w="2345" w:type="pct"/>
          </w:tcPr>
          <w:p w:rsidR="00082AF4" w:rsidRPr="006F18D1" w:rsidRDefault="00082AF4" w:rsidP="00082AF4">
            <w:pPr>
              <w:ind w:firstLine="0"/>
            </w:pPr>
            <w:r w:rsidRPr="006F18D1"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663" w:type="pct"/>
          </w:tcPr>
          <w:p w:rsidR="00082AF4" w:rsidRPr="006F18D1" w:rsidRDefault="00082AF4" w:rsidP="00082AF4">
            <w:r w:rsidRPr="006F18D1">
              <w:t>нет</w:t>
            </w:r>
          </w:p>
        </w:tc>
        <w:tc>
          <w:tcPr>
            <w:tcW w:w="1616" w:type="pct"/>
          </w:tcPr>
          <w:p w:rsidR="00082AF4" w:rsidRPr="006F18D1" w:rsidRDefault="00082AF4" w:rsidP="00082AF4"/>
        </w:tc>
      </w:tr>
      <w:tr w:rsidR="00082AF4" w:rsidRPr="006F18D1" w:rsidTr="00895751">
        <w:tc>
          <w:tcPr>
            <w:tcW w:w="376" w:type="pct"/>
          </w:tcPr>
          <w:p w:rsidR="00082AF4" w:rsidRPr="006F18D1" w:rsidRDefault="00082AF4" w:rsidP="00082AF4">
            <w:pPr>
              <w:ind w:firstLine="0"/>
            </w:pPr>
            <w:r w:rsidRPr="006F18D1">
              <w:t>1.2</w:t>
            </w:r>
          </w:p>
        </w:tc>
        <w:tc>
          <w:tcPr>
            <w:tcW w:w="2345" w:type="pct"/>
          </w:tcPr>
          <w:p w:rsidR="00082AF4" w:rsidRPr="006F18D1" w:rsidRDefault="00082AF4" w:rsidP="00082AF4">
            <w:pPr>
              <w:ind w:firstLine="0"/>
            </w:pPr>
            <w:r w:rsidRPr="006F18D1"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082AF4" w:rsidRPr="006F18D1" w:rsidRDefault="00082AF4" w:rsidP="00082AF4">
            <w:r w:rsidRPr="006F18D1">
              <w:t>нет</w:t>
            </w:r>
          </w:p>
        </w:tc>
        <w:tc>
          <w:tcPr>
            <w:tcW w:w="1616" w:type="pct"/>
          </w:tcPr>
          <w:p w:rsidR="00082AF4" w:rsidRPr="006F18D1" w:rsidRDefault="00082AF4" w:rsidP="00082AF4"/>
        </w:tc>
      </w:tr>
      <w:tr w:rsidR="00082AF4" w:rsidRPr="006F18D1" w:rsidTr="00895751">
        <w:tc>
          <w:tcPr>
            <w:tcW w:w="376" w:type="pct"/>
          </w:tcPr>
          <w:p w:rsidR="00082AF4" w:rsidRPr="006F18D1" w:rsidRDefault="00082AF4" w:rsidP="00082AF4">
            <w:pPr>
              <w:ind w:firstLine="0"/>
            </w:pPr>
            <w:r w:rsidRPr="006F18D1">
              <w:t>1.3</w:t>
            </w:r>
          </w:p>
        </w:tc>
        <w:tc>
          <w:tcPr>
            <w:tcW w:w="2345" w:type="pct"/>
          </w:tcPr>
          <w:p w:rsidR="00082AF4" w:rsidRPr="006F18D1" w:rsidRDefault="00082AF4" w:rsidP="00082AF4">
            <w:pPr>
              <w:ind w:firstLine="0"/>
            </w:pPr>
            <w:r w:rsidRPr="006F18D1"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663" w:type="pct"/>
          </w:tcPr>
          <w:p w:rsidR="00082AF4" w:rsidRPr="006F18D1" w:rsidRDefault="00082AF4" w:rsidP="00082AF4">
            <w:r w:rsidRPr="006F18D1">
              <w:t>нет</w:t>
            </w:r>
          </w:p>
        </w:tc>
        <w:tc>
          <w:tcPr>
            <w:tcW w:w="1616" w:type="pct"/>
          </w:tcPr>
          <w:p w:rsidR="00082AF4" w:rsidRPr="006F18D1" w:rsidRDefault="00082AF4" w:rsidP="00082AF4"/>
        </w:tc>
      </w:tr>
      <w:tr w:rsidR="00082AF4" w:rsidRPr="006F18D1" w:rsidTr="00895751">
        <w:tc>
          <w:tcPr>
            <w:tcW w:w="376" w:type="pct"/>
          </w:tcPr>
          <w:p w:rsidR="00082AF4" w:rsidRPr="006F18D1" w:rsidRDefault="00082AF4" w:rsidP="00082AF4">
            <w:pPr>
              <w:ind w:firstLine="0"/>
            </w:pPr>
            <w:r w:rsidRPr="006F18D1">
              <w:t>1.4</w:t>
            </w:r>
          </w:p>
        </w:tc>
        <w:tc>
          <w:tcPr>
            <w:tcW w:w="2345" w:type="pct"/>
          </w:tcPr>
          <w:p w:rsidR="00082AF4" w:rsidRPr="006F18D1" w:rsidRDefault="00082AF4" w:rsidP="00082AF4">
            <w:pPr>
              <w:ind w:firstLine="0"/>
            </w:pPr>
            <w:r w:rsidRPr="006F18D1"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082AF4" w:rsidRPr="006F18D1" w:rsidRDefault="00082AF4" w:rsidP="00082AF4">
            <w:r w:rsidRPr="006F18D1">
              <w:t>нет</w:t>
            </w:r>
          </w:p>
        </w:tc>
        <w:tc>
          <w:tcPr>
            <w:tcW w:w="1616" w:type="pct"/>
          </w:tcPr>
          <w:p w:rsidR="00082AF4" w:rsidRPr="006F18D1" w:rsidRDefault="00082AF4" w:rsidP="00082AF4"/>
        </w:tc>
      </w:tr>
      <w:tr w:rsidR="00082AF4" w:rsidRPr="006F18D1" w:rsidTr="00895751">
        <w:tc>
          <w:tcPr>
            <w:tcW w:w="376" w:type="pct"/>
          </w:tcPr>
          <w:p w:rsidR="00082AF4" w:rsidRPr="006F18D1" w:rsidRDefault="00082AF4" w:rsidP="00082AF4">
            <w:pPr>
              <w:ind w:firstLine="0"/>
              <w:rPr>
                <w:b/>
              </w:rPr>
            </w:pPr>
            <w:r w:rsidRPr="006F18D1">
              <w:rPr>
                <w:b/>
              </w:rPr>
              <w:t>2</w:t>
            </w:r>
          </w:p>
        </w:tc>
        <w:tc>
          <w:tcPr>
            <w:tcW w:w="4624" w:type="pct"/>
            <w:gridSpan w:val="3"/>
          </w:tcPr>
          <w:p w:rsidR="00082AF4" w:rsidRPr="006F18D1" w:rsidRDefault="00082AF4" w:rsidP="00082AF4">
            <w:pPr>
              <w:ind w:firstLine="0"/>
            </w:pPr>
            <w:r w:rsidRPr="006F18D1">
              <w:t xml:space="preserve">Ограничение способности субъектов предпринимательской деятельности вести </w:t>
            </w:r>
            <w:r w:rsidRPr="006F18D1">
              <w:lastRenderedPageBreak/>
              <w:t>конкуренцию</w:t>
            </w:r>
          </w:p>
        </w:tc>
      </w:tr>
      <w:tr w:rsidR="00082AF4" w:rsidRPr="006F18D1" w:rsidTr="00895751">
        <w:tc>
          <w:tcPr>
            <w:tcW w:w="376" w:type="pct"/>
          </w:tcPr>
          <w:p w:rsidR="00082AF4" w:rsidRPr="006F18D1" w:rsidRDefault="00082AF4" w:rsidP="00082AF4">
            <w:pPr>
              <w:ind w:firstLine="0"/>
            </w:pPr>
            <w:r w:rsidRPr="006F18D1">
              <w:lastRenderedPageBreak/>
              <w:t>2.1</w:t>
            </w:r>
          </w:p>
        </w:tc>
        <w:tc>
          <w:tcPr>
            <w:tcW w:w="2345" w:type="pct"/>
          </w:tcPr>
          <w:p w:rsidR="00082AF4" w:rsidRPr="006F18D1" w:rsidRDefault="00082AF4" w:rsidP="00082AF4">
            <w:pPr>
              <w:ind w:firstLine="0"/>
            </w:pPr>
            <w:r w:rsidRPr="006F18D1"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663" w:type="pct"/>
          </w:tcPr>
          <w:p w:rsidR="00082AF4" w:rsidRPr="006F18D1" w:rsidRDefault="00082AF4" w:rsidP="00082AF4">
            <w:r w:rsidRPr="006F18D1">
              <w:t>нет</w:t>
            </w:r>
          </w:p>
        </w:tc>
        <w:tc>
          <w:tcPr>
            <w:tcW w:w="1616" w:type="pct"/>
          </w:tcPr>
          <w:p w:rsidR="00082AF4" w:rsidRPr="006F18D1" w:rsidRDefault="00082AF4" w:rsidP="00082AF4"/>
        </w:tc>
      </w:tr>
      <w:tr w:rsidR="00082AF4" w:rsidRPr="006F18D1" w:rsidTr="00895751">
        <w:tc>
          <w:tcPr>
            <w:tcW w:w="376" w:type="pct"/>
          </w:tcPr>
          <w:p w:rsidR="00082AF4" w:rsidRPr="006F18D1" w:rsidRDefault="00082AF4" w:rsidP="00082AF4">
            <w:pPr>
              <w:ind w:firstLine="0"/>
            </w:pPr>
            <w:r w:rsidRPr="006F18D1">
              <w:t>2.2</w:t>
            </w:r>
          </w:p>
        </w:tc>
        <w:tc>
          <w:tcPr>
            <w:tcW w:w="2345" w:type="pct"/>
          </w:tcPr>
          <w:p w:rsidR="00082AF4" w:rsidRPr="006F18D1" w:rsidRDefault="00082AF4" w:rsidP="00082AF4">
            <w:pPr>
              <w:ind w:firstLine="0"/>
            </w:pPr>
            <w:r w:rsidRPr="006F18D1"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663" w:type="pct"/>
          </w:tcPr>
          <w:p w:rsidR="00082AF4" w:rsidRPr="006F18D1" w:rsidRDefault="00082AF4" w:rsidP="00082AF4">
            <w:r w:rsidRPr="006F18D1">
              <w:t>нет</w:t>
            </w:r>
          </w:p>
        </w:tc>
        <w:tc>
          <w:tcPr>
            <w:tcW w:w="1616" w:type="pct"/>
          </w:tcPr>
          <w:p w:rsidR="00082AF4" w:rsidRPr="006F18D1" w:rsidRDefault="00082AF4" w:rsidP="00082AF4"/>
        </w:tc>
      </w:tr>
    </w:tbl>
    <w:p w:rsidR="00082AF4" w:rsidRPr="006F18D1" w:rsidRDefault="00082AF4" w:rsidP="00082AF4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82AF4" w:rsidRPr="00D46455" w:rsidRDefault="00082AF4" w:rsidP="00082AF4">
      <w:pPr>
        <w:numPr>
          <w:ilvl w:val="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4.2. Обоснование необходимости введения указанных разработчиком положений (при наличии): </w:t>
      </w:r>
      <w:r w:rsidR="001C38FE" w:rsidRPr="00D46455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082AF4" w:rsidRPr="00D46455" w:rsidRDefault="00082AF4" w:rsidP="00082AF4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82AF4" w:rsidRPr="00D46455" w:rsidRDefault="00082AF4" w:rsidP="00082AF4">
      <w:pPr>
        <w:numPr>
          <w:ilvl w:val="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4.3. Риск отрицательного воздействия на состояние конкуренции</w:t>
      </w:r>
    </w:p>
    <w:p w:rsidR="00082AF4" w:rsidRPr="00D46455" w:rsidRDefault="00082AF4" w:rsidP="00082AF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Количество лиц, осуществляющих предпринимательскую деятельность в ре</w:t>
      </w:r>
      <w:r w:rsidR="001C38FE" w:rsidRPr="00D46455">
        <w:rPr>
          <w:rFonts w:ascii="Times New Roman" w:eastAsia="Times New Roman" w:hAnsi="Times New Roman" w:cs="Times New Roman"/>
          <w:sz w:val="28"/>
          <w:szCs w:val="28"/>
        </w:rPr>
        <w:t>гулируемой сфере, составляет: нет</w:t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(Источник: _________________.) Из них соответствуют требованиям предлагаемого регулирования либо имеют возможность соответствовать им _______ (____ % от указанного количества, доля). </w:t>
      </w:r>
    </w:p>
    <w:p w:rsidR="00082AF4" w:rsidRPr="00D46455" w:rsidRDefault="00082AF4" w:rsidP="00082AF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Вводимое регулирование, в соответствии с нижеследующим порядком расчета, обладает ________________ степенью риска отрицательного воздействия на состояние конкуренции.</w:t>
      </w:r>
    </w:p>
    <w:p w:rsidR="00082AF4" w:rsidRPr="00D46455" w:rsidRDefault="00082AF4" w:rsidP="00082A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09"/>
        <w:gridCol w:w="2389"/>
        <w:gridCol w:w="2387"/>
        <w:gridCol w:w="2386"/>
      </w:tblGrid>
      <w:tr w:rsidR="00082AF4" w:rsidRPr="00D46455" w:rsidTr="00895751">
        <w:tc>
          <w:tcPr>
            <w:tcW w:w="2534" w:type="dxa"/>
            <w:vMerge w:val="restart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 xml:space="preserve">Доля лиц, указанных в подпункте 4.3 пункта 4 части </w:t>
            </w:r>
            <w:r w:rsidRPr="006F18D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F18D1">
              <w:rPr>
                <w:rFonts w:ascii="Times New Roman" w:hAnsi="Times New Roman"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7602" w:type="dxa"/>
            <w:gridSpan w:val="3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082AF4" w:rsidRPr="00D46455" w:rsidTr="00895751">
        <w:tc>
          <w:tcPr>
            <w:tcW w:w="2534" w:type="dxa"/>
            <w:vMerge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082AF4" w:rsidRPr="00D46455" w:rsidTr="00895751"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менее 50 %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AF4" w:rsidRPr="00D46455" w:rsidTr="00895751"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от 50 до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AF4" w:rsidRPr="00D46455" w:rsidTr="00895751"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более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082AF4" w:rsidRPr="006F18D1" w:rsidRDefault="00082AF4" w:rsidP="00082AF4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D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109ED" w:rsidRPr="00D46455" w:rsidRDefault="004109ED" w:rsidP="004109ED">
      <w:pPr>
        <w:widowControl w:val="0"/>
        <w:tabs>
          <w:tab w:val="left" w:pos="806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4109ED" w:rsidRPr="00D46455" w:rsidRDefault="00082AF4" w:rsidP="00082AF4">
      <w:pPr>
        <w:widowControl w:val="0"/>
        <w:tabs>
          <w:tab w:val="left" w:pos="806"/>
          <w:tab w:val="left" w:pos="1560"/>
          <w:tab w:val="left" w:pos="3261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09ED" w:rsidRPr="00D46455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Иные р</w:t>
      </w:r>
      <w:r w:rsidR="004109ED" w:rsidRPr="00D46455">
        <w:rPr>
          <w:rFonts w:ascii="Times New Roman" w:eastAsia="Times New Roman" w:hAnsi="Times New Roman" w:cs="Times New Roman"/>
          <w:bCs/>
          <w:sz w:val="28"/>
          <w:szCs w:val="28"/>
        </w:rPr>
        <w:t>иски решения проблем предложенным способом и риски негативных последствий</w:t>
      </w:r>
    </w:p>
    <w:p w:rsidR="004109ED" w:rsidRPr="00D46455" w:rsidRDefault="004109ED" w:rsidP="004109ED">
      <w:pPr>
        <w:widowControl w:val="0"/>
        <w:tabs>
          <w:tab w:val="left" w:pos="802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D464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отсутствуют</w:t>
      </w:r>
    </w:p>
    <w:p w:rsidR="004109ED" w:rsidRPr="00D46455" w:rsidRDefault="004109ED" w:rsidP="004109ED">
      <w:pPr>
        <w:widowControl w:val="0"/>
        <w:tabs>
          <w:tab w:val="left" w:pos="802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109ED" w:rsidRPr="00D46455" w:rsidRDefault="00082AF4" w:rsidP="00082AF4">
      <w:pPr>
        <w:widowControl w:val="0"/>
        <w:tabs>
          <w:tab w:val="left" w:pos="802"/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109ED" w:rsidRPr="00D46455">
        <w:rPr>
          <w:rFonts w:ascii="Times New Roman" w:eastAsia="Times New Roman" w:hAnsi="Times New Roman" w:cs="Times New Roman"/>
          <w:bCs/>
          <w:sz w:val="28"/>
          <w:szCs w:val="28"/>
        </w:rPr>
        <w:t>. Порядок введения регулирования</w:t>
      </w:r>
    </w:p>
    <w:p w:rsidR="004109ED" w:rsidRPr="00D46455" w:rsidRDefault="004109ED" w:rsidP="004109ED">
      <w:pPr>
        <w:widowControl w:val="0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Необходимость установления переходного периода отсутствует.</w:t>
      </w:r>
    </w:p>
    <w:p w:rsidR="004109ED" w:rsidRPr="00D46455" w:rsidRDefault="004109ED" w:rsidP="0041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4109ED" w:rsidRPr="00D46455" w:rsidRDefault="00082AF4" w:rsidP="00082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D46455">
        <w:rPr>
          <w:rFonts w:ascii="Times New Roman" w:eastAsia="Courier New" w:hAnsi="Times New Roman" w:cs="Times New Roman"/>
          <w:sz w:val="28"/>
          <w:szCs w:val="28"/>
          <w:lang w:eastAsia="ru-RU"/>
        </w:rPr>
        <w:t>7</w:t>
      </w:r>
      <w:r w:rsidR="004109ED" w:rsidRPr="00D46455">
        <w:rPr>
          <w:rFonts w:ascii="Times New Roman" w:eastAsia="Courier New" w:hAnsi="Times New Roman" w:cs="Times New Roman"/>
          <w:sz w:val="28"/>
          <w:szCs w:val="28"/>
          <w:lang w:eastAsia="ru-RU"/>
        </w:rPr>
        <w:t>. Иные сведения, которые, по мнению разработчика акта, позволяют оценить обоснованность предлагаемого регулирования</w:t>
      </w:r>
    </w:p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46455">
        <w:rPr>
          <w:rFonts w:ascii="Times New Roman" w:eastAsia="Times New Roman" w:hAnsi="Times New Roman" w:cs="Times New Roman"/>
          <w:sz w:val="28"/>
          <w:szCs w:val="28"/>
          <w:u w:val="single"/>
        </w:rPr>
        <w:t>отсутствуют</w:t>
      </w:r>
    </w:p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464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46455">
        <w:rPr>
          <w:rFonts w:ascii="Times New Roman" w:eastAsia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4109ED" w:rsidRPr="00D46455" w:rsidRDefault="004109ED" w:rsidP="004109ED">
      <w:pPr>
        <w:widowControl w:val="0"/>
        <w:shd w:val="clear" w:color="auto" w:fill="FFFFFF" w:themeFill="background1"/>
        <w:tabs>
          <w:tab w:val="left" w:pos="15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</w:p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7"/>
      <w:r w:rsidRPr="00D46455">
        <w:rPr>
          <w:rFonts w:ascii="Times New Roman" w:eastAsia="Times New Roman" w:hAnsi="Times New Roman" w:cs="Times New Roman"/>
          <w:sz w:val="28"/>
          <w:szCs w:val="28"/>
        </w:rPr>
        <w:t>1. Описание проблем, негативных эффектов и их обоснование</w:t>
      </w:r>
      <w:bookmarkEnd w:id="4"/>
    </w:p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72"/>
        <w:gridCol w:w="2357"/>
        <w:gridCol w:w="2357"/>
        <w:gridCol w:w="2300"/>
        <w:gridCol w:w="2161"/>
      </w:tblGrid>
      <w:tr w:rsidR="00202785" w:rsidRPr="00D46455" w:rsidTr="001C38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№</w:t>
            </w:r>
            <w:r w:rsidR="001C38FE" w:rsidRPr="006F18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C38FE" w:rsidRPr="006F18D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1C38FE" w:rsidRPr="006F18D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Проблема (сущность проблемы)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Характер проблемы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Негативные эффекты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 xml:space="preserve">Обоснование негативных </w:t>
            </w:r>
            <w:r w:rsidRPr="006F18D1">
              <w:rPr>
                <w:rFonts w:ascii="Times New Roman" w:eastAsia="Times New Roman" w:hAnsi="Times New Roman" w:cs="Times New Roman"/>
              </w:rPr>
              <w:lastRenderedPageBreak/>
              <w:t>эффектов</w:t>
            </w:r>
          </w:p>
        </w:tc>
      </w:tr>
      <w:tr w:rsidR="00202785" w:rsidRPr="00D46455" w:rsidTr="001C38F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861D18" w:rsidP="009551A9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6F18D1">
              <w:rPr>
                <w:rFonts w:ascii="Times New Roman" w:eastAsia="Times New Roman" w:hAnsi="Times New Roman" w:cs="Times New Roman"/>
              </w:rPr>
              <w:t>Согласно статье 12 постановления  Правительства Новосибирской области от 14.12.2016 № 415-п «Об установлении Порядка установления, изменения, отмены муниципальных маршрутов регулярных перевозок, межмуниципальных маршрутов регулярных перевозок на территории Новосибирской области» должен быть утвержден</w:t>
            </w:r>
            <w:r w:rsidR="004109ED" w:rsidRPr="006F18D1">
              <w:rPr>
                <w:rFonts w:ascii="Times New Roman" w:eastAsia="Times New Roman" w:hAnsi="Times New Roman" w:cs="Times New Roman"/>
              </w:rPr>
              <w:t xml:space="preserve"> Поря</w:t>
            </w:r>
            <w:r w:rsidR="004565B0" w:rsidRPr="006F18D1">
              <w:rPr>
                <w:rFonts w:ascii="Times New Roman" w:eastAsia="Times New Roman" w:hAnsi="Times New Roman" w:cs="Times New Roman"/>
              </w:rPr>
              <w:t>док</w:t>
            </w:r>
            <w:r w:rsidR="00E34609" w:rsidRPr="006F18D1">
              <w:rPr>
                <w:rFonts w:ascii="Times New Roman" w:eastAsia="Times New Roman" w:hAnsi="Times New Roman" w:cs="Times New Roman"/>
              </w:rPr>
              <w:t xml:space="preserve"> обследования межмуниципальных маршрутов</w:t>
            </w:r>
            <w:r w:rsidR="004109ED" w:rsidRPr="006F18D1">
              <w:rPr>
                <w:rFonts w:ascii="Times New Roman" w:eastAsia="Times New Roman" w:hAnsi="Times New Roman" w:cs="Times New Roman"/>
              </w:rPr>
              <w:t xml:space="preserve">, без которого не представляется возможности </w:t>
            </w:r>
            <w:r w:rsidRPr="006F18D1">
              <w:rPr>
                <w:rFonts w:ascii="Times New Roman" w:eastAsia="Times New Roman" w:hAnsi="Times New Roman" w:cs="Times New Roman"/>
              </w:rPr>
              <w:t>объективного принятия решения о возможности</w:t>
            </w:r>
            <w:r w:rsidR="004109ED" w:rsidRPr="006F18D1">
              <w:rPr>
                <w:rFonts w:ascii="Times New Roman" w:eastAsia="Times New Roman" w:hAnsi="Times New Roman" w:cs="Times New Roman"/>
              </w:rPr>
              <w:t xml:space="preserve"> ус</w:t>
            </w:r>
            <w:r w:rsidR="00202785" w:rsidRPr="006F18D1">
              <w:rPr>
                <w:rFonts w:ascii="Times New Roman" w:eastAsia="Times New Roman" w:hAnsi="Times New Roman" w:cs="Times New Roman"/>
              </w:rPr>
              <w:t>тановления или изменения</w:t>
            </w:r>
            <w:r w:rsidR="004109ED" w:rsidRPr="006F18D1">
              <w:rPr>
                <w:rFonts w:ascii="Times New Roman" w:eastAsia="Times New Roman" w:hAnsi="Times New Roman" w:cs="Times New Roman"/>
              </w:rPr>
              <w:t xml:space="preserve"> </w:t>
            </w:r>
            <w:r w:rsidR="00202785" w:rsidRPr="006F18D1">
              <w:rPr>
                <w:rFonts w:ascii="Times New Roman" w:eastAsia="Times New Roman" w:hAnsi="Times New Roman" w:cs="Times New Roman"/>
              </w:rPr>
              <w:t xml:space="preserve">межмуниципального </w:t>
            </w:r>
            <w:r w:rsidR="004109ED" w:rsidRPr="006F18D1">
              <w:rPr>
                <w:rFonts w:ascii="Times New Roman" w:eastAsia="Times New Roman" w:hAnsi="Times New Roman" w:cs="Times New Roman"/>
              </w:rPr>
              <w:t>маршрута рег</w:t>
            </w:r>
            <w:r w:rsidR="00202785" w:rsidRPr="006F18D1">
              <w:rPr>
                <w:rFonts w:ascii="Times New Roman" w:eastAsia="Times New Roman" w:hAnsi="Times New Roman" w:cs="Times New Roman"/>
              </w:rPr>
              <w:t>улярных перевозок,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9" w:rsidRPr="006F18D1" w:rsidRDefault="004565B0" w:rsidP="004109ED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Акт обследования</w:t>
            </w:r>
            <w:r w:rsidR="00FA31BA" w:rsidRPr="006F18D1">
              <w:rPr>
                <w:rFonts w:ascii="Times New Roman" w:eastAsia="Times New Roman" w:hAnsi="Times New Roman" w:cs="Times New Roman"/>
              </w:rPr>
              <w:t xml:space="preserve"> </w:t>
            </w:r>
            <w:r w:rsidR="003A2947">
              <w:rPr>
                <w:rFonts w:ascii="Times New Roman" w:eastAsia="Times New Roman" w:hAnsi="Times New Roman" w:cs="Times New Roman"/>
              </w:rPr>
              <w:t xml:space="preserve">межмуниципального </w:t>
            </w:r>
            <w:r w:rsidR="00FA31BA" w:rsidRPr="006F18D1">
              <w:rPr>
                <w:rFonts w:ascii="Times New Roman" w:eastAsia="Times New Roman" w:hAnsi="Times New Roman" w:cs="Times New Roman"/>
              </w:rPr>
              <w:t xml:space="preserve">маршрута </w:t>
            </w:r>
            <w:r w:rsidR="003A2947">
              <w:rPr>
                <w:rFonts w:ascii="Times New Roman" w:eastAsia="Times New Roman" w:hAnsi="Times New Roman" w:cs="Times New Roman"/>
              </w:rPr>
              <w:t xml:space="preserve">регулярных перевозок </w:t>
            </w:r>
            <w:r w:rsidR="009551A9" w:rsidRPr="006F18D1">
              <w:rPr>
                <w:rFonts w:ascii="Times New Roman" w:eastAsia="Times New Roman" w:hAnsi="Times New Roman" w:cs="Times New Roman"/>
              </w:rPr>
              <w:t>явля</w:t>
            </w:r>
            <w:r w:rsidR="00FA31BA" w:rsidRPr="006F18D1">
              <w:rPr>
                <w:rFonts w:ascii="Times New Roman" w:eastAsia="Times New Roman" w:hAnsi="Times New Roman" w:cs="Times New Roman"/>
              </w:rPr>
              <w:t>е</w:t>
            </w:r>
            <w:r w:rsidR="009551A9" w:rsidRPr="006F18D1">
              <w:rPr>
                <w:rFonts w:ascii="Times New Roman" w:eastAsia="Times New Roman" w:hAnsi="Times New Roman" w:cs="Times New Roman"/>
              </w:rPr>
              <w:t>тся составной часть</w:t>
            </w:r>
            <w:r w:rsidR="00FA31BA" w:rsidRPr="006F18D1">
              <w:rPr>
                <w:rFonts w:ascii="Times New Roman" w:eastAsia="Times New Roman" w:hAnsi="Times New Roman" w:cs="Times New Roman"/>
              </w:rPr>
              <w:t>ю</w:t>
            </w:r>
            <w:r w:rsidR="009551A9" w:rsidRPr="006F18D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Тех</w:t>
            </w:r>
            <w:r w:rsidR="004565B0" w:rsidRPr="006F18D1">
              <w:rPr>
                <w:rFonts w:ascii="Times New Roman" w:eastAsia="Times New Roman" w:hAnsi="Times New Roman" w:cs="Times New Roman"/>
              </w:rPr>
              <w:t>нико-экономического</w:t>
            </w:r>
            <w:r w:rsidRPr="006F18D1">
              <w:rPr>
                <w:rFonts w:ascii="Times New Roman" w:eastAsia="Times New Roman" w:hAnsi="Times New Roman" w:cs="Times New Roman"/>
              </w:rPr>
              <w:t xml:space="preserve"> обоснован</w:t>
            </w:r>
            <w:r w:rsidR="006E2E39">
              <w:rPr>
                <w:rFonts w:ascii="Times New Roman" w:eastAsia="Times New Roman" w:hAnsi="Times New Roman" w:cs="Times New Roman"/>
              </w:rPr>
              <w:t>ия, и должен</w:t>
            </w:r>
            <w:r w:rsidR="004565B0" w:rsidRPr="006F18D1">
              <w:rPr>
                <w:rFonts w:ascii="Times New Roman" w:eastAsia="Times New Roman" w:hAnsi="Times New Roman" w:cs="Times New Roman"/>
              </w:rPr>
              <w:t xml:space="preserve"> </w:t>
            </w:r>
            <w:r w:rsidR="00202785" w:rsidRPr="006F18D1">
              <w:rPr>
                <w:rFonts w:ascii="Times New Roman" w:eastAsia="Times New Roman" w:hAnsi="Times New Roman" w:cs="Times New Roman"/>
              </w:rPr>
              <w:t xml:space="preserve"> подтверждать соответствие технического состояния и уровня содержания автомобильных дорог, улиц, искусственных сооружений, железнодорожных переездов, паромных переправ, их инженерного оборудования требованиям безопасности дорожного движения и безопасности пассажирских перевозок, а также наличия обустроенных остановочных пунктов, разворотных площадок и площадок отстоя транспорта по п</w:t>
            </w:r>
            <w:r w:rsidR="003A2947">
              <w:rPr>
                <w:rFonts w:ascii="Times New Roman" w:eastAsia="Times New Roman" w:hAnsi="Times New Roman" w:cs="Times New Roman"/>
              </w:rPr>
              <w:t>ути следования маршрута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Отсутствие Поря</w:t>
            </w:r>
            <w:r w:rsidR="00202785" w:rsidRPr="006F18D1">
              <w:rPr>
                <w:rFonts w:ascii="Times New Roman" w:eastAsia="Times New Roman" w:hAnsi="Times New Roman" w:cs="Times New Roman"/>
              </w:rPr>
              <w:t>дка</w:t>
            </w:r>
            <w:r w:rsidR="00602816" w:rsidRPr="006F18D1">
              <w:rPr>
                <w:rFonts w:ascii="Times New Roman" w:eastAsia="Times New Roman" w:hAnsi="Times New Roman" w:cs="Times New Roman"/>
              </w:rPr>
              <w:t xml:space="preserve"> и формы акта</w:t>
            </w:r>
            <w:r w:rsidR="00202785" w:rsidRPr="006F18D1">
              <w:rPr>
                <w:rFonts w:ascii="Times New Roman" w:eastAsia="Times New Roman" w:hAnsi="Times New Roman" w:cs="Times New Roman"/>
              </w:rPr>
              <w:t xml:space="preserve"> обследования межмуниципальных маршрутов </w:t>
            </w:r>
            <w:r w:rsidRPr="006F18D1">
              <w:rPr>
                <w:rFonts w:ascii="Times New Roman" w:eastAsia="Times New Roman" w:hAnsi="Times New Roman" w:cs="Times New Roman"/>
              </w:rPr>
              <w:t xml:space="preserve"> </w:t>
            </w:r>
            <w:r w:rsidR="004565B0" w:rsidRPr="006F18D1">
              <w:rPr>
                <w:rFonts w:ascii="Times New Roman" w:eastAsia="Times New Roman" w:hAnsi="Times New Roman" w:cs="Times New Roman"/>
              </w:rPr>
              <w:t xml:space="preserve">способствует </w:t>
            </w:r>
            <w:r w:rsidRPr="006F18D1">
              <w:rPr>
                <w:rFonts w:ascii="Times New Roman" w:eastAsia="Times New Roman" w:hAnsi="Times New Roman" w:cs="Times New Roman"/>
              </w:rPr>
              <w:t>п</w:t>
            </w:r>
            <w:r w:rsidR="00202785" w:rsidRPr="006F18D1">
              <w:rPr>
                <w:rFonts w:ascii="Times New Roman" w:eastAsia="Times New Roman" w:hAnsi="Times New Roman" w:cs="Times New Roman"/>
              </w:rPr>
              <w:t>ринятию необоснованного решения при установлении или изменении межмуниципальных маршрутов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9" w:rsidRPr="006F18D1" w:rsidRDefault="00FA31BA" w:rsidP="004109ED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Отсутствие единой</w:t>
            </w:r>
            <w:r w:rsidR="009551A9" w:rsidRPr="006F18D1">
              <w:rPr>
                <w:rFonts w:ascii="Times New Roman" w:eastAsia="Times New Roman" w:hAnsi="Times New Roman" w:cs="Times New Roman"/>
              </w:rPr>
              <w:t xml:space="preserve"> </w:t>
            </w:r>
            <w:r w:rsidR="00472427" w:rsidRPr="006F18D1">
              <w:rPr>
                <w:rFonts w:ascii="Times New Roman" w:eastAsia="Times New Roman" w:hAnsi="Times New Roman" w:cs="Times New Roman"/>
              </w:rPr>
              <w:t xml:space="preserve">методики и подхода </w:t>
            </w:r>
            <w:r w:rsidRPr="006F18D1">
              <w:rPr>
                <w:rFonts w:ascii="Times New Roman" w:eastAsia="Times New Roman" w:hAnsi="Times New Roman" w:cs="Times New Roman"/>
              </w:rPr>
              <w:t>для подтверждения соответствия</w:t>
            </w:r>
          </w:p>
          <w:p w:rsidR="009551A9" w:rsidRPr="006F18D1" w:rsidRDefault="00FA31BA" w:rsidP="004109ED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автомобильных дорог, мостов, железнодорожных переездов по маршруту регулярных перевозок требованиям безопасности дорожного движения и безопасности пассажирских перевозок, а также наличия обустроенных остановочных пунктов, разворотных площадок и площадок отстоя установленным требованиям</w:t>
            </w:r>
          </w:p>
          <w:p w:rsidR="009551A9" w:rsidRPr="006F18D1" w:rsidRDefault="009551A9" w:rsidP="004109ED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38FE" w:rsidRPr="00D46455" w:rsidRDefault="001C38FE" w:rsidP="001C38FE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109ED" w:rsidRPr="00D46455" w:rsidRDefault="001C38FE" w:rsidP="001C38FE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4645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 Описание способов решения заявленных проблем (международного опыта, </w:t>
      </w:r>
      <w:r w:rsidRPr="006531A1">
        <w:rPr>
          <w:rFonts w:ascii="Times New Roman" w:eastAsia="Times New Roman" w:hAnsi="Times New Roman" w:cs="Times New Roman"/>
          <w:sz w:val="28"/>
          <w:szCs w:val="28"/>
          <w:lang w:bidi="ru-RU"/>
        </w:rPr>
        <w:t>опыта других субъектов Российской Федерации</w:t>
      </w:r>
      <w:r w:rsidRPr="00D46455">
        <w:rPr>
          <w:rFonts w:ascii="Times New Roman" w:eastAsia="Times New Roman" w:hAnsi="Times New Roman" w:cs="Times New Roman"/>
          <w:sz w:val="28"/>
          <w:szCs w:val="28"/>
          <w:lang w:bidi="ru-RU"/>
        </w:rPr>
        <w:t>), в том числе без введения предлагаемого регулирования.</w:t>
      </w:r>
    </w:p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204"/>
        <w:gridCol w:w="1663"/>
        <w:gridCol w:w="1858"/>
        <w:gridCol w:w="2099"/>
        <w:gridCol w:w="1747"/>
      </w:tblGrid>
      <w:tr w:rsidR="004109ED" w:rsidRPr="006F18D1" w:rsidTr="004109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№ способа решения проблемы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 xml:space="preserve">Описание способа решения заявленной </w:t>
            </w:r>
            <w:r w:rsidRPr="006F18D1">
              <w:rPr>
                <w:rFonts w:ascii="Times New Roman" w:eastAsia="Times New Roman" w:hAnsi="Times New Roman" w:cs="Times New Roman"/>
              </w:rPr>
              <w:lastRenderedPageBreak/>
              <w:t>проблемы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lastRenderedPageBreak/>
              <w:t>Наименование субъекта РФ (страны)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 xml:space="preserve">Источник данных </w:t>
            </w:r>
            <w:r w:rsidRPr="006F18D1">
              <w:rPr>
                <w:rFonts w:ascii="Times New Roman" w:eastAsia="Times New Roman" w:hAnsi="Times New Roman" w:cs="Times New Roman"/>
                <w:bCs/>
              </w:rPr>
              <w:t xml:space="preserve">(название статьи НПА, </w:t>
            </w:r>
            <w:r w:rsidRPr="006F18D1">
              <w:rPr>
                <w:rFonts w:ascii="Times New Roman" w:eastAsia="Times New Roman" w:hAnsi="Times New Roman" w:cs="Times New Roman"/>
                <w:bCs/>
              </w:rPr>
              <w:lastRenderedPageBreak/>
              <w:t>адрес страницы сайта)</w:t>
            </w:r>
          </w:p>
        </w:tc>
      </w:tr>
      <w:tr w:rsidR="004109ED" w:rsidRPr="006F18D1" w:rsidTr="004109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6F18D1">
              <w:rPr>
                <w:rFonts w:ascii="Times New Roman" w:eastAsia="Times New Roman" w:hAnsi="Times New Roman" w:cs="Times New Roman"/>
                <w:strike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7B46D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6F18D1">
              <w:rPr>
                <w:rFonts w:ascii="Times New Roman" w:eastAsia="Times New Roman" w:hAnsi="Times New Roman" w:cs="Times New Roman"/>
                <w:strike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7B46D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6F18D1">
              <w:rPr>
                <w:rFonts w:ascii="Times New Roman" w:eastAsia="Times New Roman" w:hAnsi="Times New Roman" w:cs="Times New Roman"/>
                <w:strike/>
              </w:rPr>
              <w:t>-</w:t>
            </w:r>
          </w:p>
        </w:tc>
      </w:tr>
    </w:tbl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bookmark9"/>
      <w:r w:rsidRPr="00D46455">
        <w:rPr>
          <w:rFonts w:ascii="Times New Roman" w:eastAsia="Times New Roman" w:hAnsi="Times New Roman" w:cs="Times New Roman"/>
          <w:bCs/>
          <w:sz w:val="28"/>
          <w:szCs w:val="28"/>
        </w:rPr>
        <w:t>3. Описание иных способов решения заявленных проблем</w:t>
      </w:r>
      <w:bookmarkEnd w:id="5"/>
      <w:r w:rsidR="001C38FE" w:rsidRPr="00D46455">
        <w:rPr>
          <w:rFonts w:ascii="Times New Roman" w:eastAsia="Times New Roman" w:hAnsi="Times New Roman" w:cs="Times New Roman"/>
          <w:bCs/>
          <w:sz w:val="28"/>
          <w:szCs w:val="28"/>
        </w:rPr>
        <w:t>, в том числе без введения предлагаемого регулирования</w:t>
      </w:r>
    </w:p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Помимо способов, описанных в таблице</w:t>
      </w:r>
      <w:hyperlink r:id="rId12" w:anchor="bookmark8" w:tooltip="Current Document" w:history="1">
        <w:r w:rsidRPr="00D46455">
          <w:rPr>
            <w:rFonts w:ascii="Times New Roman" w:eastAsia="Times New Roman" w:hAnsi="Times New Roman" w:cs="Times New Roman"/>
            <w:sz w:val="28"/>
            <w:szCs w:val="28"/>
          </w:rPr>
          <w:t xml:space="preserve"> 2 </w:t>
        </w:r>
      </w:hyperlink>
      <w:r w:rsidRPr="00D46455">
        <w:rPr>
          <w:rFonts w:ascii="Times New Roman" w:eastAsia="Times New Roman" w:hAnsi="Times New Roman" w:cs="Times New Roman"/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D464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D464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6455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85"/>
        <w:gridCol w:w="1652"/>
        <w:gridCol w:w="3088"/>
        <w:gridCol w:w="2246"/>
      </w:tblGrid>
      <w:tr w:rsidR="00FF1A08" w:rsidRPr="00D46455" w:rsidTr="00FF1A08">
        <w:trPr>
          <w:trHeight w:val="943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8" w:rsidRPr="006F18D1" w:rsidRDefault="00FF1A08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Наименование проблемы с указанием номера (из таблицы 1)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8" w:rsidRPr="006F18D1" w:rsidRDefault="00FF1A08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Способ решения заявленных проблем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8" w:rsidRPr="006F18D1" w:rsidRDefault="00FF1A08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Примечания</w:t>
            </w:r>
          </w:p>
        </w:tc>
      </w:tr>
      <w:tr w:rsidR="004109ED" w:rsidRPr="00D46455" w:rsidTr="00FF1A08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˗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˗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˗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ED" w:rsidRPr="006F18D1" w:rsidRDefault="004109ED" w:rsidP="004109ED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F18D1">
              <w:rPr>
                <w:rFonts w:ascii="Times New Roman" w:eastAsia="Times New Roman" w:hAnsi="Times New Roman" w:cs="Times New Roman"/>
              </w:rPr>
              <w:t>˗</w:t>
            </w:r>
          </w:p>
        </w:tc>
      </w:tr>
    </w:tbl>
    <w:p w:rsidR="004109ED" w:rsidRPr="00D46455" w:rsidRDefault="004109ED" w:rsidP="004109ED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IV. Сведения о проведении публичных консультаций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 Сведения о проведении публичных консультаций по уведомлению о необходимости разработки проекта акта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1.1. Публичные консультации проводились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Публичные консультации проводились с 30.01.2018 по 08.02.2018; информация доступна в сети Интернет по следующему адресу: сайт «Электронная демократия» Новосибирской области.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1.2. Публичные консультации не проводились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______________________ Порядка </w:t>
      </w:r>
      <w:proofErr w:type="gramStart"/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проведения оценки регулирующего воздействия проектов нормативных правовых актов</w:t>
      </w:r>
      <w:proofErr w:type="gramEnd"/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области, утвержденного постановлением Губернатора Новосибирской области от 17.01.2017 № 2,___________________________________________________________________________________________________.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 Сведения о проведении публичных консультаций по проекту акта, сводному отчету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2.1. Публичные консультации проводились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Публичные консульта</w:t>
      </w:r>
      <w:r w:rsidR="00065EA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ции проводились с 15.02.2018 по 12</w:t>
      </w:r>
      <w:r w:rsidR="007D0244"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.03.2018</w:t>
      </w: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; информация доступна в сети </w:t>
      </w:r>
      <w:r w:rsidR="0060281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Интернет по следующему адресу:</w:t>
      </w:r>
      <w:r w:rsidR="007D0244"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сайт «Электронная демократия» Новосибирской области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2.2. Публичные консультации не проводились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подпунктом ____ пункта 24 Порядка </w:t>
      </w:r>
      <w:proofErr w:type="gramStart"/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проведения оценки регулирующего воздействия проектов нормативных правовых актов</w:t>
      </w:r>
      <w:proofErr w:type="gramEnd"/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области, утвержденного постановлением Губернатора Новосибирской области от 17.01.2017 № 2, _______________________________ ____________________________________________________________________.</w:t>
      </w:r>
    </w:p>
    <w:p w:rsidR="00FF1A08" w:rsidRPr="00D46455" w:rsidRDefault="00FF1A08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4109ED" w:rsidRPr="00D46455" w:rsidRDefault="004109ED" w:rsidP="00FF1A08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F6159A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Врио</w:t>
      </w:r>
      <w:proofErr w:type="spellEnd"/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министра транспорта и 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дорожного хозяйства</w:t>
      </w:r>
    </w:p>
    <w:p w:rsidR="004109ED" w:rsidRPr="00D46455" w:rsidRDefault="004109ED" w:rsidP="004109ED">
      <w:pPr>
        <w:widowControl w:val="0"/>
        <w:tabs>
          <w:tab w:val="left" w:pos="1560"/>
          <w:tab w:val="left" w:pos="326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Новосибирской области                                             </w:t>
      </w:r>
      <w:r w:rsidR="005C179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D4645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А.В. Костылевский</w:t>
      </w:r>
    </w:p>
    <w:p w:rsidR="00377653" w:rsidRPr="00D46455" w:rsidRDefault="00377653">
      <w:pPr>
        <w:rPr>
          <w:rFonts w:ascii="Times New Roman" w:hAnsi="Times New Roman" w:cs="Times New Roman"/>
          <w:sz w:val="28"/>
          <w:szCs w:val="28"/>
        </w:rPr>
      </w:pPr>
    </w:p>
    <w:p w:rsidR="00FF1A08" w:rsidRDefault="00602816">
      <w:r>
        <w:t>13</w:t>
      </w:r>
      <w:r w:rsidR="00FF1A08">
        <w:t>.02.2018</w:t>
      </w:r>
    </w:p>
    <w:sectPr w:rsidR="00FF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1D" w:rsidRDefault="00B2611D" w:rsidP="004109ED">
      <w:pPr>
        <w:spacing w:after="0" w:line="240" w:lineRule="auto"/>
      </w:pPr>
      <w:r>
        <w:separator/>
      </w:r>
    </w:p>
  </w:endnote>
  <w:endnote w:type="continuationSeparator" w:id="0">
    <w:p w:rsidR="00B2611D" w:rsidRDefault="00B2611D" w:rsidP="0041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1D" w:rsidRDefault="00B2611D" w:rsidP="004109ED">
      <w:pPr>
        <w:spacing w:after="0" w:line="240" w:lineRule="auto"/>
      </w:pPr>
      <w:r>
        <w:separator/>
      </w:r>
    </w:p>
  </w:footnote>
  <w:footnote w:type="continuationSeparator" w:id="0">
    <w:p w:rsidR="00B2611D" w:rsidRDefault="00B2611D" w:rsidP="004109ED">
      <w:pPr>
        <w:spacing w:after="0" w:line="240" w:lineRule="auto"/>
      </w:pPr>
      <w:r>
        <w:continuationSeparator/>
      </w:r>
    </w:p>
  </w:footnote>
  <w:footnote w:id="1">
    <w:p w:rsidR="00D95C1B" w:rsidRPr="004109ED" w:rsidRDefault="004109ED" w:rsidP="00D95C1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  <w:r w:rsidR="00D95C1B" w:rsidRPr="00D95C1B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</w:p>
    <w:p w:rsidR="004109ED" w:rsidRDefault="004109ED" w:rsidP="004109ED">
      <w:pPr>
        <w:pStyle w:val="a3"/>
        <w:jc w:val="both"/>
        <w:rPr>
          <w:rFonts w:ascii="Times New Roman" w:hAnsi="Times New Roman" w:cs="Times New Roman"/>
        </w:rPr>
      </w:pPr>
    </w:p>
  </w:footnote>
  <w:footnote w:id="2">
    <w:p w:rsidR="004109ED" w:rsidRDefault="004109ED" w:rsidP="004109E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EF4"/>
    <w:multiLevelType w:val="multilevel"/>
    <w:tmpl w:val="3D9C1C9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76B975D0"/>
    <w:multiLevelType w:val="hybridMultilevel"/>
    <w:tmpl w:val="EE4A3EFA"/>
    <w:lvl w:ilvl="0" w:tplc="40E2A63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81"/>
    <w:rsid w:val="000477B9"/>
    <w:rsid w:val="000479CB"/>
    <w:rsid w:val="00061C65"/>
    <w:rsid w:val="00065EAA"/>
    <w:rsid w:val="00082AF4"/>
    <w:rsid w:val="000B0E1B"/>
    <w:rsid w:val="000B48BB"/>
    <w:rsid w:val="00161E94"/>
    <w:rsid w:val="00175D6D"/>
    <w:rsid w:val="001A4422"/>
    <w:rsid w:val="001C38FE"/>
    <w:rsid w:val="00202785"/>
    <w:rsid w:val="00213168"/>
    <w:rsid w:val="00366DCB"/>
    <w:rsid w:val="00377653"/>
    <w:rsid w:val="003A2666"/>
    <w:rsid w:val="003A2947"/>
    <w:rsid w:val="004109ED"/>
    <w:rsid w:val="00447C6E"/>
    <w:rsid w:val="004565B0"/>
    <w:rsid w:val="00472427"/>
    <w:rsid w:val="00492C35"/>
    <w:rsid w:val="004D1BC8"/>
    <w:rsid w:val="005050AF"/>
    <w:rsid w:val="00562581"/>
    <w:rsid w:val="005666D7"/>
    <w:rsid w:val="0057048F"/>
    <w:rsid w:val="005C1798"/>
    <w:rsid w:val="005D2710"/>
    <w:rsid w:val="00602816"/>
    <w:rsid w:val="006531A1"/>
    <w:rsid w:val="00662F85"/>
    <w:rsid w:val="006A67C5"/>
    <w:rsid w:val="006C60F8"/>
    <w:rsid w:val="006E2D3D"/>
    <w:rsid w:val="006E2E39"/>
    <w:rsid w:val="006F18D1"/>
    <w:rsid w:val="007041DB"/>
    <w:rsid w:val="0077667E"/>
    <w:rsid w:val="007B46DD"/>
    <w:rsid w:val="007D0244"/>
    <w:rsid w:val="008074A1"/>
    <w:rsid w:val="00851FB9"/>
    <w:rsid w:val="00861D18"/>
    <w:rsid w:val="008A257F"/>
    <w:rsid w:val="009551A9"/>
    <w:rsid w:val="00A107F7"/>
    <w:rsid w:val="00A11B92"/>
    <w:rsid w:val="00A535F3"/>
    <w:rsid w:val="00A66916"/>
    <w:rsid w:val="00B2611D"/>
    <w:rsid w:val="00B343E2"/>
    <w:rsid w:val="00BE76F5"/>
    <w:rsid w:val="00BF3781"/>
    <w:rsid w:val="00C340CF"/>
    <w:rsid w:val="00C36D46"/>
    <w:rsid w:val="00CA28F8"/>
    <w:rsid w:val="00D20116"/>
    <w:rsid w:val="00D46455"/>
    <w:rsid w:val="00D95C1B"/>
    <w:rsid w:val="00E34609"/>
    <w:rsid w:val="00EA4E25"/>
    <w:rsid w:val="00EB594C"/>
    <w:rsid w:val="00F6159A"/>
    <w:rsid w:val="00F84A7E"/>
    <w:rsid w:val="00FA31BA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09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109ED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4109ED"/>
    <w:rPr>
      <w:vertAlign w:val="superscript"/>
    </w:rPr>
  </w:style>
  <w:style w:type="table" w:styleId="a6">
    <w:name w:val="Table Grid"/>
    <w:basedOn w:val="a1"/>
    <w:uiPriority w:val="59"/>
    <w:rsid w:val="004109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79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479CB"/>
    <w:rPr>
      <w:color w:val="0000FF" w:themeColor="hyperlink"/>
      <w:u w:val="single"/>
    </w:rPr>
  </w:style>
  <w:style w:type="table" w:customStyle="1" w:styleId="10">
    <w:name w:val="Сетка таблицы10"/>
    <w:basedOn w:val="a1"/>
    <w:next w:val="a6"/>
    <w:uiPriority w:val="59"/>
    <w:rsid w:val="00082A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082AF4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09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109ED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4109ED"/>
    <w:rPr>
      <w:vertAlign w:val="superscript"/>
    </w:rPr>
  </w:style>
  <w:style w:type="table" w:styleId="a6">
    <w:name w:val="Table Grid"/>
    <w:basedOn w:val="a1"/>
    <w:uiPriority w:val="59"/>
    <w:rsid w:val="004109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79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479CB"/>
    <w:rPr>
      <w:color w:val="0000FF" w:themeColor="hyperlink"/>
      <w:u w:val="single"/>
    </w:rPr>
  </w:style>
  <w:style w:type="table" w:customStyle="1" w:styleId="10">
    <w:name w:val="Сетка таблицы10"/>
    <w:basedOn w:val="a1"/>
    <w:next w:val="a6"/>
    <w:uiPriority w:val="59"/>
    <w:rsid w:val="00082A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082AF4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a@ns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hsa\AppData\Local\Microsoft\Windows\Temporary%20Internet%20Files\Content.IE5\VJA6PGGJ\&#1057;&#1074;&#1086;&#1076;&#1085;&#1099;&#1081;%20&#1086;&#1090;&#1095;&#1105;&#1090;%20&#1076;&#1086;%20&#1087;&#1091;&#1073;&#1083;&#1080;&#1095;&#1085;&#1099;&#1093;%20&#1082;&#1086;&#1085;&#1089;&#1091;&#1083;&#1100;&#1090;&#1072;&#1094;&#1080;&#1081;_22.01.20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hsa\AppData\Local\Microsoft\Windows\Temporary%20Internet%20Files\Content.IE5\VJA6PGGJ\&#1057;&#1074;&#1086;&#1076;&#1085;&#1099;&#1081;%20&#1086;&#1090;&#1095;&#1105;&#1090;%20&#1076;&#1086;%20&#1087;&#1091;&#1073;&#1083;&#1080;&#1095;&#1085;&#1099;&#1093;%20&#1082;&#1086;&#1085;&#1089;&#1091;&#1083;&#1100;&#1090;&#1072;&#1094;&#1080;&#1081;_22.01.2018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hsa\AppData\Local\Microsoft\Windows\Temporary%20Internet%20Files\Content.IE5\VJA6PGGJ\&#1057;&#1074;&#1086;&#1076;&#1085;&#1099;&#1081;%20&#1086;&#1090;&#1095;&#1105;&#1090;%20&#1076;&#1086;%20&#1087;&#1091;&#1073;&#1083;&#1080;&#1095;&#1085;&#1099;&#1093;%20&#1082;&#1086;&#1085;&#1089;&#1091;&#1083;&#1100;&#1090;&#1072;&#1094;&#1080;&#1081;_22.01.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hsa\AppData\Local\Microsoft\Windows\Temporary%20Internet%20Files\Content.IE5\VJA6PGGJ\&#1057;&#1074;&#1086;&#1076;&#1085;&#1099;&#1081;%20&#1086;&#1090;&#1095;&#1105;&#1090;%20&#1076;&#1086;%20&#1087;&#1091;&#1073;&#1083;&#1080;&#1095;&#1085;&#1099;&#1093;%20&#1082;&#1086;&#1085;&#1089;&#1091;&#1083;&#1100;&#1090;&#1072;&#1094;&#1080;&#1081;_22.01.201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Сергей Анатольевич</dc:creator>
  <cp:lastModifiedBy>Крисанкова Кристина Анатольевна</cp:lastModifiedBy>
  <cp:revision>2</cp:revision>
  <cp:lastPrinted>2018-02-13T08:48:00Z</cp:lastPrinted>
  <dcterms:created xsi:type="dcterms:W3CDTF">2018-02-14T07:12:00Z</dcterms:created>
  <dcterms:modified xsi:type="dcterms:W3CDTF">2018-02-14T07:12:00Z</dcterms:modified>
</cp:coreProperties>
</file>