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__________________________________________________________________</w:t>
      </w:r>
    </w:p>
    <w:p w:rsidR="009A2ACC" w:rsidRPr="002F06E0" w:rsidRDefault="009A2ACC" w:rsidP="009A2ACC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9A2AC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</w:p>
    <w:p w:rsidR="009A2ACC" w:rsidRPr="00EF2A0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901"/>
      </w:tblGrid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E40AC8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5F2874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5F2874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874">
              <w:rPr>
                <w:sz w:val="22"/>
                <w:szCs w:val="22"/>
              </w:rPr>
              <w:t>отдел социально-экономического развития</w:t>
            </w:r>
            <w:bookmarkStart w:id="0" w:name="_GoBack"/>
            <w:bookmarkEnd w:id="0"/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F85598" w:rsidRPr="00C3775E" w:rsidRDefault="005F2874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4" w:history="1">
              <w:r w:rsidRPr="00837D26">
                <w:rPr>
                  <w:rStyle w:val="a3"/>
                </w:rPr>
                <w:t>http://www.dem.nso.ru/lawandnpa/d4ddd646-6f28-4540-a21e-c780fecf7ef2</w:t>
              </w:r>
            </w:hyperlink>
            <w:r>
              <w:t xml:space="preserve"> </w:t>
            </w:r>
            <w:hyperlink r:id="rId5" w:history="1">
              <w:r w:rsidR="00F85598" w:rsidRPr="00F02C47">
                <w:rPr>
                  <w:rStyle w:val="a3"/>
                  <w:sz w:val="28"/>
                  <w:szCs w:val="28"/>
                </w:rPr>
                <w:t>http://kolcovo.ru/Municipality/Administration/Eco</w:t>
              </w:r>
            </w:hyperlink>
          </w:p>
        </w:tc>
      </w:tr>
    </w:tbl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A2ACC" w:rsidRPr="002F06E0" w:rsidRDefault="009A2ACC" w:rsidP="009A2ACC">
      <w:pPr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9A2ACC" w:rsidRPr="002F06E0" w:rsidRDefault="009A2ACC" w:rsidP="009A2ACC">
      <w:pPr>
        <w:autoSpaceDE w:val="0"/>
        <w:autoSpaceDN w:val="0"/>
        <w:adjustRightInd w:val="0"/>
        <w:jc w:val="both"/>
      </w:pP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F11A0D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</w:t>
      </w:r>
      <w:r w:rsidRPr="00C7354F">
        <w:rPr>
          <w:sz w:val="24"/>
          <w:szCs w:val="24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A2ACC" w:rsidRPr="00C7354F" w:rsidTr="002618AB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A2ACC" w:rsidRPr="00E40CBA" w:rsidTr="002618AB">
        <w:tc>
          <w:tcPr>
            <w:tcW w:w="10302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9A2ACC" w:rsidRPr="00E40CBA" w:rsidTr="002618AB">
        <w:trPr>
          <w:trHeight w:val="415"/>
        </w:trPr>
        <w:tc>
          <w:tcPr>
            <w:tcW w:w="3794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9A2ACC" w:rsidRPr="00A50CC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9A2ACC" w:rsidRPr="00C56C8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9A2ACC" w:rsidRDefault="009A2ACC" w:rsidP="009A2ACC"/>
    <w:sectPr w:rsidR="009A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5"/>
    <w:rsid w:val="005D34C5"/>
    <w:rsid w:val="005F2874"/>
    <w:rsid w:val="006762F2"/>
    <w:rsid w:val="008C45AB"/>
    <w:rsid w:val="009A2ACC"/>
    <w:rsid w:val="009A49EC"/>
    <w:rsid w:val="00C23C0A"/>
    <w:rsid w:val="00E40AC8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2526"/>
  <w15:chartTrackingRefBased/>
  <w15:docId w15:val="{6D119FA0-72CA-4BA4-996D-E54D090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covo.ru/Municipality/Administration/Eco" TargetMode="External"/><Relationship Id="rId4" Type="http://schemas.openxmlformats.org/officeDocument/2006/relationships/hyperlink" Target="http://www.dem.nso.ru/lawandnpa/d4ddd646-6f28-4540-a21e-c780fecf7e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</dc:creator>
  <cp:keywords/>
  <dc:description/>
  <cp:lastModifiedBy>Лушева Юлия</cp:lastModifiedBy>
  <cp:revision>8</cp:revision>
  <dcterms:created xsi:type="dcterms:W3CDTF">2020-12-02T10:13:00Z</dcterms:created>
  <dcterms:modified xsi:type="dcterms:W3CDTF">2020-12-16T08:28:00Z</dcterms:modified>
</cp:coreProperties>
</file>