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35" w:rsidRPr="00A579C6" w:rsidRDefault="00D16C35" w:rsidP="00D16C35">
      <w:pPr>
        <w:pStyle w:val="ConsPlusNormal"/>
        <w:jc w:val="center"/>
        <w:rPr>
          <w:sz w:val="28"/>
          <w:szCs w:val="28"/>
        </w:rPr>
      </w:pPr>
      <w:bookmarkStart w:id="0" w:name="P59"/>
      <w:bookmarkEnd w:id="0"/>
      <w:r w:rsidRPr="00A579C6">
        <w:rPr>
          <w:sz w:val="28"/>
          <w:szCs w:val="28"/>
        </w:rPr>
        <w:t>Уведомление</w:t>
      </w:r>
    </w:p>
    <w:p w:rsidR="00A579C6" w:rsidRPr="00A579C6" w:rsidRDefault="00D16C35" w:rsidP="000F135B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 xml:space="preserve">о необходимости разработки </w:t>
      </w:r>
      <w:r w:rsidR="00A579C6">
        <w:rPr>
          <w:sz w:val="28"/>
          <w:szCs w:val="28"/>
        </w:rPr>
        <w:t>проект</w:t>
      </w:r>
      <w:r w:rsidR="000F135B">
        <w:rPr>
          <w:sz w:val="28"/>
          <w:szCs w:val="28"/>
        </w:rPr>
        <w:t>а</w:t>
      </w:r>
      <w:r w:rsidR="00A579C6" w:rsidRPr="00A579C6">
        <w:rPr>
          <w:sz w:val="28"/>
          <w:szCs w:val="28"/>
        </w:rPr>
        <w:t xml:space="preserve"> постановления Правительства Новосибирской области</w:t>
      </w:r>
    </w:p>
    <w:p w:rsidR="00A579C6" w:rsidRPr="00A579C6" w:rsidRDefault="00A579C6" w:rsidP="00A579C6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>«О внесении изменений в постановление Правительства</w:t>
      </w:r>
    </w:p>
    <w:p w:rsidR="00D16C35" w:rsidRPr="00A579C6" w:rsidRDefault="00A579C6" w:rsidP="00A579C6">
      <w:pPr>
        <w:pStyle w:val="ConsPlusNormal"/>
        <w:jc w:val="center"/>
        <w:rPr>
          <w:sz w:val="28"/>
          <w:szCs w:val="28"/>
        </w:rPr>
      </w:pPr>
      <w:r w:rsidRPr="00A579C6">
        <w:rPr>
          <w:sz w:val="28"/>
          <w:szCs w:val="28"/>
        </w:rPr>
        <w:t>Новосибирской области от 31.12.2019 № 528-п»</w:t>
      </w:r>
    </w:p>
    <w:p w:rsidR="00D16C35" w:rsidRPr="00A579C6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A579C6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1.</w:t>
      </w:r>
      <w:r w:rsidR="00BA4467">
        <w:rPr>
          <w:sz w:val="28"/>
          <w:szCs w:val="28"/>
          <w:lang w:val="en-US"/>
        </w:rPr>
        <w:t> </w:t>
      </w:r>
      <w:r w:rsidRPr="00A579C6">
        <w:rPr>
          <w:sz w:val="28"/>
          <w:szCs w:val="28"/>
        </w:rPr>
        <w:t>Наи</w:t>
      </w:r>
      <w:r w:rsidR="00A579C6">
        <w:rPr>
          <w:sz w:val="28"/>
          <w:szCs w:val="28"/>
        </w:rPr>
        <w:t>менование разработчика: министерство науки и инновационной политики Новосибирской области</w:t>
      </w:r>
      <w:r w:rsidRPr="00A579C6">
        <w:rPr>
          <w:sz w:val="28"/>
          <w:szCs w:val="28"/>
        </w:rPr>
        <w:t>.</w:t>
      </w:r>
    </w:p>
    <w:p w:rsidR="00D16C35" w:rsidRPr="00A579C6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Контак</w:t>
      </w:r>
      <w:r w:rsidR="00A579C6">
        <w:rPr>
          <w:sz w:val="28"/>
          <w:szCs w:val="28"/>
        </w:rPr>
        <w:t xml:space="preserve">тное лицо, телефон: </w:t>
      </w:r>
      <w:r w:rsidR="00232A79">
        <w:rPr>
          <w:sz w:val="28"/>
          <w:szCs w:val="28"/>
        </w:rPr>
        <w:t>начальник отдела подготовки и реализации стратегических инициатив и государственных пр</w:t>
      </w:r>
      <w:r w:rsidR="00BA4467">
        <w:rPr>
          <w:sz w:val="28"/>
          <w:szCs w:val="28"/>
        </w:rPr>
        <w:t>о</w:t>
      </w:r>
      <w:r w:rsidR="00232A79">
        <w:rPr>
          <w:sz w:val="28"/>
          <w:szCs w:val="28"/>
        </w:rPr>
        <w:t>грамм упра</w:t>
      </w:r>
      <w:r w:rsidR="008C2FCE" w:rsidRPr="008C2FCE">
        <w:rPr>
          <w:sz w:val="28"/>
          <w:szCs w:val="28"/>
        </w:rPr>
        <w:t>влени</w:t>
      </w:r>
      <w:r w:rsidR="008C2FCE">
        <w:rPr>
          <w:sz w:val="28"/>
          <w:szCs w:val="28"/>
        </w:rPr>
        <w:t>я</w:t>
      </w:r>
      <w:r w:rsidR="008C2FCE" w:rsidRPr="008C2FCE">
        <w:rPr>
          <w:sz w:val="28"/>
          <w:szCs w:val="28"/>
        </w:rPr>
        <w:t xml:space="preserve"> научной и инновационной политики</w:t>
      </w:r>
      <w:r w:rsidR="008C2FCE">
        <w:rPr>
          <w:sz w:val="28"/>
          <w:szCs w:val="28"/>
        </w:rPr>
        <w:t xml:space="preserve"> </w:t>
      </w:r>
      <w:r w:rsidR="00BA4467" w:rsidRPr="00BA4467">
        <w:rPr>
          <w:sz w:val="28"/>
          <w:szCs w:val="28"/>
        </w:rPr>
        <w:t>министерств</w:t>
      </w:r>
      <w:r w:rsidR="00BA4467">
        <w:rPr>
          <w:sz w:val="28"/>
          <w:szCs w:val="28"/>
        </w:rPr>
        <w:t>а</w:t>
      </w:r>
      <w:r w:rsidR="00BA4467" w:rsidRPr="00BA4467">
        <w:rPr>
          <w:sz w:val="28"/>
          <w:szCs w:val="28"/>
        </w:rPr>
        <w:t xml:space="preserve"> науки и инновационной политики Новосибирской области </w:t>
      </w:r>
      <w:r w:rsidR="00232A79">
        <w:rPr>
          <w:sz w:val="28"/>
          <w:szCs w:val="28"/>
        </w:rPr>
        <w:t>Цой Андрей Викторович</w:t>
      </w:r>
      <w:r w:rsidR="00A579C6">
        <w:rPr>
          <w:sz w:val="28"/>
          <w:szCs w:val="28"/>
        </w:rPr>
        <w:t>, тел.</w:t>
      </w:r>
      <w:r w:rsidR="008C2FCE">
        <w:rPr>
          <w:sz w:val="28"/>
          <w:szCs w:val="28"/>
        </w:rPr>
        <w:t xml:space="preserve"> (383)</w:t>
      </w:r>
      <w:r w:rsidR="00A579C6">
        <w:rPr>
          <w:sz w:val="28"/>
          <w:szCs w:val="28"/>
        </w:rPr>
        <w:t xml:space="preserve"> 238-7</w:t>
      </w:r>
      <w:r w:rsidR="00232A79">
        <w:rPr>
          <w:sz w:val="28"/>
          <w:szCs w:val="28"/>
        </w:rPr>
        <w:t>3</w:t>
      </w:r>
      <w:r w:rsidR="00A579C6">
        <w:rPr>
          <w:sz w:val="28"/>
          <w:szCs w:val="28"/>
        </w:rPr>
        <w:t>-</w:t>
      </w:r>
      <w:r w:rsidR="00232A79">
        <w:rPr>
          <w:sz w:val="28"/>
          <w:szCs w:val="28"/>
        </w:rPr>
        <w:t>99</w:t>
      </w:r>
      <w:r w:rsidRPr="00A579C6">
        <w:rPr>
          <w:sz w:val="28"/>
          <w:szCs w:val="28"/>
        </w:rPr>
        <w:t>.</w:t>
      </w:r>
    </w:p>
    <w:p w:rsidR="00D16C35" w:rsidRPr="00A579C6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579C6">
        <w:rPr>
          <w:sz w:val="28"/>
          <w:szCs w:val="28"/>
        </w:rPr>
        <w:t>2.</w:t>
      </w:r>
      <w:r w:rsidR="00BA4467">
        <w:rPr>
          <w:sz w:val="28"/>
          <w:szCs w:val="28"/>
        </w:rPr>
        <w:t> </w:t>
      </w:r>
      <w:r w:rsidRPr="00A579C6">
        <w:rPr>
          <w:sz w:val="28"/>
          <w:szCs w:val="28"/>
        </w:rPr>
        <w:t xml:space="preserve">Описание проблем, для решения которых разработчик намерен разработать проект </w:t>
      </w:r>
      <w:r w:rsidR="00AA457F" w:rsidRPr="00AA457F">
        <w:rPr>
          <w:sz w:val="28"/>
          <w:szCs w:val="28"/>
        </w:rPr>
        <w:t xml:space="preserve">нормативного правового акта Новосибирской области (далее </w:t>
      </w:r>
      <w:r w:rsidR="00AA457F">
        <w:rPr>
          <w:sz w:val="28"/>
          <w:szCs w:val="28"/>
        </w:rPr>
        <w:t xml:space="preserve">– </w:t>
      </w:r>
      <w:r w:rsidR="00AA457F" w:rsidRPr="00AA457F">
        <w:rPr>
          <w:sz w:val="28"/>
          <w:szCs w:val="28"/>
        </w:rPr>
        <w:t>проект акта), и их негативных эффектов (последствий):</w:t>
      </w:r>
    </w:p>
    <w:p w:rsidR="00D16C35" w:rsidRDefault="00D16C35" w:rsidP="00D16C35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659"/>
        <w:gridCol w:w="2693"/>
      </w:tblGrid>
      <w:tr w:rsidR="00D16C35" w:rsidTr="00163207">
        <w:tc>
          <w:tcPr>
            <w:tcW w:w="566" w:type="dxa"/>
          </w:tcPr>
          <w:p w:rsidR="00D16C35" w:rsidRDefault="00E23C16" w:rsidP="00083FF0">
            <w:pPr>
              <w:pStyle w:val="ConsPlusNormal"/>
              <w:jc w:val="center"/>
            </w:pPr>
            <w:r>
              <w:t>№</w:t>
            </w:r>
            <w:r w:rsidR="00D16C35">
              <w:t xml:space="preserve"> п/п</w:t>
            </w:r>
          </w:p>
        </w:tc>
        <w:tc>
          <w:tcPr>
            <w:tcW w:w="6659" w:type="dxa"/>
          </w:tcPr>
          <w:p w:rsidR="00D16C35" w:rsidRDefault="00D16C35" w:rsidP="00083FF0">
            <w:pPr>
              <w:pStyle w:val="ConsPlusNormal"/>
              <w:jc w:val="center"/>
            </w:pPr>
            <w:r>
              <w:t>Проблема, для решения которой планируется разработать проект акта</w:t>
            </w:r>
          </w:p>
        </w:tc>
        <w:tc>
          <w:tcPr>
            <w:tcW w:w="2693" w:type="dxa"/>
          </w:tcPr>
          <w:p w:rsidR="00D16C35" w:rsidRDefault="00D16C35" w:rsidP="00083FF0">
            <w:pPr>
              <w:pStyle w:val="ConsPlusNormal"/>
              <w:jc w:val="center"/>
            </w:pPr>
            <w:r>
              <w:t>Негативные эффекты (последствия), вызванные проблемой</w:t>
            </w: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t>1.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FD0E7C" w:rsidRDefault="00820743" w:rsidP="00820743">
            <w:r w:rsidRPr="00FD0E7C">
              <w:t>Несоответствие Порядка отдельным положениям нормативного правового акта большей юридической силы, а именно подпункту 10 пункта 1 статьи 32 Налогового кодекса Российской Федерации (с учетом изменений, внесенных Федеральным законом от 14.07.2022 № 263-ФЗ «О внесении изменений в части первую и вторую Налогового кодекса Российской Федерации»), согласно которому с 01.01.2023 налоговые органы представляют налогоплательщику, плательщику сбора или налоговому агенту в электронной форме либо на бумажном носителе справку об исполнении обязанности по уплате налогов, сборов, пеней, штрафов, процентов по состоянию на дату формирования справки.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FD0E7C" w:rsidRDefault="00820743" w:rsidP="00820743">
            <w:r w:rsidRPr="00FD0E7C">
              <w:t>Налоговые органы не имеют возможности формирования справки об исполнении обязательств по уплате налогов, сборов, пеней, штрафов, процентов, подлежащих уплате в соответствии с законодательством Российской Федерации о налогах и сборах, на дату, отличную от даты ее формирования</w:t>
            </w: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t>2.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Отсутствие в </w:t>
            </w:r>
            <w:r w:rsidRPr="00C32B80">
              <w:rPr>
                <w:bCs/>
                <w:sz w:val="22"/>
                <w:szCs w:val="22"/>
              </w:rPr>
              <w:t>Порядк</w:t>
            </w:r>
            <w:r>
              <w:rPr>
                <w:bCs/>
                <w:sz w:val="22"/>
                <w:szCs w:val="22"/>
              </w:rPr>
              <w:t>е</w:t>
            </w:r>
            <w:r w:rsidRPr="00C32B80">
              <w:rPr>
                <w:bCs/>
                <w:sz w:val="22"/>
                <w:szCs w:val="22"/>
              </w:rPr>
              <w:t xml:space="preserve"> положения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C021EB">
              <w:rPr>
                <w:bCs/>
                <w:sz w:val="22"/>
                <w:szCs w:val="22"/>
              </w:rPr>
              <w:t xml:space="preserve">обеспечивающего </w:t>
            </w:r>
            <w:r>
              <w:rPr>
                <w:bCs/>
                <w:sz w:val="22"/>
                <w:szCs w:val="22"/>
              </w:rPr>
              <w:t xml:space="preserve">получение от налогового органа </w:t>
            </w:r>
            <w:proofErr w:type="spellStart"/>
            <w:r>
              <w:rPr>
                <w:bCs/>
                <w:sz w:val="22"/>
                <w:szCs w:val="22"/>
              </w:rPr>
              <w:t>МНиИП</w:t>
            </w:r>
            <w:proofErr w:type="spellEnd"/>
            <w:r>
              <w:rPr>
                <w:bCs/>
                <w:sz w:val="22"/>
                <w:szCs w:val="22"/>
              </w:rPr>
              <w:t xml:space="preserve"> НСО, предоставляющего данный вид государственной поддержки субъектам предпринимательства, объема информации, необходимого для </w:t>
            </w:r>
            <w:r w:rsidRPr="00C32B8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проведения качественного мониторинга налоговой отдачи от государственной поддержки для принятия управленческих решений в целях увеличения доходной части областного бюджета Новосибирской области</w:t>
            </w:r>
            <w:r>
              <w:rPr>
                <w:sz w:val="22"/>
                <w:szCs w:val="22"/>
              </w:rPr>
              <w:t xml:space="preserve"> и </w:t>
            </w:r>
            <w:r w:rsidRPr="00070390">
              <w:rPr>
                <w:sz w:val="22"/>
                <w:szCs w:val="22"/>
              </w:rPr>
              <w:t xml:space="preserve">повышения эффективности </w:t>
            </w:r>
            <w:r>
              <w:rPr>
                <w:sz w:val="22"/>
                <w:szCs w:val="22"/>
              </w:rPr>
              <w:t>данного вида</w:t>
            </w:r>
            <w:r w:rsidRPr="00070390">
              <w:rPr>
                <w:sz w:val="22"/>
                <w:szCs w:val="22"/>
              </w:rPr>
              <w:t xml:space="preserve"> государственной поддержки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Невозможность проведения качественного мониторинга налоговой отдачи, что затрудняет формирование доходной части областного бюджета Новосибирской области</w:t>
            </w:r>
            <w:r w:rsidRPr="000606E9">
              <w:rPr>
                <w:sz w:val="22"/>
                <w:szCs w:val="22"/>
              </w:rPr>
              <w:t>.</w:t>
            </w: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t>3.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0606E9">
              <w:rPr>
                <w:bCs/>
                <w:sz w:val="22"/>
                <w:szCs w:val="22"/>
              </w:rPr>
              <w:t xml:space="preserve"> Порядке</w:t>
            </w:r>
            <w:r>
              <w:rPr>
                <w:bCs/>
                <w:sz w:val="22"/>
                <w:szCs w:val="22"/>
              </w:rPr>
              <w:t xml:space="preserve"> отсутствует механизм стимулирования получателей поддержки к предоставлению </w:t>
            </w:r>
            <w:r w:rsidRPr="000606E9">
              <w:rPr>
                <w:bCs/>
                <w:sz w:val="22"/>
                <w:szCs w:val="22"/>
              </w:rPr>
              <w:t>сведени</w:t>
            </w:r>
            <w:r>
              <w:rPr>
                <w:bCs/>
                <w:sz w:val="22"/>
                <w:szCs w:val="22"/>
              </w:rPr>
              <w:t>й</w:t>
            </w:r>
            <w:r w:rsidRPr="000606E9">
              <w:rPr>
                <w:bCs/>
                <w:sz w:val="22"/>
                <w:szCs w:val="22"/>
              </w:rPr>
              <w:t xml:space="preserve"> по формам федерального статистического наблюдения</w:t>
            </w:r>
            <w:r>
              <w:rPr>
                <w:bCs/>
                <w:sz w:val="22"/>
                <w:szCs w:val="22"/>
              </w:rPr>
              <w:t>, что влечет невозможность влияния на повышение места Новосибирской области Национальном рейтинге научно-технологического развития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Данные официальной статистики не отражают реальное состояние с развитием инновационной деятельности в регионе, </w:t>
            </w:r>
            <w:r>
              <w:rPr>
                <w:sz w:val="22"/>
                <w:szCs w:val="22"/>
              </w:rPr>
              <w:lastRenderedPageBreak/>
              <w:t xml:space="preserve">что обуславливает необоснованно низкую позицию (место) Новосибирской области в </w:t>
            </w:r>
            <w:r w:rsidRPr="00034864">
              <w:rPr>
                <w:sz w:val="22"/>
                <w:szCs w:val="22"/>
              </w:rPr>
              <w:t>Национальном рейтинге научно-технологического развития субъ</w:t>
            </w:r>
            <w:r>
              <w:rPr>
                <w:sz w:val="22"/>
                <w:szCs w:val="22"/>
              </w:rPr>
              <w:t>е</w:t>
            </w:r>
            <w:r w:rsidRPr="00034864">
              <w:rPr>
                <w:sz w:val="22"/>
                <w:szCs w:val="22"/>
              </w:rPr>
              <w:t>ктов Российской Федерации</w:t>
            </w:r>
            <w:r w:rsidRPr="00C32B80">
              <w:rPr>
                <w:sz w:val="22"/>
                <w:szCs w:val="22"/>
              </w:rPr>
              <w:t xml:space="preserve"> </w:t>
            </w: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70C00">
              <w:rPr>
                <w:bCs/>
                <w:sz w:val="22"/>
                <w:szCs w:val="22"/>
              </w:rPr>
              <w:t>Наличие в Порядке положений, содержащих излишн</w:t>
            </w:r>
            <w:r>
              <w:rPr>
                <w:bCs/>
                <w:sz w:val="22"/>
                <w:szCs w:val="22"/>
              </w:rPr>
              <w:t>е</w:t>
            </w:r>
            <w:r w:rsidRPr="00C70C00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 ограничение</w:t>
            </w:r>
            <w:r w:rsidRPr="00C70C00">
              <w:rPr>
                <w:bCs/>
                <w:sz w:val="22"/>
                <w:szCs w:val="22"/>
              </w:rPr>
              <w:t xml:space="preserve"> для заявителей в части оплаты работ (внешних НИР и (или) ОКР) соисполнителей: научные организации; образовательные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70C00">
              <w:rPr>
                <w:sz w:val="22"/>
                <w:szCs w:val="22"/>
              </w:rPr>
              <w:t xml:space="preserve">Получатели субсидий </w:t>
            </w:r>
            <w:r>
              <w:rPr>
                <w:sz w:val="22"/>
                <w:szCs w:val="22"/>
              </w:rPr>
              <w:t>испытывают трудности с со</w:t>
            </w: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sz w:val="22"/>
                <w:szCs w:val="22"/>
              </w:rPr>
              <w:t>тавлением</w:t>
            </w:r>
            <w:proofErr w:type="spellEnd"/>
            <w:r>
              <w:rPr>
                <w:sz w:val="22"/>
                <w:szCs w:val="22"/>
              </w:rPr>
              <w:t xml:space="preserve"> и последующим соблюдением в процессе реализации проекта сметы затрат, соответствующей всем установленным параметрам</w:t>
            </w:r>
          </w:p>
        </w:tc>
      </w:tr>
      <w:tr w:rsidR="00820743" w:rsidTr="009528F0">
        <w:tc>
          <w:tcPr>
            <w:tcW w:w="566" w:type="dxa"/>
          </w:tcPr>
          <w:p w:rsidR="00820743" w:rsidRDefault="00820743" w:rsidP="00820743">
            <w:pPr>
              <w:pStyle w:val="ConsPlusNormal"/>
            </w:pPr>
            <w:r>
              <w:t>5.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32B80">
              <w:rPr>
                <w:bCs/>
                <w:sz w:val="22"/>
                <w:szCs w:val="22"/>
              </w:rPr>
              <w:t xml:space="preserve">Наличие в Порядке положений, </w:t>
            </w:r>
            <w:r>
              <w:rPr>
                <w:bCs/>
                <w:sz w:val="22"/>
                <w:szCs w:val="22"/>
              </w:rPr>
              <w:t xml:space="preserve">содержащих риски невыполнения условий предоставления субсидий, влекущих угрозу успешной реализации проектов </w:t>
            </w:r>
            <w:r w:rsidRPr="00C32B80">
              <w:rPr>
                <w:bCs/>
                <w:sz w:val="22"/>
                <w:szCs w:val="22"/>
              </w:rPr>
              <w:t>получ</w:t>
            </w:r>
            <w:r>
              <w:rPr>
                <w:bCs/>
                <w:sz w:val="22"/>
                <w:szCs w:val="22"/>
              </w:rPr>
              <w:t>ателями</w:t>
            </w:r>
            <w:r w:rsidRPr="00C32B80">
              <w:rPr>
                <w:bCs/>
                <w:sz w:val="22"/>
                <w:szCs w:val="22"/>
              </w:rPr>
              <w:t xml:space="preserve"> субсидий</w:t>
            </w:r>
            <w:r>
              <w:rPr>
                <w:bCs/>
                <w:sz w:val="22"/>
                <w:szCs w:val="22"/>
              </w:rPr>
              <w:t xml:space="preserve"> -</w:t>
            </w:r>
            <w:r w:rsidRPr="00C32B80">
              <w:rPr>
                <w:bCs/>
                <w:sz w:val="22"/>
                <w:szCs w:val="22"/>
              </w:rPr>
              <w:t xml:space="preserve"> предпринимателями, осуществляющими инновационную деятельность</w:t>
            </w:r>
            <w:r>
              <w:rPr>
                <w:bCs/>
                <w:sz w:val="22"/>
                <w:szCs w:val="22"/>
              </w:rPr>
              <w:t>, ввиду необходимости возврата субсидий в доход областного бюджета</w:t>
            </w:r>
            <w:r w:rsidRPr="00C32B80">
              <w:rPr>
                <w:bCs/>
                <w:sz w:val="22"/>
                <w:szCs w:val="22"/>
              </w:rPr>
              <w:t>:</w:t>
            </w:r>
          </w:p>
          <w:p w:rsidR="00820743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32B80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п</w:t>
            </w:r>
            <w:r w:rsidRPr="004762E5">
              <w:rPr>
                <w:bCs/>
                <w:sz w:val="22"/>
                <w:szCs w:val="22"/>
              </w:rPr>
              <w:t xml:space="preserve">одпункт 5 пункта 9 </w:t>
            </w:r>
            <w:r w:rsidRPr="00C32B80">
              <w:rPr>
                <w:bCs/>
                <w:sz w:val="22"/>
                <w:szCs w:val="22"/>
              </w:rPr>
              <w:t>Порядка содерж</w:t>
            </w:r>
            <w:r>
              <w:rPr>
                <w:bCs/>
                <w:sz w:val="22"/>
                <w:szCs w:val="22"/>
              </w:rPr>
              <w:t>ит положение, предоставляющее</w:t>
            </w:r>
            <w:r w:rsidRPr="004762E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право </w:t>
            </w:r>
            <w:r w:rsidRPr="004762E5">
              <w:rPr>
                <w:bCs/>
                <w:sz w:val="22"/>
                <w:szCs w:val="22"/>
              </w:rPr>
              <w:t>заявител</w:t>
            </w:r>
            <w:r>
              <w:rPr>
                <w:bCs/>
                <w:sz w:val="22"/>
                <w:szCs w:val="22"/>
              </w:rPr>
              <w:t>ю</w:t>
            </w:r>
            <w:r w:rsidRPr="004762E5">
              <w:rPr>
                <w:bCs/>
                <w:sz w:val="22"/>
                <w:szCs w:val="22"/>
              </w:rPr>
              <w:t xml:space="preserve"> направл</w:t>
            </w:r>
            <w:r>
              <w:rPr>
                <w:bCs/>
                <w:sz w:val="22"/>
                <w:szCs w:val="22"/>
              </w:rPr>
              <w:t>ять</w:t>
            </w:r>
            <w:r w:rsidRPr="004762E5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4762E5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762E5">
              <w:rPr>
                <w:bCs/>
                <w:sz w:val="22"/>
                <w:szCs w:val="22"/>
              </w:rPr>
              <w:t xml:space="preserve"> проекта собственны</w:t>
            </w:r>
            <w:r>
              <w:rPr>
                <w:bCs/>
                <w:sz w:val="22"/>
                <w:szCs w:val="22"/>
              </w:rPr>
              <w:t>е</w:t>
            </w:r>
            <w:r w:rsidRPr="004762E5">
              <w:rPr>
                <w:bCs/>
                <w:sz w:val="22"/>
                <w:szCs w:val="22"/>
              </w:rPr>
              <w:t xml:space="preserve"> и (или) привлеченны</w:t>
            </w:r>
            <w:r>
              <w:rPr>
                <w:bCs/>
                <w:sz w:val="22"/>
                <w:szCs w:val="22"/>
              </w:rPr>
              <w:t>е</w:t>
            </w:r>
            <w:r w:rsidRPr="004762E5">
              <w:rPr>
                <w:bCs/>
                <w:sz w:val="22"/>
                <w:szCs w:val="22"/>
              </w:rPr>
              <w:t xml:space="preserve"> (заемны</w:t>
            </w:r>
            <w:r>
              <w:rPr>
                <w:bCs/>
                <w:sz w:val="22"/>
                <w:szCs w:val="22"/>
              </w:rPr>
              <w:t>е</w:t>
            </w:r>
            <w:r w:rsidRPr="004762E5">
              <w:rPr>
                <w:bCs/>
                <w:sz w:val="22"/>
                <w:szCs w:val="22"/>
              </w:rPr>
              <w:t xml:space="preserve"> или полученны</w:t>
            </w:r>
            <w:r>
              <w:rPr>
                <w:bCs/>
                <w:sz w:val="22"/>
                <w:szCs w:val="22"/>
              </w:rPr>
              <w:t>е</w:t>
            </w:r>
            <w:r w:rsidRPr="004762E5">
              <w:rPr>
                <w:bCs/>
                <w:sz w:val="22"/>
                <w:szCs w:val="22"/>
              </w:rPr>
              <w:t xml:space="preserve"> от частного инвестора) средств</w:t>
            </w:r>
            <w:r>
              <w:rPr>
                <w:bCs/>
                <w:sz w:val="22"/>
                <w:szCs w:val="22"/>
              </w:rPr>
              <w:t>а</w:t>
            </w:r>
            <w:r w:rsidRPr="004762E5">
              <w:rPr>
                <w:bCs/>
                <w:sz w:val="22"/>
                <w:szCs w:val="22"/>
              </w:rPr>
              <w:t xml:space="preserve"> в период предоставления субсидии</w:t>
            </w:r>
            <w:r>
              <w:rPr>
                <w:bCs/>
                <w:sz w:val="22"/>
                <w:szCs w:val="22"/>
              </w:rPr>
              <w:t xml:space="preserve">, а не </w:t>
            </w:r>
            <w:r w:rsidRPr="0067345F">
              <w:rPr>
                <w:bCs/>
                <w:sz w:val="22"/>
                <w:szCs w:val="22"/>
              </w:rPr>
              <w:t>в каждом финансовом году</w:t>
            </w:r>
            <w:r>
              <w:rPr>
                <w:bCs/>
                <w:sz w:val="22"/>
                <w:szCs w:val="22"/>
              </w:rPr>
              <w:t xml:space="preserve">, что увеличивает риск отсутствия </w:t>
            </w:r>
            <w:proofErr w:type="spellStart"/>
            <w:r w:rsidRPr="0067345F">
              <w:rPr>
                <w:bCs/>
                <w:sz w:val="22"/>
                <w:szCs w:val="22"/>
              </w:rPr>
              <w:t>софинансировани</w:t>
            </w:r>
            <w:r>
              <w:rPr>
                <w:bCs/>
                <w:sz w:val="22"/>
                <w:szCs w:val="22"/>
              </w:rPr>
              <w:t>я</w:t>
            </w:r>
            <w:proofErr w:type="spellEnd"/>
            <w:r w:rsidRPr="0067345F">
              <w:rPr>
                <w:bCs/>
                <w:sz w:val="22"/>
                <w:szCs w:val="22"/>
              </w:rPr>
              <w:t xml:space="preserve"> проекта</w:t>
            </w:r>
            <w:r>
              <w:rPr>
                <w:bCs/>
                <w:sz w:val="22"/>
                <w:szCs w:val="22"/>
              </w:rPr>
              <w:t>;</w:t>
            </w: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32B80">
              <w:rPr>
                <w:bCs/>
                <w:sz w:val="22"/>
                <w:szCs w:val="22"/>
              </w:rPr>
              <w:t>-</w:t>
            </w:r>
            <w:r>
              <w:t xml:space="preserve"> п</w:t>
            </w:r>
            <w:r w:rsidRPr="0067345F">
              <w:rPr>
                <w:bCs/>
                <w:sz w:val="22"/>
                <w:szCs w:val="22"/>
              </w:rPr>
              <w:t>редельные объемы затрат за счет</w:t>
            </w:r>
            <w:r>
              <w:rPr>
                <w:bCs/>
                <w:sz w:val="22"/>
                <w:szCs w:val="22"/>
              </w:rPr>
              <w:t xml:space="preserve"> субсидии и </w:t>
            </w:r>
            <w:r>
              <w:rPr>
                <w:rFonts w:eastAsia="Calibri"/>
              </w:rPr>
              <w:t>собственных и (или) привлеченных средств заявителя, указанные в п</w:t>
            </w:r>
            <w:r w:rsidRPr="00C32B80">
              <w:rPr>
                <w:bCs/>
                <w:sz w:val="22"/>
                <w:szCs w:val="22"/>
              </w:rPr>
              <w:t>ункт</w:t>
            </w:r>
            <w:r>
              <w:rPr>
                <w:bCs/>
                <w:sz w:val="22"/>
                <w:szCs w:val="22"/>
              </w:rPr>
              <w:t>е</w:t>
            </w:r>
            <w:r w:rsidRPr="00C32B8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35</w:t>
            </w:r>
            <w:r w:rsidRPr="00C32B80">
              <w:rPr>
                <w:bCs/>
                <w:sz w:val="22"/>
                <w:szCs w:val="22"/>
              </w:rPr>
              <w:t xml:space="preserve"> Порядка</w:t>
            </w:r>
            <w:r>
              <w:rPr>
                <w:bCs/>
                <w:sz w:val="22"/>
                <w:szCs w:val="22"/>
              </w:rPr>
              <w:t>,</w:t>
            </w:r>
            <w:r w:rsidRPr="00C32B80">
              <w:rPr>
                <w:sz w:val="22"/>
                <w:szCs w:val="22"/>
              </w:rPr>
              <w:t xml:space="preserve"> </w:t>
            </w:r>
            <w:r w:rsidRPr="00C32B80">
              <w:rPr>
                <w:bCs/>
                <w:sz w:val="22"/>
                <w:szCs w:val="22"/>
              </w:rPr>
              <w:t>содерж</w:t>
            </w:r>
            <w:r>
              <w:rPr>
                <w:bCs/>
                <w:sz w:val="22"/>
                <w:szCs w:val="22"/>
              </w:rPr>
              <w:t>а</w:t>
            </w:r>
            <w:r w:rsidRPr="00C32B80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2B80">
              <w:rPr>
                <w:bCs/>
                <w:sz w:val="22"/>
                <w:szCs w:val="22"/>
              </w:rPr>
              <w:t xml:space="preserve">неуточненные обязанности для заявителей в части </w:t>
            </w:r>
            <w:r>
              <w:rPr>
                <w:bCs/>
                <w:sz w:val="22"/>
                <w:szCs w:val="22"/>
              </w:rPr>
              <w:t>распределения средств на выплату заработной платы; п</w:t>
            </w:r>
            <w:r w:rsidRPr="0067345F">
              <w:rPr>
                <w:bCs/>
                <w:sz w:val="22"/>
                <w:szCs w:val="22"/>
              </w:rPr>
              <w:t>риобретени</w:t>
            </w:r>
            <w:r>
              <w:rPr>
                <w:bCs/>
                <w:sz w:val="22"/>
                <w:szCs w:val="22"/>
              </w:rPr>
              <w:t>я</w:t>
            </w:r>
            <w:r w:rsidRPr="0067345F">
              <w:rPr>
                <w:bCs/>
                <w:sz w:val="22"/>
                <w:szCs w:val="22"/>
              </w:rPr>
              <w:t xml:space="preserve"> технологии, включая передач</w:t>
            </w:r>
            <w:r>
              <w:rPr>
                <w:bCs/>
                <w:sz w:val="22"/>
                <w:szCs w:val="22"/>
              </w:rPr>
              <w:t>у</w:t>
            </w:r>
            <w:r w:rsidRPr="0067345F">
              <w:rPr>
                <w:bCs/>
                <w:sz w:val="22"/>
                <w:szCs w:val="22"/>
              </w:rPr>
              <w:t xml:space="preserve"> документации и передач</w:t>
            </w:r>
            <w:r>
              <w:rPr>
                <w:bCs/>
                <w:sz w:val="22"/>
                <w:szCs w:val="22"/>
              </w:rPr>
              <w:t>у</w:t>
            </w:r>
            <w:r w:rsidRPr="0067345F">
              <w:rPr>
                <w:bCs/>
                <w:sz w:val="22"/>
                <w:szCs w:val="22"/>
              </w:rPr>
              <w:t xml:space="preserve"> прав</w:t>
            </w:r>
            <w:r>
              <w:rPr>
                <w:bCs/>
                <w:sz w:val="22"/>
                <w:szCs w:val="22"/>
              </w:rPr>
              <w:t>; п</w:t>
            </w:r>
            <w:r w:rsidRPr="00C70C00">
              <w:rPr>
                <w:bCs/>
                <w:sz w:val="22"/>
                <w:szCs w:val="22"/>
              </w:rPr>
              <w:t>риобретени</w:t>
            </w:r>
            <w:r>
              <w:rPr>
                <w:bCs/>
                <w:sz w:val="22"/>
                <w:szCs w:val="22"/>
              </w:rPr>
              <w:t>я</w:t>
            </w:r>
            <w:r w:rsidRPr="00C70C00">
              <w:rPr>
                <w:bCs/>
                <w:sz w:val="22"/>
                <w:szCs w:val="22"/>
              </w:rPr>
              <w:t xml:space="preserve"> материалов, сырья, комплектующих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C32B80">
              <w:rPr>
                <w:bCs/>
                <w:sz w:val="22"/>
                <w:szCs w:val="22"/>
              </w:rPr>
              <w:t xml:space="preserve">1. Наличие в Порядке положений, </w:t>
            </w:r>
            <w:r w:rsidRPr="009C7970">
              <w:rPr>
                <w:bCs/>
                <w:sz w:val="22"/>
                <w:szCs w:val="22"/>
              </w:rPr>
              <w:t>влекущих угрозу успешной реализации проектов</w:t>
            </w:r>
            <w:r>
              <w:rPr>
                <w:bCs/>
                <w:sz w:val="22"/>
                <w:szCs w:val="22"/>
              </w:rPr>
              <w:t xml:space="preserve"> получателями субсидий</w:t>
            </w: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32B80">
              <w:rPr>
                <w:bCs/>
                <w:sz w:val="22"/>
                <w:szCs w:val="22"/>
              </w:rPr>
              <w:t>2. Наличие в Порядке положений, которые могут быть неоднозначно истолкованы заявителями и получателями субсидий.</w:t>
            </w:r>
          </w:p>
          <w:p w:rsidR="00820743" w:rsidRPr="00C32B80" w:rsidRDefault="00820743" w:rsidP="008207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B2569" w:rsidP="00D16C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C35" w:rsidRPr="002E34DC">
        <w:rPr>
          <w:sz w:val="28"/>
          <w:szCs w:val="28"/>
        </w:rPr>
        <w:t>.</w:t>
      </w:r>
      <w:r w:rsidR="00BD6464"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D16C35" w:rsidRPr="002E34DC" w:rsidRDefault="00AF5A2C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субъекты предпринимательской и инвестиционной деятельности, занимающиеся инновационной деятельностью</w:t>
      </w:r>
      <w:r w:rsidR="00D16C35" w:rsidRPr="002E34DC">
        <w:rPr>
          <w:sz w:val="28"/>
          <w:szCs w:val="28"/>
        </w:rPr>
        <w:t>.</w:t>
      </w:r>
    </w:p>
    <w:p w:rsidR="00D16C35" w:rsidRPr="002E34DC" w:rsidRDefault="00DB2569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C35" w:rsidRPr="002E34D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Известные разработчику способы решения каждой из указанных проблем:</w:t>
      </w:r>
    </w:p>
    <w:p w:rsidR="00D16C35" w:rsidRDefault="00D16C35" w:rsidP="00D16C3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4385"/>
        <w:gridCol w:w="4381"/>
      </w:tblGrid>
      <w:tr w:rsidR="00AA457F" w:rsidTr="00821FE5">
        <w:tc>
          <w:tcPr>
            <w:tcW w:w="578" w:type="pct"/>
          </w:tcPr>
          <w:p w:rsidR="00AA457F" w:rsidRDefault="00AA457F" w:rsidP="00083FF0">
            <w:pPr>
              <w:pStyle w:val="ConsPlusNormal"/>
              <w:jc w:val="center"/>
            </w:pPr>
            <w:r>
              <w:t>Проблема</w:t>
            </w:r>
          </w:p>
        </w:tc>
        <w:tc>
          <w:tcPr>
            <w:tcW w:w="2212" w:type="pct"/>
          </w:tcPr>
          <w:p w:rsidR="00AA457F" w:rsidRDefault="00AA457F" w:rsidP="00083FF0">
            <w:pPr>
              <w:pStyle w:val="ConsPlusNormal"/>
              <w:jc w:val="center"/>
            </w:pPr>
            <w:r>
              <w:t>Известные способы решения</w:t>
            </w:r>
          </w:p>
        </w:tc>
        <w:tc>
          <w:tcPr>
            <w:tcW w:w="2210" w:type="pct"/>
          </w:tcPr>
          <w:p w:rsidR="00AA457F" w:rsidRDefault="00AA457F" w:rsidP="00083FF0">
            <w:pPr>
              <w:pStyle w:val="ConsPlusNormal"/>
              <w:jc w:val="center"/>
            </w:pPr>
            <w:r w:rsidRPr="00AA457F">
              <w:t>Наиболее предпочтительный способ решения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</w:tcPr>
          <w:p w:rsidR="00821FE5" w:rsidRPr="00C32B80" w:rsidRDefault="00821FE5" w:rsidP="00821FE5">
            <w:pPr>
              <w:pStyle w:val="a5"/>
              <w:tabs>
                <w:tab w:val="left" w:pos="-68"/>
              </w:tabs>
              <w:spacing w:after="1" w:line="220" w:lineRule="atLeast"/>
              <w:ind w:left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Приведение Порядка в соответствии с требованиями нормативного правового акта</w:t>
            </w:r>
            <w:r>
              <w:t xml:space="preserve"> </w:t>
            </w:r>
            <w:r w:rsidRPr="008B3592">
              <w:rPr>
                <w:color w:val="000000"/>
                <w:sz w:val="22"/>
                <w:szCs w:val="22"/>
              </w:rPr>
              <w:t>большей юридической силы</w:t>
            </w:r>
          </w:p>
        </w:tc>
        <w:tc>
          <w:tcPr>
            <w:tcW w:w="2210" w:type="pct"/>
            <w:tcBorders>
              <w:bottom w:val="single" w:sz="4" w:space="0" w:color="auto"/>
            </w:tcBorders>
          </w:tcPr>
          <w:p w:rsidR="00821FE5" w:rsidRPr="00C32B80" w:rsidRDefault="00821FE5" w:rsidP="00821FE5">
            <w:pPr>
              <w:pStyle w:val="a5"/>
              <w:tabs>
                <w:tab w:val="left" w:pos="-68"/>
              </w:tabs>
              <w:spacing w:after="1" w:line="220" w:lineRule="atLeast"/>
              <w:ind w:left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Приведение Порядка в соответствии с требованиями нормативного правового акта</w:t>
            </w:r>
            <w:r>
              <w:t xml:space="preserve"> </w:t>
            </w:r>
            <w:r w:rsidRPr="008B3592">
              <w:rPr>
                <w:color w:val="000000"/>
                <w:sz w:val="22"/>
                <w:szCs w:val="22"/>
              </w:rPr>
              <w:t>большей юридической силы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E5" w:rsidRPr="00C32B80" w:rsidRDefault="00821FE5" w:rsidP="00821FE5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в Порядке </w:t>
            </w:r>
            <w:r w:rsidRPr="00A7038A">
              <w:rPr>
                <w:sz w:val="22"/>
                <w:szCs w:val="22"/>
              </w:rPr>
              <w:t xml:space="preserve">положения, </w:t>
            </w:r>
            <w:r w:rsidRPr="00A7038A">
              <w:rPr>
                <w:sz w:val="22"/>
                <w:szCs w:val="22"/>
              </w:rPr>
              <w:lastRenderedPageBreak/>
              <w:t>обеспечивающего проведение мониторинга налоговой отдачи от предоставления субсидий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E5" w:rsidRPr="00C32B80" w:rsidRDefault="00821FE5" w:rsidP="00821FE5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Установление в Порядке </w:t>
            </w:r>
            <w:r w:rsidRPr="00A7038A">
              <w:rPr>
                <w:sz w:val="22"/>
                <w:szCs w:val="22"/>
              </w:rPr>
              <w:t xml:space="preserve">положения, </w:t>
            </w:r>
            <w:r w:rsidRPr="00A7038A">
              <w:rPr>
                <w:sz w:val="22"/>
                <w:szCs w:val="22"/>
              </w:rPr>
              <w:lastRenderedPageBreak/>
              <w:t>обеспечивающего проведение мониторинга налоговой отдачи от предоставления субсидий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в</w:t>
            </w:r>
            <w:r w:rsidRPr="00EC4EFE">
              <w:rPr>
                <w:sz w:val="22"/>
                <w:szCs w:val="22"/>
              </w:rPr>
              <w:t xml:space="preserve"> Порядке  механизм</w:t>
            </w:r>
            <w:r>
              <w:rPr>
                <w:sz w:val="22"/>
                <w:szCs w:val="22"/>
              </w:rPr>
              <w:t>а</w:t>
            </w:r>
            <w:r w:rsidRPr="00EC4EFE">
              <w:rPr>
                <w:sz w:val="22"/>
                <w:szCs w:val="22"/>
              </w:rPr>
              <w:t xml:space="preserve"> стимулирования получателей поддержки к предоставлению сведений по формам федерального статистического наблюдения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в</w:t>
            </w:r>
            <w:r w:rsidRPr="00EC4EFE">
              <w:rPr>
                <w:sz w:val="22"/>
                <w:szCs w:val="22"/>
              </w:rPr>
              <w:t xml:space="preserve"> Порядке  механизм</w:t>
            </w:r>
            <w:r>
              <w:rPr>
                <w:sz w:val="22"/>
                <w:szCs w:val="22"/>
              </w:rPr>
              <w:t>а</w:t>
            </w:r>
            <w:r w:rsidRPr="00EC4EFE">
              <w:rPr>
                <w:sz w:val="22"/>
                <w:szCs w:val="22"/>
              </w:rPr>
              <w:t xml:space="preserve"> стимулирования получателей поддержки к предоставлению сведений по формам федерального статистического наблюдения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2" w:type="pct"/>
            <w:tcBorders>
              <w:left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Исключение из </w:t>
            </w:r>
            <w:r w:rsidRPr="00C70C00">
              <w:rPr>
                <w:bCs/>
                <w:sz w:val="22"/>
                <w:szCs w:val="22"/>
              </w:rPr>
              <w:t>Порядк</w:t>
            </w:r>
            <w:r>
              <w:rPr>
                <w:bCs/>
                <w:sz w:val="22"/>
                <w:szCs w:val="22"/>
              </w:rPr>
              <w:t>а</w:t>
            </w:r>
            <w:r w:rsidRPr="00C70C00">
              <w:rPr>
                <w:bCs/>
                <w:sz w:val="22"/>
                <w:szCs w:val="22"/>
              </w:rPr>
              <w:t xml:space="preserve"> положений, содержащих излишн</w:t>
            </w:r>
            <w:r>
              <w:rPr>
                <w:bCs/>
                <w:sz w:val="22"/>
                <w:szCs w:val="22"/>
              </w:rPr>
              <w:t>е</w:t>
            </w:r>
            <w:r w:rsidRPr="00C70C00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 ограничение</w:t>
            </w:r>
            <w:r w:rsidRPr="00C70C00">
              <w:rPr>
                <w:bCs/>
                <w:sz w:val="22"/>
                <w:szCs w:val="22"/>
              </w:rPr>
              <w:t xml:space="preserve"> для заявителей в части оплаты работ (внешних НИР и (или) ОКР) соисполнителей: научные организации; образовательные организации</w:t>
            </w:r>
          </w:p>
        </w:tc>
        <w:tc>
          <w:tcPr>
            <w:tcW w:w="2210" w:type="pct"/>
            <w:tcBorders>
              <w:left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Исключение из </w:t>
            </w:r>
            <w:r w:rsidRPr="00C70C00">
              <w:rPr>
                <w:bCs/>
                <w:sz w:val="22"/>
                <w:szCs w:val="22"/>
              </w:rPr>
              <w:t>Порядк</w:t>
            </w:r>
            <w:r>
              <w:rPr>
                <w:bCs/>
                <w:sz w:val="22"/>
                <w:szCs w:val="22"/>
              </w:rPr>
              <w:t>а</w:t>
            </w:r>
            <w:r w:rsidRPr="00C70C00">
              <w:rPr>
                <w:bCs/>
                <w:sz w:val="22"/>
                <w:szCs w:val="22"/>
              </w:rPr>
              <w:t xml:space="preserve"> положений, содержащих излишн</w:t>
            </w:r>
            <w:r>
              <w:rPr>
                <w:bCs/>
                <w:sz w:val="22"/>
                <w:szCs w:val="22"/>
              </w:rPr>
              <w:t>е</w:t>
            </w:r>
            <w:r w:rsidRPr="00C70C00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 ограничение</w:t>
            </w:r>
            <w:r w:rsidRPr="00C70C00">
              <w:rPr>
                <w:bCs/>
                <w:sz w:val="22"/>
                <w:szCs w:val="22"/>
              </w:rPr>
              <w:t xml:space="preserve"> для заявителей в части оплаты работ (внешних НИР и (или) ОКР) соисполнителей: научные организации; образовательные организации</w:t>
            </w:r>
          </w:p>
        </w:tc>
      </w:tr>
      <w:tr w:rsidR="00821FE5" w:rsidTr="00821FE5">
        <w:tc>
          <w:tcPr>
            <w:tcW w:w="578" w:type="pct"/>
          </w:tcPr>
          <w:p w:rsidR="00821FE5" w:rsidRDefault="00821FE5" w:rsidP="00821F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2" w:type="pct"/>
            <w:tcBorders>
              <w:left w:val="single" w:sz="4" w:space="0" w:color="auto"/>
              <w:bottom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Исключение из</w:t>
            </w:r>
            <w:r w:rsidRPr="000A490A">
              <w:rPr>
                <w:sz w:val="22"/>
                <w:szCs w:val="22"/>
              </w:rPr>
              <w:t xml:space="preserve"> Порядк</w:t>
            </w:r>
            <w:r>
              <w:rPr>
                <w:sz w:val="22"/>
                <w:szCs w:val="22"/>
              </w:rPr>
              <w:t>а</w:t>
            </w:r>
            <w:r w:rsidRPr="000A490A">
              <w:rPr>
                <w:sz w:val="22"/>
                <w:szCs w:val="22"/>
              </w:rPr>
              <w:t xml:space="preserve"> положений, содержащих риски невыполнения условий предоставления субсидий, влекущих угрозу успешной реализации проектов получателями субсидий </w:t>
            </w:r>
            <w:r>
              <w:rPr>
                <w:sz w:val="22"/>
                <w:szCs w:val="22"/>
              </w:rPr>
              <w:t>–</w:t>
            </w:r>
            <w:r w:rsidRPr="000A490A">
              <w:rPr>
                <w:sz w:val="22"/>
                <w:szCs w:val="22"/>
              </w:rPr>
              <w:t xml:space="preserve"> предпринимателями, осуществляющими инновационную деятельность</w:t>
            </w:r>
          </w:p>
        </w:tc>
        <w:tc>
          <w:tcPr>
            <w:tcW w:w="2210" w:type="pct"/>
            <w:tcBorders>
              <w:left w:val="single" w:sz="4" w:space="0" w:color="auto"/>
              <w:bottom w:val="single" w:sz="4" w:space="0" w:color="auto"/>
            </w:tcBorders>
          </w:tcPr>
          <w:p w:rsidR="00821FE5" w:rsidRPr="00C32B80" w:rsidRDefault="00821FE5" w:rsidP="00821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Исключение из</w:t>
            </w:r>
            <w:r w:rsidRPr="000A490A">
              <w:rPr>
                <w:sz w:val="22"/>
                <w:szCs w:val="22"/>
              </w:rPr>
              <w:t xml:space="preserve"> Порядк</w:t>
            </w:r>
            <w:r>
              <w:rPr>
                <w:sz w:val="22"/>
                <w:szCs w:val="22"/>
              </w:rPr>
              <w:t>а</w:t>
            </w:r>
            <w:r w:rsidRPr="000A490A">
              <w:rPr>
                <w:sz w:val="22"/>
                <w:szCs w:val="22"/>
              </w:rPr>
              <w:t xml:space="preserve"> положений, содержащих риски невыполнения условий предоставления субсидий, влекущих угрозу успешной реализации проектов получателями субсидий </w:t>
            </w:r>
            <w:r>
              <w:rPr>
                <w:sz w:val="22"/>
                <w:szCs w:val="22"/>
              </w:rPr>
              <w:t>–</w:t>
            </w:r>
            <w:r w:rsidRPr="000A490A">
              <w:rPr>
                <w:sz w:val="22"/>
                <w:szCs w:val="22"/>
              </w:rPr>
              <w:t xml:space="preserve"> предпринимателями, осуществляющими инновационную деятельность</w:t>
            </w:r>
          </w:p>
        </w:tc>
      </w:tr>
    </w:tbl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B2569" w:rsidP="00D16C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6C35" w:rsidRPr="002E34DC">
        <w:rPr>
          <w:sz w:val="28"/>
          <w:szCs w:val="28"/>
        </w:rPr>
        <w:t>.</w:t>
      </w:r>
      <w:r w:rsidR="00BA4467">
        <w:rPr>
          <w:sz w:val="28"/>
          <w:szCs w:val="28"/>
          <w:lang w:val="en-US"/>
        </w:rPr>
        <w:t> </w:t>
      </w:r>
      <w:r w:rsidR="00D16C35" w:rsidRPr="002E34DC">
        <w:rPr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D16C35" w:rsidRPr="002E34DC" w:rsidRDefault="00815FB1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-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адрес почтовый: 630007</w:t>
      </w:r>
      <w:r w:rsidR="00D16C35" w:rsidRPr="002E34DC">
        <w:rPr>
          <w:sz w:val="28"/>
          <w:szCs w:val="28"/>
        </w:rPr>
        <w:t>, г.</w:t>
      </w:r>
      <w:r w:rsidR="00A4331F">
        <w:rPr>
          <w:sz w:val="28"/>
          <w:szCs w:val="28"/>
        </w:rPr>
        <w:t> </w:t>
      </w:r>
      <w:r w:rsidR="00D16C35" w:rsidRPr="002E34DC">
        <w:rPr>
          <w:sz w:val="28"/>
          <w:szCs w:val="28"/>
        </w:rPr>
        <w:t>Новосибирск</w:t>
      </w:r>
      <w:r w:rsidRPr="002E34DC">
        <w:rPr>
          <w:sz w:val="28"/>
          <w:szCs w:val="28"/>
        </w:rPr>
        <w:t>, Красный проспект,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18, министерство науки и инновационной политики Новосибирской области</w:t>
      </w:r>
      <w:r w:rsidR="00D16C35" w:rsidRPr="002E34DC">
        <w:rPr>
          <w:sz w:val="28"/>
          <w:szCs w:val="28"/>
        </w:rPr>
        <w:t>;</w:t>
      </w:r>
    </w:p>
    <w:p w:rsidR="00D16C35" w:rsidRPr="002E34DC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>-</w:t>
      </w:r>
      <w:r w:rsidR="00A4331F">
        <w:rPr>
          <w:sz w:val="28"/>
          <w:szCs w:val="28"/>
        </w:rPr>
        <w:t> </w:t>
      </w:r>
      <w:r w:rsidRPr="002E34DC">
        <w:rPr>
          <w:sz w:val="28"/>
          <w:szCs w:val="28"/>
        </w:rPr>
        <w:t>адрес электронной п</w:t>
      </w:r>
      <w:r w:rsidR="002E34DC" w:rsidRPr="002E34DC">
        <w:rPr>
          <w:sz w:val="28"/>
          <w:szCs w:val="28"/>
        </w:rPr>
        <w:t xml:space="preserve">очты: </w:t>
      </w:r>
      <w:proofErr w:type="spellStart"/>
      <w:r w:rsidR="00C11EA1">
        <w:rPr>
          <w:sz w:val="28"/>
          <w:szCs w:val="28"/>
          <w:lang w:val="en-US"/>
        </w:rPr>
        <w:t>tsoy</w:t>
      </w:r>
      <w:proofErr w:type="spellEnd"/>
      <w:r w:rsidR="002E34DC" w:rsidRPr="002E34DC">
        <w:rPr>
          <w:sz w:val="28"/>
          <w:szCs w:val="28"/>
        </w:rPr>
        <w:t>@</w:t>
      </w:r>
      <w:proofErr w:type="spellStart"/>
      <w:r w:rsidR="002E34DC" w:rsidRPr="002E34DC">
        <w:rPr>
          <w:sz w:val="28"/>
          <w:szCs w:val="28"/>
          <w:lang w:val="en-US"/>
        </w:rPr>
        <w:t>nso</w:t>
      </w:r>
      <w:proofErr w:type="spellEnd"/>
      <w:r w:rsidR="002E34DC" w:rsidRPr="002E34DC">
        <w:rPr>
          <w:sz w:val="28"/>
          <w:szCs w:val="28"/>
        </w:rPr>
        <w:t>.</w:t>
      </w:r>
      <w:proofErr w:type="spellStart"/>
      <w:r w:rsidR="002E34DC" w:rsidRPr="002E34DC">
        <w:rPr>
          <w:sz w:val="28"/>
          <w:szCs w:val="28"/>
          <w:lang w:val="en-US"/>
        </w:rPr>
        <w:t>ru</w:t>
      </w:r>
      <w:proofErr w:type="spellEnd"/>
      <w:r w:rsidRPr="002E34DC">
        <w:rPr>
          <w:sz w:val="28"/>
          <w:szCs w:val="28"/>
        </w:rPr>
        <w:t>.</w:t>
      </w:r>
    </w:p>
    <w:p w:rsidR="00D16C35" w:rsidRPr="002E34DC" w:rsidRDefault="00D16C35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E34DC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9C7B1F">
        <w:rPr>
          <w:sz w:val="28"/>
          <w:szCs w:val="28"/>
        </w:rPr>
        <w:t>«</w:t>
      </w:r>
      <w:r w:rsidRPr="002E34DC">
        <w:rPr>
          <w:sz w:val="28"/>
          <w:szCs w:val="28"/>
        </w:rPr>
        <w:t>Электронная демократия Новосибирской области</w:t>
      </w:r>
      <w:r w:rsidR="009C7B1F">
        <w:rPr>
          <w:sz w:val="28"/>
          <w:szCs w:val="28"/>
        </w:rPr>
        <w:t>»</w:t>
      </w:r>
      <w:r w:rsidRPr="002E34DC">
        <w:rPr>
          <w:sz w:val="28"/>
          <w:szCs w:val="28"/>
        </w:rPr>
        <w:t>, на которой размещено настоящее уведомление.</w:t>
      </w:r>
    </w:p>
    <w:p w:rsidR="00D16C35" w:rsidRPr="002E34DC" w:rsidRDefault="00DB2569" w:rsidP="00D16C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6C35" w:rsidRPr="002E34DC">
        <w:rPr>
          <w:sz w:val="28"/>
          <w:szCs w:val="28"/>
        </w:rPr>
        <w:t>.</w:t>
      </w:r>
      <w:r w:rsidR="00BA4467">
        <w:rPr>
          <w:sz w:val="28"/>
          <w:szCs w:val="28"/>
          <w:lang w:val="en-US"/>
        </w:rPr>
        <w:t> </w:t>
      </w:r>
      <w:r w:rsidR="00D16C35" w:rsidRPr="002E34DC">
        <w:rPr>
          <w:sz w:val="28"/>
          <w:szCs w:val="28"/>
        </w:rPr>
        <w:t xml:space="preserve">Срок проведения публичных консультаций, в течение которого принимаются предложения и замечания в связи с размещением </w:t>
      </w:r>
      <w:r w:rsidR="002E34DC" w:rsidRPr="002E34DC">
        <w:rPr>
          <w:sz w:val="28"/>
          <w:szCs w:val="28"/>
        </w:rPr>
        <w:t xml:space="preserve">уведомления, - с </w:t>
      </w:r>
      <w:r>
        <w:rPr>
          <w:sz w:val="28"/>
          <w:szCs w:val="28"/>
        </w:rPr>
        <w:t>15</w:t>
      </w:r>
      <w:r w:rsidR="002E34DC" w:rsidRPr="00A4331F">
        <w:rPr>
          <w:sz w:val="28"/>
          <w:szCs w:val="28"/>
        </w:rPr>
        <w:t>.</w:t>
      </w:r>
      <w:r w:rsidR="00A4331F" w:rsidRPr="00A4331F">
        <w:rPr>
          <w:sz w:val="28"/>
          <w:szCs w:val="28"/>
        </w:rPr>
        <w:t>1</w:t>
      </w:r>
      <w:r w:rsidR="00E84D49">
        <w:rPr>
          <w:sz w:val="28"/>
          <w:szCs w:val="28"/>
        </w:rPr>
        <w:t>1</w:t>
      </w:r>
      <w:r w:rsidR="002E34DC" w:rsidRPr="00A4331F">
        <w:rPr>
          <w:sz w:val="28"/>
          <w:szCs w:val="28"/>
        </w:rPr>
        <w:t>.202</w:t>
      </w:r>
      <w:r w:rsidR="00E84D49">
        <w:rPr>
          <w:sz w:val="28"/>
          <w:szCs w:val="28"/>
        </w:rPr>
        <w:t>3</w:t>
      </w:r>
      <w:r w:rsidR="002E34DC" w:rsidRPr="00A4331F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3C0D9B">
        <w:rPr>
          <w:sz w:val="28"/>
          <w:szCs w:val="28"/>
        </w:rPr>
        <w:t>3</w:t>
      </w:r>
      <w:bookmarkStart w:id="1" w:name="_GoBack"/>
      <w:bookmarkEnd w:id="1"/>
      <w:r w:rsidR="002E34DC" w:rsidRPr="00A4331F">
        <w:rPr>
          <w:sz w:val="28"/>
          <w:szCs w:val="28"/>
        </w:rPr>
        <w:t>.</w:t>
      </w:r>
      <w:r w:rsidR="00A4331F" w:rsidRPr="00A4331F">
        <w:rPr>
          <w:sz w:val="28"/>
          <w:szCs w:val="28"/>
        </w:rPr>
        <w:t>1</w:t>
      </w:r>
      <w:r w:rsidR="00E84D49">
        <w:rPr>
          <w:sz w:val="28"/>
          <w:szCs w:val="28"/>
        </w:rPr>
        <w:t>1</w:t>
      </w:r>
      <w:r w:rsidR="002E34DC" w:rsidRPr="00A4331F">
        <w:rPr>
          <w:sz w:val="28"/>
          <w:szCs w:val="28"/>
        </w:rPr>
        <w:t>.202</w:t>
      </w:r>
      <w:r w:rsidR="00E84D49">
        <w:rPr>
          <w:sz w:val="28"/>
          <w:szCs w:val="28"/>
        </w:rPr>
        <w:t>3</w:t>
      </w:r>
      <w:r w:rsidR="00D16C35" w:rsidRPr="00A4331F">
        <w:rPr>
          <w:sz w:val="28"/>
          <w:szCs w:val="28"/>
        </w:rPr>
        <w:t>.</w:t>
      </w:r>
    </w:p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D16C35" w:rsidRPr="002E34DC" w:rsidRDefault="00D16C35" w:rsidP="00D16C35">
      <w:pPr>
        <w:pStyle w:val="ConsPlusNormal"/>
        <w:ind w:firstLine="540"/>
        <w:jc w:val="both"/>
        <w:rPr>
          <w:sz w:val="28"/>
          <w:szCs w:val="28"/>
        </w:rPr>
      </w:pPr>
    </w:p>
    <w:p w:rsidR="003C4D0F" w:rsidRPr="002E34DC" w:rsidRDefault="003C4D0F">
      <w:pPr>
        <w:rPr>
          <w:sz w:val="28"/>
          <w:szCs w:val="28"/>
        </w:rPr>
      </w:pPr>
    </w:p>
    <w:sectPr w:rsidR="003C4D0F" w:rsidRPr="002E34DC" w:rsidSect="00A579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35"/>
    <w:rsid w:val="00020B3C"/>
    <w:rsid w:val="000F135B"/>
    <w:rsid w:val="00163207"/>
    <w:rsid w:val="001723FC"/>
    <w:rsid w:val="001E7C48"/>
    <w:rsid w:val="00232A79"/>
    <w:rsid w:val="002E34DC"/>
    <w:rsid w:val="00334DA1"/>
    <w:rsid w:val="0034713F"/>
    <w:rsid w:val="003676B0"/>
    <w:rsid w:val="003C0D9B"/>
    <w:rsid w:val="003C4D0F"/>
    <w:rsid w:val="004C067B"/>
    <w:rsid w:val="004E46DD"/>
    <w:rsid w:val="00561926"/>
    <w:rsid w:val="0058714A"/>
    <w:rsid w:val="005961C4"/>
    <w:rsid w:val="005B1875"/>
    <w:rsid w:val="00687C86"/>
    <w:rsid w:val="006B6321"/>
    <w:rsid w:val="006D2EFC"/>
    <w:rsid w:val="00722F64"/>
    <w:rsid w:val="00815FB1"/>
    <w:rsid w:val="00820743"/>
    <w:rsid w:val="00821FE5"/>
    <w:rsid w:val="008A5149"/>
    <w:rsid w:val="008C2FCE"/>
    <w:rsid w:val="00941EEA"/>
    <w:rsid w:val="009621A3"/>
    <w:rsid w:val="009C7B1F"/>
    <w:rsid w:val="00A067C4"/>
    <w:rsid w:val="00A4331F"/>
    <w:rsid w:val="00A579C6"/>
    <w:rsid w:val="00AA457F"/>
    <w:rsid w:val="00AF5A2C"/>
    <w:rsid w:val="00B7763F"/>
    <w:rsid w:val="00BA4467"/>
    <w:rsid w:val="00BC3EE2"/>
    <w:rsid w:val="00BD6464"/>
    <w:rsid w:val="00C11EA1"/>
    <w:rsid w:val="00C34143"/>
    <w:rsid w:val="00D16C35"/>
    <w:rsid w:val="00DB2569"/>
    <w:rsid w:val="00DC6C27"/>
    <w:rsid w:val="00DD72F7"/>
    <w:rsid w:val="00DE0801"/>
    <w:rsid w:val="00E23C16"/>
    <w:rsid w:val="00E70446"/>
    <w:rsid w:val="00E84D49"/>
    <w:rsid w:val="00EA49D4"/>
    <w:rsid w:val="00F035F2"/>
    <w:rsid w:val="00F849C3"/>
    <w:rsid w:val="00FA3F15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DC74"/>
  <w15:chartTrackingRefBased/>
  <w15:docId w15:val="{B182E304-9379-48A9-9217-5266EF7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F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C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2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Остроушко Игорь Александрович</dc:creator>
  <cp:keywords/>
  <dc:description/>
  <cp:lastModifiedBy>Цой Андрей Викторович</cp:lastModifiedBy>
  <cp:revision>12</cp:revision>
  <cp:lastPrinted>2021-12-17T03:36:00Z</cp:lastPrinted>
  <dcterms:created xsi:type="dcterms:W3CDTF">2021-01-28T10:08:00Z</dcterms:created>
  <dcterms:modified xsi:type="dcterms:W3CDTF">2023-11-14T06:47:00Z</dcterms:modified>
</cp:coreProperties>
</file>