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E8" w:rsidRDefault="008F40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40E8" w:rsidRDefault="008F40E8">
      <w:pPr>
        <w:pStyle w:val="ConsPlusNormal"/>
        <w:jc w:val="both"/>
        <w:outlineLvl w:val="0"/>
      </w:pPr>
    </w:p>
    <w:p w:rsidR="008F40E8" w:rsidRDefault="008F40E8">
      <w:pPr>
        <w:pStyle w:val="ConsPlusTitle"/>
        <w:jc w:val="center"/>
        <w:outlineLvl w:val="0"/>
      </w:pPr>
      <w:r>
        <w:t>АДМИНИСТРАЦИЯ НОВОСИБИРСКОЙ ОБЛАСТИ</w:t>
      </w:r>
    </w:p>
    <w:p w:rsidR="008F40E8" w:rsidRDefault="008F40E8">
      <w:pPr>
        <w:pStyle w:val="ConsPlusTitle"/>
        <w:jc w:val="center"/>
      </w:pPr>
    </w:p>
    <w:p w:rsidR="008F40E8" w:rsidRDefault="008F40E8">
      <w:pPr>
        <w:pStyle w:val="ConsPlusTitle"/>
        <w:jc w:val="center"/>
      </w:pPr>
      <w:r>
        <w:t>ПОСТАНОВЛЕНИЕ</w:t>
      </w:r>
    </w:p>
    <w:p w:rsidR="008F40E8" w:rsidRDefault="008F40E8">
      <w:pPr>
        <w:pStyle w:val="ConsPlusTitle"/>
        <w:jc w:val="center"/>
      </w:pPr>
      <w:r>
        <w:t>от 21 мая 2007 г. N 54-па</w:t>
      </w:r>
    </w:p>
    <w:p w:rsidR="008F40E8" w:rsidRDefault="008F40E8">
      <w:pPr>
        <w:pStyle w:val="ConsPlusTitle"/>
        <w:jc w:val="center"/>
      </w:pPr>
    </w:p>
    <w:p w:rsidR="008F40E8" w:rsidRDefault="008F40E8">
      <w:pPr>
        <w:pStyle w:val="ConsPlusTitle"/>
        <w:jc w:val="center"/>
      </w:pPr>
      <w:r>
        <w:t>ОБ УТВЕРЖДЕНИИ ГРАНИЦ И ПОЛОЖЕНИЯ О РЕЖИМЕ ОСОБОЙ ОХРАНЫ</w:t>
      </w:r>
    </w:p>
    <w:p w:rsidR="008F40E8" w:rsidRDefault="008F40E8">
      <w:pPr>
        <w:pStyle w:val="ConsPlusTitle"/>
        <w:jc w:val="center"/>
      </w:pPr>
      <w:r>
        <w:t>ТЕРРИТОРИИ ПАМЯТНИКА ПРИРОДЫ РЕГИОНАЛЬНОГО ЗНАЧЕНИЯ</w:t>
      </w:r>
    </w:p>
    <w:p w:rsidR="008F40E8" w:rsidRDefault="008F40E8">
      <w:pPr>
        <w:pStyle w:val="ConsPlusTitle"/>
        <w:jc w:val="center"/>
      </w:pPr>
      <w:r>
        <w:t>"ВОЛЧЬЯ ГРИВА" НОВОСИБИРСКОЙ ОБЛАСТИ</w:t>
      </w:r>
    </w:p>
    <w:p w:rsidR="008F40E8" w:rsidRDefault="008F40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4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Новосибирской области</w:t>
            </w:r>
          </w:p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03.09.2007 </w:t>
            </w:r>
            <w:hyperlink r:id="rId5">
              <w:r>
                <w:rPr>
                  <w:color w:val="0000FF"/>
                </w:rPr>
                <w:t>N 100-па</w:t>
              </w:r>
            </w:hyperlink>
            <w:r>
              <w:rPr>
                <w:color w:val="392C69"/>
              </w:rPr>
              <w:t xml:space="preserve">, от 29.12.2007 </w:t>
            </w:r>
            <w:hyperlink r:id="rId6">
              <w:r>
                <w:rPr>
                  <w:color w:val="0000FF"/>
                </w:rPr>
                <w:t>N 215-па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</w:tr>
    </w:tbl>
    <w:p w:rsidR="008F40E8" w:rsidRDefault="008F40E8">
      <w:pPr>
        <w:pStyle w:val="ConsPlusNormal"/>
        <w:jc w:val="center"/>
      </w:pPr>
    </w:p>
    <w:p w:rsidR="008F40E8" w:rsidRDefault="008F40E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14.03.95 N 33-ФЗ "Об особо охраняемых природных территориях", </w:t>
      </w:r>
      <w:hyperlink r:id="rId8">
        <w:r>
          <w:rPr>
            <w:color w:val="0000FF"/>
          </w:rPr>
          <w:t>Законом</w:t>
        </w:r>
      </w:hyperlink>
      <w:r>
        <w:t xml:space="preserve"> Новосибирской области от 26.09.2005 N 325-ОЗ "Об особо охраняемых природных территориях в Новосибирской области" постановляю: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>
        <w:r>
          <w:rPr>
            <w:color w:val="0000FF"/>
          </w:rPr>
          <w:t>границы</w:t>
        </w:r>
      </w:hyperlink>
      <w:r>
        <w:t xml:space="preserve"> и </w:t>
      </w:r>
      <w:hyperlink w:anchor="P66">
        <w:r>
          <w:rPr>
            <w:color w:val="0000FF"/>
          </w:rPr>
          <w:t>Положение</w:t>
        </w:r>
      </w:hyperlink>
      <w:r>
        <w:t xml:space="preserve"> о режиме особой охраны территории памятника природы регионального значения "Волчья грива" Новосибирской области.</w:t>
      </w:r>
    </w:p>
    <w:p w:rsidR="008F40E8" w:rsidRDefault="008F40E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29.12.2007 N 215-па)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jc w:val="right"/>
      </w:pPr>
      <w:r>
        <w:t>Губернатор области</w:t>
      </w:r>
    </w:p>
    <w:p w:rsidR="008F40E8" w:rsidRDefault="008F40E8">
      <w:pPr>
        <w:pStyle w:val="ConsPlusNormal"/>
        <w:jc w:val="right"/>
      </w:pPr>
      <w:r>
        <w:t>В.А.ТОЛОКОНСКИЙ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jc w:val="right"/>
        <w:outlineLvl w:val="0"/>
      </w:pPr>
      <w:r>
        <w:t>Утверждено</w:t>
      </w:r>
    </w:p>
    <w:p w:rsidR="008F40E8" w:rsidRDefault="008F40E8">
      <w:pPr>
        <w:pStyle w:val="ConsPlusNormal"/>
        <w:jc w:val="right"/>
      </w:pPr>
      <w:r>
        <w:t>постановлением</w:t>
      </w:r>
    </w:p>
    <w:p w:rsidR="008F40E8" w:rsidRDefault="008F40E8">
      <w:pPr>
        <w:pStyle w:val="ConsPlusNormal"/>
        <w:jc w:val="right"/>
      </w:pPr>
      <w:r>
        <w:t>администрации Новосибирской области</w:t>
      </w:r>
    </w:p>
    <w:p w:rsidR="008F40E8" w:rsidRDefault="008F40E8">
      <w:pPr>
        <w:pStyle w:val="ConsPlusNormal"/>
        <w:jc w:val="right"/>
      </w:pPr>
      <w:r>
        <w:t>от 21.05.2007 N 54-па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Title"/>
        <w:jc w:val="center"/>
      </w:pPr>
      <w:bookmarkStart w:id="0" w:name="P29"/>
      <w:bookmarkEnd w:id="0"/>
      <w:r>
        <w:t>ОПИСАНИЕ ГРАНИЦ</w:t>
      </w:r>
    </w:p>
    <w:p w:rsidR="008F40E8" w:rsidRDefault="008F40E8">
      <w:pPr>
        <w:pStyle w:val="ConsPlusTitle"/>
        <w:jc w:val="center"/>
      </w:pPr>
      <w:r>
        <w:t>ТЕРРИТОРИИ ПАМЯТНИКА ПРИРОДЫ РЕГИОНАЛЬНОГО ЗНАЧЕНИЯ</w:t>
      </w:r>
    </w:p>
    <w:p w:rsidR="008F40E8" w:rsidRDefault="008F40E8">
      <w:pPr>
        <w:pStyle w:val="ConsPlusTitle"/>
        <w:jc w:val="center"/>
      </w:pPr>
      <w:r>
        <w:t>"ВОЛЧЬЯ ГРИВА" НОВОСИБИРСКОЙ ОБЛАСТИ</w:t>
      </w:r>
    </w:p>
    <w:p w:rsidR="008F40E8" w:rsidRDefault="008F40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4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Новосибирской области</w:t>
            </w:r>
          </w:p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03.09.2007 </w:t>
            </w:r>
            <w:hyperlink r:id="rId10">
              <w:r>
                <w:rPr>
                  <w:color w:val="0000FF"/>
                </w:rPr>
                <w:t>N 100-па</w:t>
              </w:r>
            </w:hyperlink>
            <w:r>
              <w:rPr>
                <w:color w:val="392C69"/>
              </w:rPr>
              <w:t xml:space="preserve">, от 29.12.2007 </w:t>
            </w:r>
            <w:hyperlink r:id="rId11">
              <w:r>
                <w:rPr>
                  <w:color w:val="0000FF"/>
                </w:rPr>
                <w:t>N 215-па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</w:tr>
    </w:tbl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  <w:r>
        <w:t>Границы территории памятника природы регионального значения "Волчья грива" Новосибирской области определяются с западной стороны шоссейной дорогой (Каргат - Кочки), с восточной стороны - западной границей села Мамонтовое, с северной и южной сторон - линией, завершающей северные и южные склоны гривы и переходом местности в горизонтальное положение (на расстоянии 600 м в западной части и 300 м в восточной части площади памятника природы от дороги в северную и южную стороны).</w:t>
      </w:r>
    </w:p>
    <w:p w:rsidR="008F40E8" w:rsidRDefault="008F40E8">
      <w:pPr>
        <w:pStyle w:val="ConsPlusNormal"/>
        <w:jc w:val="both"/>
      </w:pPr>
      <w:r>
        <w:t xml:space="preserve">(в ред. постановлений администрации Новосибирской области от 03.09.2007 </w:t>
      </w:r>
      <w:hyperlink r:id="rId12">
        <w:r>
          <w:rPr>
            <w:color w:val="0000FF"/>
          </w:rPr>
          <w:t>N 100-па</w:t>
        </w:r>
      </w:hyperlink>
      <w:r>
        <w:t xml:space="preserve">, от 29.12.2007 </w:t>
      </w:r>
      <w:hyperlink r:id="rId13">
        <w:r>
          <w:rPr>
            <w:color w:val="0000FF"/>
          </w:rPr>
          <w:t>N 215-па</w:t>
        </w:r>
      </w:hyperlink>
      <w:r>
        <w:t>)</w:t>
      </w:r>
    </w:p>
    <w:p w:rsidR="008F40E8" w:rsidRDefault="008F40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4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0E8" w:rsidRDefault="008F40E8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Новосибирской области от 03.09.2007 </w:t>
            </w:r>
            <w:hyperlink r:id="rId14">
              <w:r>
                <w:rPr>
                  <w:color w:val="0000FF"/>
                </w:rPr>
                <w:t>N 100-па</w:t>
              </w:r>
            </w:hyperlink>
            <w:r>
              <w:rPr>
                <w:color w:val="392C69"/>
              </w:rPr>
              <w:t xml:space="preserve">, от 29.12.2007 </w:t>
            </w:r>
            <w:hyperlink r:id="rId15">
              <w:r>
                <w:rPr>
                  <w:color w:val="0000FF"/>
                </w:rPr>
                <w:t>N 215-па</w:t>
              </w:r>
            </w:hyperlink>
            <w:r>
              <w:rPr>
                <w:color w:val="392C69"/>
              </w:rPr>
              <w:t xml:space="preserve"> в карту-схему границ территории памятника природы регионального значения "Волчья грива" Новосибирской области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</w:tr>
    </w:tbl>
    <w:p w:rsidR="008F40E8" w:rsidRDefault="008F40E8">
      <w:pPr>
        <w:pStyle w:val="ConsPlusNormal"/>
        <w:spacing w:before="280"/>
        <w:ind w:firstLine="540"/>
        <w:jc w:val="both"/>
      </w:pPr>
      <w:r>
        <w:t>Карта-схема границ территории памятника природы регионального значения "Волчья грива" Новосибирской области прилагается (не приводится).</w:t>
      </w:r>
    </w:p>
    <w:p w:rsidR="008F40E8" w:rsidRDefault="008F40E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29.12.2007 N 215-па)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jc w:val="center"/>
        <w:outlineLvl w:val="1"/>
      </w:pPr>
      <w:r>
        <w:t>Экспликация</w:t>
      </w:r>
    </w:p>
    <w:p w:rsidR="008F40E8" w:rsidRDefault="008F40E8">
      <w:pPr>
        <w:pStyle w:val="ConsPlusNormal"/>
        <w:jc w:val="center"/>
      </w:pPr>
      <w:r>
        <w:t>земель памятника природы регионального значения</w:t>
      </w:r>
    </w:p>
    <w:p w:rsidR="008F40E8" w:rsidRDefault="008F40E8">
      <w:pPr>
        <w:pStyle w:val="ConsPlusNormal"/>
        <w:jc w:val="center"/>
      </w:pPr>
      <w:r>
        <w:t>"Волчья грива" Новосибирской области</w:t>
      </w:r>
    </w:p>
    <w:p w:rsidR="008F40E8" w:rsidRDefault="008F40E8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</w:t>
      </w:r>
    </w:p>
    <w:p w:rsidR="008F40E8" w:rsidRDefault="008F40E8">
      <w:pPr>
        <w:pStyle w:val="ConsPlusNormal"/>
        <w:jc w:val="center"/>
      </w:pPr>
      <w:r>
        <w:t>от 29.12.2007 N 215-па)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Cell"/>
        <w:jc w:val="both"/>
      </w:pPr>
      <w:r>
        <w:t xml:space="preserve">    Категории земель площади памятника природы:</w:t>
      </w:r>
    </w:p>
    <w:p w:rsidR="008F40E8" w:rsidRDefault="008F40E8">
      <w:pPr>
        <w:pStyle w:val="ConsPlusCell"/>
        <w:jc w:val="both"/>
      </w:pPr>
      <w:r>
        <w:t xml:space="preserve">    1. Пашня               - 224 га.</w:t>
      </w:r>
    </w:p>
    <w:p w:rsidR="008F40E8" w:rsidRDefault="008F40E8">
      <w:pPr>
        <w:pStyle w:val="ConsPlusCell"/>
        <w:jc w:val="both"/>
      </w:pPr>
      <w:r>
        <w:t xml:space="preserve">    2. Сенокосные угодья   -  35 га.</w:t>
      </w:r>
    </w:p>
    <w:p w:rsidR="008F40E8" w:rsidRDefault="008F40E8">
      <w:pPr>
        <w:pStyle w:val="ConsPlusCell"/>
        <w:jc w:val="both"/>
      </w:pPr>
      <w:r>
        <w:t xml:space="preserve">    3. Пастбища            -   2 га.</w:t>
      </w:r>
    </w:p>
    <w:p w:rsidR="008F40E8" w:rsidRDefault="008F40E8">
      <w:pPr>
        <w:pStyle w:val="ConsPlusCell"/>
        <w:jc w:val="both"/>
      </w:pPr>
      <w:r>
        <w:t xml:space="preserve">    4. Лес                 -   5 га.</w:t>
      </w:r>
    </w:p>
    <w:p w:rsidR="008F40E8" w:rsidRDefault="008F40E8">
      <w:pPr>
        <w:pStyle w:val="ConsPlusCell"/>
        <w:jc w:val="both"/>
      </w:pPr>
      <w:r>
        <w:t xml:space="preserve">    5. Постройки           -   9 га.</w:t>
      </w:r>
    </w:p>
    <w:p w:rsidR="008F40E8" w:rsidRDefault="008F40E8">
      <w:pPr>
        <w:pStyle w:val="ConsPlusCell"/>
        <w:jc w:val="both"/>
      </w:pPr>
      <w:r>
        <w:t xml:space="preserve">    Общая площадь          - 275 га.</w:t>
      </w:r>
    </w:p>
    <w:p w:rsidR="008F40E8" w:rsidRDefault="008F40E8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29.12.2007 N 215-па)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jc w:val="right"/>
        <w:outlineLvl w:val="0"/>
      </w:pPr>
      <w:r>
        <w:t>Утверждено</w:t>
      </w:r>
    </w:p>
    <w:p w:rsidR="008F40E8" w:rsidRDefault="008F40E8">
      <w:pPr>
        <w:pStyle w:val="ConsPlusNormal"/>
        <w:jc w:val="right"/>
      </w:pPr>
      <w:r>
        <w:t>постановлением</w:t>
      </w:r>
    </w:p>
    <w:p w:rsidR="008F40E8" w:rsidRDefault="008F40E8">
      <w:pPr>
        <w:pStyle w:val="ConsPlusNormal"/>
        <w:jc w:val="right"/>
      </w:pPr>
      <w:r>
        <w:t>администрации Новосибирской области</w:t>
      </w:r>
    </w:p>
    <w:p w:rsidR="008F40E8" w:rsidRDefault="008F40E8">
      <w:pPr>
        <w:pStyle w:val="ConsPlusNormal"/>
        <w:jc w:val="right"/>
      </w:pPr>
      <w:r>
        <w:t>от 21.05.2007 N 54-па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Title"/>
        <w:jc w:val="center"/>
      </w:pPr>
      <w:bookmarkStart w:id="1" w:name="P66"/>
      <w:bookmarkEnd w:id="1"/>
      <w:r>
        <w:t>ПОЛОЖЕНИЕ</w:t>
      </w:r>
    </w:p>
    <w:p w:rsidR="008F40E8" w:rsidRDefault="008F40E8">
      <w:pPr>
        <w:pStyle w:val="ConsPlusTitle"/>
        <w:jc w:val="center"/>
      </w:pPr>
      <w:r>
        <w:t>О РЕЖИМЕ ОСОБОЙ ОХРАНЫ ТЕРРИТОРИИ ПАМЯТНИКА ПРИРОДЫ</w:t>
      </w:r>
    </w:p>
    <w:p w:rsidR="008F40E8" w:rsidRDefault="008F40E8">
      <w:pPr>
        <w:pStyle w:val="ConsPlusTitle"/>
        <w:jc w:val="center"/>
      </w:pPr>
      <w:r>
        <w:t>РЕГИОНАЛЬНОГО ЗНАЧЕНИЯ "ВОЛЧЬЯ ГРИВА" НОВОСИБИРСКОЙ ОБЛАСТИ</w:t>
      </w:r>
    </w:p>
    <w:p w:rsidR="008F40E8" w:rsidRDefault="008F40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4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Новосибирской области</w:t>
            </w:r>
          </w:p>
          <w:p w:rsidR="008F40E8" w:rsidRDefault="008F4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03.09.2007 </w:t>
            </w:r>
            <w:hyperlink r:id="rId19">
              <w:r>
                <w:rPr>
                  <w:color w:val="0000FF"/>
                </w:rPr>
                <w:t>N 100-па</w:t>
              </w:r>
            </w:hyperlink>
            <w:r>
              <w:rPr>
                <w:color w:val="392C69"/>
              </w:rPr>
              <w:t xml:space="preserve">, от 29.12.2007 </w:t>
            </w:r>
            <w:hyperlink r:id="rId20">
              <w:r>
                <w:rPr>
                  <w:color w:val="0000FF"/>
                </w:rPr>
                <w:t>N 215-па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0E8" w:rsidRDefault="008F40E8">
            <w:pPr>
              <w:pStyle w:val="ConsPlusNormal"/>
            </w:pPr>
          </w:p>
        </w:tc>
      </w:tr>
    </w:tbl>
    <w:p w:rsidR="008F40E8" w:rsidRDefault="008F40E8">
      <w:pPr>
        <w:pStyle w:val="ConsPlusNormal"/>
        <w:jc w:val="center"/>
      </w:pPr>
    </w:p>
    <w:p w:rsidR="008F40E8" w:rsidRDefault="008F40E8">
      <w:pPr>
        <w:pStyle w:val="ConsPlusNormal"/>
        <w:jc w:val="center"/>
        <w:outlineLvl w:val="1"/>
      </w:pPr>
      <w:r>
        <w:t>I. Общие положения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охране окружающей среды",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территориях", Лесным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5">
        <w:r>
          <w:rPr>
            <w:color w:val="0000FF"/>
          </w:rPr>
          <w:t>Законом</w:t>
        </w:r>
      </w:hyperlink>
      <w:r>
        <w:t xml:space="preserve"> Новосибирской области "Об особо охраняемых природных территориях в Новосибирской области".</w:t>
      </w:r>
    </w:p>
    <w:p w:rsidR="008F40E8" w:rsidRDefault="008F40E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03.09.2007 N 100-па)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2. В состав памятника природы регионального значения "Волчья грива" Новосибирской области (далее - памятник природы) входит уникальное для Барабинской лесостепи и в целом для южной части Западной Сибири естественное скопление плейстоценовой фауны.</w:t>
      </w:r>
    </w:p>
    <w:p w:rsidR="008F40E8" w:rsidRDefault="008F40E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29.12.2007 N 215-па)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jc w:val="center"/>
        <w:outlineLvl w:val="1"/>
      </w:pPr>
      <w:r>
        <w:t>II. Цели и задачи создания памятника природы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  <w:r>
        <w:t>3. Цели: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1) сохранение уникального скопления костей ископаемых животных плейстоценовой фауны, представляющих большую научную ценность;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2) охрана редкого и особенно ценного палеонтологического объекта;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3) сохранение эстетической ценности палеонтологического объекта;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4) создание условий для проведения научно-познавательных экскурсий;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5) экологическое воспитание населения.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4. Задачи: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1) поддержание целостности экосистемы;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2) предотвращение дальнейшей деградации уникального палеонтологического объекта;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3) обеспечение естественно-исторического и экологического образования и просвещения, обеспечение населения экологической информацией;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4) обеспечение возможностей проведения научных исследований;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5) обеспечение противопожарной безопасности на территории памятника природы.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jc w:val="center"/>
        <w:outlineLvl w:val="1"/>
      </w:pPr>
      <w:r>
        <w:t>III. Порядок образования памятника природы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  <w:r>
        <w:t xml:space="preserve">5. Памятник природы образован </w:t>
      </w:r>
      <w:hyperlink r:id="rId28">
        <w:r>
          <w:rPr>
            <w:color w:val="0000FF"/>
          </w:rPr>
          <w:t>решением</w:t>
        </w:r>
      </w:hyperlink>
      <w:r>
        <w:t xml:space="preserve"> Новосибирского областного Совета депутатов от 17.09.97 (первый созыв, 34 сессия) общей площадью 275 га на территории Каргатского района.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6. Изменение границ территории, реорганизация и ликвидация памятника природы осуществляются в том же порядке, что и его образование.</w:t>
      </w:r>
    </w:p>
    <w:p w:rsidR="008F40E8" w:rsidRDefault="008F40E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29.12.2007 N 215-па)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jc w:val="center"/>
        <w:outlineLvl w:val="1"/>
      </w:pPr>
      <w:r>
        <w:t>IV. Правовой статус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  <w:r>
        <w:t>7. Объявление территории памятником природы не влечет за собой изъятия занимаемых им земельных участков у землепользователей, землевладельцев и собственников земель.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8. Памятник природы находится в ведении областного исполнительного органа государственной власти Новосибирской области, осуществляющего исполнительно-распорядительную деятельность в сфере рационального использования природных ресурсов и охраны окружающей среды (далее - областной исполнительный орган).</w:t>
      </w:r>
    </w:p>
    <w:p w:rsidR="008F40E8" w:rsidRDefault="008F40E8">
      <w:pPr>
        <w:pStyle w:val="ConsPlusNormal"/>
        <w:jc w:val="both"/>
      </w:pPr>
      <w:r>
        <w:t xml:space="preserve">(п. 8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29.12.2007 N 215-па)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9. Территория памятника природы учитывается при разработке планов и перспектив экономического и социального развития, схем землеустройства и районной планировки, в схемах охраны природы области.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10. Срок действия - бессрочно.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jc w:val="center"/>
        <w:outlineLvl w:val="1"/>
      </w:pPr>
      <w:r>
        <w:t>V. Режим особой охраны территории памятника природы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  <w:r>
        <w:t>11. На территории памятника природы, за исключением части территории, занятой лесом, запрещается любая хозяйственная деятельность, причиняющая вред окружающей среде, в том числе: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1) предоставление земельных участков под застройку и ведение земляных работ (закладка фундаментов, рытье колодцев, погребов и т.д.);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2) взрывные работы;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3) проведение гидромелиоративных и ирригационных работ, геологоразведочных изысканий и разработка полезных ископаемых;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4) устройство свалок;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5) загрязнение земель химическими и радиоактивными веществами.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12. На территории памятника природы, за исключением части территории, занятой лесом, разрешается без нанесения ущерба охраняемым природным комплексам: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1) распашка земли и посадка различных сельскохозяйственных культур, не требующих обработки почвы глубже 90 см;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2) проведение необходимых противопожарных и других профилактических мероприятий для обеспечения противопожарной безопасности на территории памятника природы;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3) пастьба и прогон сельскохозяйственных животных;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4) посещение территории памятника природы научными сотрудниками;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5) организация экскурсий в воспитательных целях;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6) проведение охранных археологических мероприятий (раскопок) на территории памятника природы при условии согласования условий и сроков работ с областным исполнительным органом.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13. Разрешается в исключительных случаях отстрел и отлов диких животных при возникновении опасных инфекционных заболеваний.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14. Особенности использования, охрана, защита, воспроизводство лесов на территории памятника природы осуществляются в соответствии с федеральным законодательством.</w:t>
      </w:r>
    </w:p>
    <w:p w:rsidR="008F40E8" w:rsidRDefault="008F40E8">
      <w:pPr>
        <w:pStyle w:val="ConsPlusNormal"/>
        <w:jc w:val="both"/>
      </w:pPr>
      <w:r>
        <w:t xml:space="preserve">(п. 14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29.12.2007 N 215-па)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15. Охрана памятника природы, проведение природоохранных мероприятий осуществляются в соответствии с действующим законодательством областным исполнительным органом.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16. Границы территории памятника природы обозначаются на местности предупредительными и информационными знаками по периметру его границ и внутри территории по дорогам общего пользования.</w:t>
      </w:r>
    </w:p>
    <w:p w:rsidR="008F40E8" w:rsidRDefault="008F40E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29.12.2007 N 215-па)</w:t>
      </w:r>
    </w:p>
    <w:p w:rsidR="008F40E8" w:rsidRDefault="008F40E8">
      <w:pPr>
        <w:pStyle w:val="ConsPlusNormal"/>
        <w:spacing w:before="220"/>
        <w:ind w:firstLine="540"/>
        <w:jc w:val="both"/>
      </w:pPr>
      <w:r>
        <w:t>17. Охранная зона для данного памятника природы не устанавливается.</w:t>
      </w: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ind w:firstLine="540"/>
        <w:jc w:val="both"/>
      </w:pPr>
    </w:p>
    <w:p w:rsidR="008F40E8" w:rsidRDefault="008F40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79C" w:rsidRDefault="0054479C">
      <w:bookmarkStart w:id="2" w:name="_GoBack"/>
      <w:bookmarkEnd w:id="2"/>
    </w:p>
    <w:sectPr w:rsidR="0054479C" w:rsidSect="00D3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E8"/>
    <w:rsid w:val="0054479C"/>
    <w:rsid w:val="008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3F59-685C-4417-A15F-1DE06184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4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40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F40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5746191BC581A0D66BA99D64AB6487891EF1189E45D032A2A5306EAB621B7FD6B6403344787E22C0AE40D1F1DD9FC9AE67EC1BBA95339D78EFF5pES4C" TargetMode="External"/><Relationship Id="rId18" Type="http://schemas.openxmlformats.org/officeDocument/2006/relationships/hyperlink" Target="consultantplus://offline/ref=A45746191BC581A0D66BA99D64AB6487891EF1189E45D032A2A5306EAB621B7FD6B6403344787E22C0AE41DBF1DD9FC9AE67EC1BBA95339D78EFF5pES4C" TargetMode="External"/><Relationship Id="rId26" Type="http://schemas.openxmlformats.org/officeDocument/2006/relationships/hyperlink" Target="consultantplus://offline/ref=A45746191BC581A0D66BA99D64AB6487891EF1189E44DF30A7A5306EAB621B7FD6B6403344787E22C0AE41D0F1DD9FC9AE67EC1BBA95339D78EFF5pES4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5746191BC581A0D66BB79072C73A8E8417AD169F42D260FDFA6B33FC6B112883F9417D01756122C3B042D8F8p8SA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45746191BC581A0D66BB79072C73A8E8417AF169942D260FDFA6B33FC6B112891F9197100757C26C0A51489BEDCC38CFB74ED18BA973081p7S9C" TargetMode="External"/><Relationship Id="rId12" Type="http://schemas.openxmlformats.org/officeDocument/2006/relationships/hyperlink" Target="consultantplus://offline/ref=A45746191BC581A0D66BA99D64AB6487891EF1189E44DF30A7A5306EAB621B7FD6B6403344787E22C0AE40D1F1DD9FC9AE67EC1BBA95339D78EFF5pES4C" TargetMode="External"/><Relationship Id="rId17" Type="http://schemas.openxmlformats.org/officeDocument/2006/relationships/hyperlink" Target="consultantplus://offline/ref=A45746191BC581A0D66BA99D64AB6487891EF1189E45D032A2A5306EAB621B7FD6B6403344787E22C0AE41D9F1DD9FC9AE67EC1BBA95339D78EFF5pES4C" TargetMode="External"/><Relationship Id="rId25" Type="http://schemas.openxmlformats.org/officeDocument/2006/relationships/hyperlink" Target="consultantplus://offline/ref=A45746191BC581A0D66BA99D64AB6487891EF1189D45DE30A9AD6D64A33B177DD1B91F2443317223C0AE41DEFE829ADCBF3FE01AA48B308064EDF7E5pCS2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5746191BC581A0D66BA99D64AB6487891EF1189E45D032A2A5306EAB621B7FD6B6403344787E22C0AE41D8F1DD9FC9AE67EC1BBA95339D78EFF5pES4C" TargetMode="External"/><Relationship Id="rId20" Type="http://schemas.openxmlformats.org/officeDocument/2006/relationships/hyperlink" Target="consultantplus://offline/ref=A45746191BC581A0D66BA99D64AB6487891EF1189E45D032A2A5306EAB621B7FD6B6403344787E22C0AE41D0F1DD9FC9AE67EC1BBA95339D78EFF5pES4C" TargetMode="External"/><Relationship Id="rId29" Type="http://schemas.openxmlformats.org/officeDocument/2006/relationships/hyperlink" Target="consultantplus://offline/ref=A45746191BC581A0D66BA99D64AB6487891EF1189E45D032A2A5306EAB621B7FD6B6403344787E22C0AE42D9F1DD9FC9AE67EC1BBA95339D78EFF5pES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746191BC581A0D66BA99D64AB6487891EF1189E45D032A2A5306EAB621B7FD6B6403344787E22C0AE40DDF1DD9FC9AE67EC1BBA95339D78EFF5pES4C" TargetMode="External"/><Relationship Id="rId11" Type="http://schemas.openxmlformats.org/officeDocument/2006/relationships/hyperlink" Target="consultantplus://offline/ref=A45746191BC581A0D66BA99D64AB6487891EF1189E45D032A2A5306EAB621B7FD6B6403344787E22C0AE40DFF1DD9FC9AE67EC1BBA95339D78EFF5pES4C" TargetMode="External"/><Relationship Id="rId24" Type="http://schemas.openxmlformats.org/officeDocument/2006/relationships/hyperlink" Target="consultantplus://offline/ref=A45746191BC581A0D66BB79072C73A8E8417AA109545D260FDFA6B33FC6B112891F9197100757723C4A51489BEDCC38CFB74ED18BA973081p7S9C" TargetMode="External"/><Relationship Id="rId32" Type="http://schemas.openxmlformats.org/officeDocument/2006/relationships/hyperlink" Target="consultantplus://offline/ref=A45746191BC581A0D66BA99D64AB6487891EF1189E45D032A2A5306EAB621B7FD6B6403344787E22C0AE42DEF1DD9FC9AE67EC1BBA95339D78EFF5pES4C" TargetMode="External"/><Relationship Id="rId5" Type="http://schemas.openxmlformats.org/officeDocument/2006/relationships/hyperlink" Target="consultantplus://offline/ref=A45746191BC581A0D66BA99D64AB6487891EF1189E44DF30A7A5306EAB621B7FD6B6403344787E22C0AE40DDF1DD9FC9AE67EC1BBA95339D78EFF5pES4C" TargetMode="External"/><Relationship Id="rId15" Type="http://schemas.openxmlformats.org/officeDocument/2006/relationships/hyperlink" Target="consultantplus://offline/ref=A45746191BC581A0D66BA99D64AB6487891EF1189E45D032A2A5306EAB621B7FD6B6403344787E22C0AE41DCF1DD9FC9AE67EC1BBA95339D78EFF5pES4C" TargetMode="External"/><Relationship Id="rId23" Type="http://schemas.openxmlformats.org/officeDocument/2006/relationships/hyperlink" Target="consultantplus://offline/ref=A45746191BC581A0D66BB79072C73A8E8416A9119940D260FDFA6B33FC6B112891F9197100757822C5A51489BEDCC38CFB74ED18BA973081p7S9C" TargetMode="External"/><Relationship Id="rId28" Type="http://schemas.openxmlformats.org/officeDocument/2006/relationships/hyperlink" Target="consultantplus://offline/ref=A45746191BC581A0D66BA99D64AB6487891EF1189F40DE31A6A5306EAB621B7FD6B6402144207223C0B040DBE48BCE8FpFS8C" TargetMode="External"/><Relationship Id="rId10" Type="http://schemas.openxmlformats.org/officeDocument/2006/relationships/hyperlink" Target="consultantplus://offline/ref=A45746191BC581A0D66BA99D64AB6487891EF1189E44DF30A7A5306EAB621B7FD6B6403344787E22C0AE40DFF1DD9FC9AE67EC1BBA95339D78EFF5pES4C" TargetMode="External"/><Relationship Id="rId19" Type="http://schemas.openxmlformats.org/officeDocument/2006/relationships/hyperlink" Target="consultantplus://offline/ref=A45746191BC581A0D66BA99D64AB6487891EF1189E44DF30A7A5306EAB621B7FD6B6403344787E22C0AE41D0F1DD9FC9AE67EC1BBA95339D78EFF5pES4C" TargetMode="External"/><Relationship Id="rId31" Type="http://schemas.openxmlformats.org/officeDocument/2006/relationships/hyperlink" Target="consultantplus://offline/ref=A45746191BC581A0D66BA99D64AB6487891EF1189E45D032A2A5306EAB621B7FD6B6403344787E22C0AE42DCF1DD9FC9AE67EC1BBA95339D78EFF5pES4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45746191BC581A0D66BA99D64AB6487891EF1189E45D032A2A5306EAB621B7FD6B6403344787E22C0AE40DEF1DD9FC9AE67EC1BBA95339D78EFF5pES4C" TargetMode="External"/><Relationship Id="rId14" Type="http://schemas.openxmlformats.org/officeDocument/2006/relationships/hyperlink" Target="consultantplus://offline/ref=A45746191BC581A0D66BA99D64AB6487891EF1189E44DF30A7A5306EAB621B7FD6B6403344787E22C0AE41D8F1DD9FC9AE67EC1BBA95339D78EFF5pES4C" TargetMode="External"/><Relationship Id="rId22" Type="http://schemas.openxmlformats.org/officeDocument/2006/relationships/hyperlink" Target="consultantplus://offline/ref=A45746191BC581A0D66BB79072C73A8E8417AF169942D260FDFA6B33FC6B112891F9197100757C26C0A51489BEDCC38CFB74ED18BA973081p7S9C" TargetMode="External"/><Relationship Id="rId27" Type="http://schemas.openxmlformats.org/officeDocument/2006/relationships/hyperlink" Target="consultantplus://offline/ref=A45746191BC581A0D66BA99D64AB6487891EF1189E45D032A2A5306EAB621B7FD6B6403344787E22C0AE42D8F1DD9FC9AE67EC1BBA95339D78EFF5pES4C" TargetMode="External"/><Relationship Id="rId30" Type="http://schemas.openxmlformats.org/officeDocument/2006/relationships/hyperlink" Target="consultantplus://offline/ref=A45746191BC581A0D66BA99D64AB6487891EF1189E45D032A2A5306EAB621B7FD6B6403344787E22C0AE42DAF1DD9FC9AE67EC1BBA95339D78EFF5pES4C" TargetMode="External"/><Relationship Id="rId8" Type="http://schemas.openxmlformats.org/officeDocument/2006/relationships/hyperlink" Target="consultantplus://offline/ref=A45746191BC581A0D66BA99D64AB6487891EF1189D45DE30A9AD6D64A33B177DD1B91F2443317223C0AE41DEFE829ADCBF3FE01AA48B308064EDF7E5pC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Працук Александр Александрович</dc:creator>
  <cp:keywords/>
  <dc:description/>
  <cp:lastModifiedBy>Працук Александр Александрович</cp:lastModifiedBy>
  <cp:revision>1</cp:revision>
  <dcterms:created xsi:type="dcterms:W3CDTF">2023-03-10T02:18:00Z</dcterms:created>
  <dcterms:modified xsi:type="dcterms:W3CDTF">2023-03-10T02:19:00Z</dcterms:modified>
</cp:coreProperties>
</file>