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 xml:space="preserve">2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Правительства Новосибирской области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«ПРИЛОЖЕНИЕ № 24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Правительства Новосибирской области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01.04.2015 № 126-п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spacing w:before="0" w:after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</w:t>
      </w:r>
      <w:r/>
    </w:p>
    <w:p>
      <w:pPr>
        <w:jc w:val="center"/>
        <w:spacing w:before="0" w:after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 условия предоставления субсидий из областного бюджета Новосибирской области на фи</w:t>
      </w:r>
      <w:r>
        <w:rPr>
          <w:rFonts w:eastAsia="Calibri"/>
          <w:b/>
          <w:sz w:val="28"/>
          <w:szCs w:val="28"/>
          <w:lang w:eastAsia="en-US"/>
        </w:rPr>
        <w:t xml:space="preserve">нансовое обеспечение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 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Настоящий Порядок разработан в соответствии с постановлениями Правительства Российской Федерации от 18.09.2020 № 1492 «Об общих требованиях к нормативным правовым актам, муниципальным прав</w:t>
      </w:r>
      <w:r>
        <w:rPr>
          <w:rFonts w:eastAsia="Calibri"/>
          <w:sz w:val="28"/>
          <w:szCs w:val="28"/>
          <w:lang w:eastAsia="en-US"/>
        </w:rPr>
        <w:t xml:space="preserve">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</w:t>
      </w:r>
      <w:r>
        <w:rPr>
          <w:rFonts w:eastAsia="Calibri"/>
          <w:sz w:val="28"/>
          <w:szCs w:val="28"/>
          <w:lang w:eastAsia="en-US"/>
        </w:rPr>
        <w:t xml:space="preserve">ительства Российской Федерации и отдельных положений некоторых актов Правительства Российской Федерации», от 10.08.2021 № 1325 «Об утверждении Правил предоставления и распределения субсидий из федерального бюджета бюджетам субъектов Российской Федерации в </w:t>
      </w:r>
      <w:r>
        <w:rPr>
          <w:rFonts w:eastAsia="Calibri"/>
          <w:sz w:val="28"/>
          <w:szCs w:val="28"/>
          <w:lang w:eastAsia="en-US"/>
        </w:rPr>
        <w:t xml:space="preserve">целях софинансирования расходных обязательств субъектов Российской Федерации по возмещению части затрат управляющих компаний индустриальных (промышленных) парков и промышленных технопарков частной формы собственности на создание или увеличение площади терр</w:t>
      </w:r>
      <w:r>
        <w:rPr>
          <w:rFonts w:eastAsia="Calibri"/>
          <w:sz w:val="28"/>
          <w:szCs w:val="28"/>
          <w:lang w:eastAsia="en-US"/>
        </w:rPr>
        <w:t xml:space="preserve">итории индустриальных (промышленных) парков, промышленных технопарков» (далее – Правила)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индустриальных (п</w:t>
      </w:r>
      <w:r>
        <w:rPr>
          <w:rFonts w:eastAsia="Calibri"/>
          <w:sz w:val="28"/>
          <w:szCs w:val="28"/>
          <w:lang w:eastAsia="en-US"/>
        </w:rPr>
        <w:t xml:space="preserve">ромышленных) парков, промышленных технопарков частной формы собственности, зарегистрированным и осуществляющим деятельность на территории Новосибирской области (далее соответственно – управляющие компании, парки), части затрат на создание или увеличение пл</w:t>
      </w:r>
      <w:r>
        <w:rPr>
          <w:rFonts w:eastAsia="Calibri"/>
          <w:sz w:val="28"/>
          <w:szCs w:val="28"/>
          <w:lang w:eastAsia="en-US"/>
        </w:rPr>
        <w:t xml:space="preserve">ощади территории парков (далее – </w:t>
      </w:r>
      <w:r>
        <w:rPr>
          <w:rFonts w:eastAsia="Calibri"/>
          <w:sz w:val="28"/>
          <w:szCs w:val="28"/>
          <w:lang w:eastAsia="en-US"/>
        </w:rPr>
        <w:t xml:space="preserve">субсидии, </w:t>
      </w:r>
      <w:r>
        <w:rPr>
          <w:rFonts w:eastAsia="Calibri"/>
          <w:sz w:val="28"/>
          <w:szCs w:val="28"/>
          <w:lang w:eastAsia="en-US"/>
        </w:rPr>
        <w:t xml:space="preserve">субсидия), в том числе порядок и условия проведения регионального отбора проектов создания или увеличения территории парков, реализация которых начата не ранее 2020 года (далее соответственно – региональный отбор, проекты).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</w:t>
      </w:r>
      <w:r>
        <w:rPr>
          <w:rFonts w:eastAsia="Calibri"/>
          <w:lang w:eastAsia="en-US"/>
        </w:rPr>
        <w:t xml:space="preserve">. Понятия, используемые в настоящем Порядке, применяются в значениях, установленных Федеральным законом от 31.12.2014 № 488-ФЗ «О промышленной политике в Российской Федерации», постановлением Правительства Российской Федерации от 04.08.2015 № 794 «Об индус</w:t>
      </w:r>
      <w:r>
        <w:rPr>
          <w:rFonts w:eastAsia="Calibri"/>
          <w:lang w:eastAsia="en-US"/>
        </w:rPr>
        <w:t xml:space="preserve">триальных (промышленных) парках и управляющих компаниях индустриальных (промышленных) парков», постановлением Правительства Российской Федерации от 27.12.2019 № 1863 «О промышленных технопарках и управляющих компаниях промышленных технопарков» и Правилами.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 Размер субсидии рассчитывается с учетом размера субсидии из федерального бюджета бюджету Новосибирской области, </w:t>
      </w:r>
      <w:r>
        <w:rPr>
          <w:rFonts w:eastAsia="Calibri"/>
          <w:lang w:eastAsia="en-US"/>
        </w:rPr>
        <w:t xml:space="preserve">определенного Министерством промышленности и торговли Российской Федерации (далее – Минпромторг России) в соответствии с пунктом 24 Правил, и объема бюджетных ассигнований бюджета Новосибирской области на финансовое обеспечение расходных обязательств Новос</w:t>
      </w:r>
      <w:r>
        <w:rPr>
          <w:rFonts w:eastAsia="Calibri"/>
          <w:lang w:eastAsia="en-US"/>
        </w:rPr>
        <w:t xml:space="preserve">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</w:t>
      </w:r>
      <w:r>
        <w:rPr>
          <w:rFonts w:eastAsia="Calibri"/>
          <w:lang w:eastAsia="en-US"/>
        </w:rPr>
        <w:t xml:space="preserve">9.2014 № 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</w:t>
      </w:r>
      <w:r>
        <w:rPr>
          <w:rFonts w:eastAsia="Calibri"/>
          <w:lang w:eastAsia="en-US"/>
        </w:rPr>
        <w:t xml:space="preserve">астном бюджете Новосибирской области (далее – областной бюджет) бюджетных ассигнований на исполнение расходного обязательства Новосибирской области, софинансирование которого осуществляется из федерального бюджета, в объеме, необходимом для его исполнения.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 Субсидии предоставляются в целях финансового обеспечения части затрат управляющих компаний по следующим направлениям: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 строительство, модернизация и (или) реконструкция объектов инфраструктуры индустриального (промышленного) парка;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 строительство, модернизация и (или) реконструкция объектов инфраструктуры промышленного технопарка, а также приобретение оборудования в составе технологической инфраструктуры промышленного технопарка;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 разработка технических условий и (или) технологическое присоединение к сетям инженерно-технического обеспечения объектов инфраструктуры парка;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 уплата основного долга и процентов по кредитам, полученным в российских кредитных организациях и (или) государственной корпорации развития «ВЭБ.РФ» на цели, указанные в настоящем пункте.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</w:t>
      </w:r>
      <w:r>
        <w:rPr>
          <w:rFonts w:eastAsia="Calibri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Сведения о субсидиях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 позднее 15-го рабочего дня, следующего за днем принятия з</w:t>
      </w:r>
      <w:r>
        <w:rPr>
          <w:rFonts w:eastAsia="Calibri"/>
          <w:sz w:val="28"/>
          <w:szCs w:val="28"/>
          <w:lang w:eastAsia="en-US"/>
        </w:rPr>
        <w:t xml:space="preserve">акона об областном бюджете (закона о внесении изменений в закон об областном бюджете), размещаются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портал).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6. </w:t>
      </w:r>
      <w:r>
        <w:rPr>
          <w:rFonts w:eastAsia="Calibri"/>
          <w:color w:val="000000"/>
          <w:sz w:val="28"/>
          <w:lang w:eastAsia="en-US"/>
        </w:rPr>
        <w:t xml:space="preserve">Региональный отбор проводится МЭР НСО ежегодно, один раз в течение календарного года путем запроса предложений (заявок) (далее – заявка), </w:t>
      </w:r>
      <w:r>
        <w:rPr>
          <w:rFonts w:eastAsia="Calibri"/>
          <w:color w:val="000000"/>
          <w:sz w:val="28"/>
          <w:lang w:eastAsia="en-US"/>
        </w:rPr>
        <w:t xml:space="preserve">направленных управляющими компаниями (далее также – участник отбора)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 целью предварительной оценки соответствия проектов требованиям, установленным Правилами</w:t>
      </w:r>
      <w:r>
        <w:rPr>
          <w:rFonts w:eastAsia="Calibri"/>
          <w:color w:val="000000"/>
          <w:sz w:val="28"/>
          <w:lang w:eastAsia="en-US"/>
        </w:rPr>
        <w:t xml:space="preserve">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 Условия участия в региональном отборе: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участник отбора не ранее чем на первое число месяца, в котором планируется проведение отбора: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 не имеет просроченной за</w:t>
      </w:r>
      <w:r>
        <w:rPr>
          <w:rFonts w:eastAsia="Calibri"/>
          <w:lang w:eastAsia="en-US"/>
        </w:rPr>
        <w:t xml:space="preserve">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 не находится в процессе реорганизации (за исключением реорганизации в форме присоединения к</w:t>
      </w:r>
      <w:r>
        <w:rPr>
          <w:rFonts w:eastAsia="Calibri"/>
          <w:lang w:eastAsia="en-US"/>
        </w:rPr>
        <w:t xml:space="preserve">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д) не является иностранным юридическим лицом, в том числе местом регистрации которого является государство или те</w:t>
      </w:r>
      <w:r>
        <w:rPr>
          <w:rFonts w:eastAsia="Calibri"/>
          <w:lang w:eastAsia="en-US"/>
        </w:rPr>
        <w:t xml:space="preserve">рритория, включенные в утверждаемый Министерством финансов Российской Федерации (далее – Минфин России)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</w:t>
      </w:r>
      <w:r>
        <w:rPr>
          <w:rFonts w:eastAsia="Calibri"/>
          <w:lang w:eastAsia="en-US"/>
        </w:rPr>
        <w:t xml:space="preserve">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е) не должен получать средства из областного бюджета в соответствии с иными нормативными правовыми актами на цели, установленные в пункте 1 Порядка;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 соответствие индустриального (промышленного) парка и управляющей компании требованиям к индустриальным (промышленным) паркам и управляющим компаниям индустриальных (промышленных) парков в целях при</w:t>
      </w:r>
      <w:r>
        <w:rPr>
          <w:rFonts w:eastAsia="Calibri"/>
          <w:lang w:eastAsia="en-US"/>
        </w:rPr>
        <w:t xml:space="preserve">менения к ним мер стимулирования деятельности в сфере промышленности, утвержденным постановлением Правительства Российской Федерации от 04.08.2015 № 794 «Об индустриальных (промышленных) парках и управляющих компаниях индустриальных (промышленных) парков»;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 соответствие промышленного технопарка и управляющей компании требованиям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промышленности, утвержденным постановлением </w:t>
      </w:r>
      <w:r>
        <w:rPr>
          <w:rFonts w:eastAsia="Calibri"/>
          <w:lang w:eastAsia="en-US"/>
        </w:rPr>
        <w:t xml:space="preserve">Правительства Российской Федерации</w:t>
      </w:r>
      <w:r>
        <w:rPr>
          <w:rFonts w:eastAsia="Calibri"/>
          <w:lang w:eastAsia="en-US"/>
        </w:rPr>
        <w:t xml:space="preserve"> от</w:t>
      </w:r>
      <w:r>
        <w:rPr>
          <w:rFonts w:eastAsia="Calibri"/>
          <w:lang w:eastAsia="en-US"/>
        </w:rPr>
        <w:t xml:space="preserve"> 27.12.2019 № 1863 «О промышленных технопарках и управляющих компаниях промышленных технопарков»;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соответствие проекта следующим требованиям: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показатели паспорта проекта должны соответствовать пункту 8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срок реализации проекта составляет не более 20 лет;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размер затрат управляющей компании на реализацию проекта, подлежащих финансовому обеспечению за счет средств областного бюджета, предусмотренный паспорто</w:t>
      </w:r>
      <w:r>
        <w:rPr>
          <w:rFonts w:eastAsia="Calibri"/>
          <w:sz w:val="28"/>
          <w:szCs w:val="28"/>
          <w:lang w:eastAsia="en-US"/>
        </w:rPr>
        <w:t xml:space="preserve">м проекта, не должен превышать сумму уплаченных в федеральный бюджет резидентами парка в течение срока реализации проекта налога на прибыль организаций, налога на добавленную стоимость, акцизов на автомобили легковые и мотоциклы, ввозных таможенных пошлин;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 учредителями (участниками) управляющей компании не являются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или муниципальные учреждения;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 цели, </w:t>
      </w:r>
      <w:r>
        <w:rPr>
          <w:rFonts w:eastAsia="Calibri"/>
          <w:lang w:eastAsia="en-US"/>
        </w:rPr>
        <w:t xml:space="preserve">указанные в пункте 1 настоящего Порядка не должны реализовываться управляющей компанией за счет средств федерального бюджета на основании иных нормативных правовых актов Российской Федерации, субъектов Российской Федерации или муниципальных правовых актов;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7) </w:t>
      </w:r>
      <w:r>
        <w:t xml:space="preserve">объекты инфраструктуры парка, финансовое</w:t>
      </w:r>
      <w:r>
        <w:rPr>
          <w:rFonts w:eastAsia="Calibri"/>
          <w:lang w:eastAsia="en-US"/>
        </w:rPr>
        <w:t xml:space="preserve"> обеспечение затрат на создание, модернизацию и (или) реконструкцию которых планируется за сч</w:t>
      </w:r>
      <w:r>
        <w:rPr>
          <w:rFonts w:eastAsia="Calibri"/>
          <w:lang w:eastAsia="en-US"/>
        </w:rPr>
        <w:t xml:space="preserve">ет субсидии, предоставленной в соответствии с настоящим Порядком, не включены в инвестиционные программы субъектов естественных монополий или их создание, модернизация и (или) реконструкция не запланированы за счет средств субъектов естественных монополий;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8) </w:t>
      </w:r>
      <w:r>
        <w:t xml:space="preserve">объекты инфраструктуры парка, финансовое обеспечение затрат на создание, модернизацию и (или) реконструкцию которых планируется за счет субсидии, предоставленной в соответствии с настоящим Порядком,</w:t>
      </w:r>
      <w:r>
        <w:rPr>
          <w:rFonts w:eastAsia="Calibri"/>
          <w:lang w:eastAsia="en-US"/>
        </w:rPr>
        <w:t xml:space="preserve"> не предназначаются для обеспечения деятельности юридических лиц и индивидуальных предпринимателей, осуществляющих хозяйственную деятельность в сфере добычи и торговли сырой нефтью, природным газом, производства и торговли жидким топливом;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9) парк не должен быть создан на территории земельных участков в составе особых экономических зон, и на создание объектов инфраструктуры парка в границах таких участков не были предоставлены либо запланированы к предоставлению </w:t>
      </w:r>
      <w:r>
        <w:t xml:space="preserve">средства федерального бюджета в целях реализации Федерального закона «Об особых экономических зонах в Российской Федерации»;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10) создание, модернизация и (или) реконструкция объектов инфраструктуры парка не осуществлялись или не планируются к осуществлению за счет средств федерального бюджета или средств, источником которых являлись средства федерального бюджета.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Паспорт проекта должен включать следующие показатели: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для проекта создания и (или) увеличения площади индустриального (промышленного) парка: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в случае предоставления субсидии в течение срока, не превышающего 5 лет, на конец 10-го года реализации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внебюджетных инвестиций в основной капитал резидентами не менее 20 млн рублей на 1 гектар общей площади территории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территории парка, занятой резидентами (гектаров), к общей площади территории парка, предназначенной для размещения резидентов (гектаров), не менее 50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в случае предоставления субсидии в течение срока, не превышающего 10 лет, на конец 15-го года реализации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внебюджетных инвестиций в основной капитал резидентами не менее 40 млн рублей на 1 гектар общей площади территории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территории парка, занятой резидентами (гектаров), к общей площади территории парка, предназначенной для размещения резидентов (гектаров), не менее 60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в случае предоставления субсидии в течение срока, не превышающего 15 лет, на конец 20-го года реализации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внебюджетных инвестиций в основной капитал резидентами не менее 60 млн рублей на 1 гектар общей площади территории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территории парка, занятой резидентами (гектаров), к общей площади территории парка, предназначенной для размещения резидентов (гектаров), не менее 70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</w:t>
      </w:r>
      <w:r>
        <w:rPr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для проекта создания и (или) увеличения площади промышленного технопарка: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в случае предоставления субсидии в течение срока, не превышающего 5 лет, на конец 10-го года реализации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отгруженных товаров собственного производства, работ и услуг, выполненных на территории парка резидентами, не менее 30 тыс. рублей на 1 кв. метр общей площади зданий, строений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зданий, строений парка, занятой резидентами (кв. метров), к общей площади зданий, строений парка, предназначенной для размещения резидентов (кв. метров), не менее 50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в случае предоставления субсидии в течение срока, не превышающего 10 лет, на конец 15-го года реализации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отгруженных товаров собственного производства, работ и услуг, выполненных на территории парка резидентами, не менее 60 тыс. рублей на 1 кв. метр общей площади зданий, строений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зданий, строений парка, занятой резидентами (кв. метров), к общей площади зданий, строений парка, предназначенной для размещения резидентов (кв. метров), не менее 60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в случае предоставления субсидии в течение срока, не превышающего 15 лет, на конец 20-го года реализации проекта (накопленным итогом):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удельный объем отгруженных товаров собственного производства, работ и услуг, выполненных на территории парка резидентами, не менее 90 тыс. рублей на 1 кв. метр общей площади зданий, строений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отношение площади зданий, строений парка, занятой резидентами (кв. метров), к общей площади зданий, строений парка, предназначенной для размещения резидентов (кв. метров), не менее 70 процентов;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количество созданных резидентами рабочих мест.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 Значения показателей паспорта проекта, предусмотренных пунктом 8 настоящего Порядка, устанавливаются ежегодно.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 Объявление о проведении регионального отб</w:t>
      </w:r>
      <w:r>
        <w:rPr>
          <w:rFonts w:eastAsia="Calibri"/>
          <w:lang w:eastAsia="en-US"/>
        </w:rPr>
        <w:t xml:space="preserve">ора (далее – объявление) размещается на едином портале и на официальном сайте МЭР НСО в информационно-телекоммуникационной сети «Интернет» в срок не позднее 3 календарных дней до даты начала проведения регионального отбора с указанием следующей информации: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 срока проведения регионального отбора, с указанием даты начала или окончания приема заявок, которая не может быть ранее: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а)</w:t>
      </w:r>
      <w:r>
        <w:rPr>
          <w:rFonts w:eastAsia="Calibri"/>
          <w:lang w:eastAsia="en-US"/>
        </w:rPr>
        <w:t xml:space="preserve"> </w:t>
      </w:r>
      <w:r>
        <w:rPr>
          <w:sz w:val="28"/>
          <w:szCs w:val="28"/>
        </w:rPr>
        <w:t xml:space="preserve">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регионального отбора;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б) 5-го календарного дня, следующего за днем размещения объявления, в случае если имеется информация о количестве получателей субсидии, соответствующих категории</w:t>
      </w:r>
      <w:r>
        <w:rPr>
          <w:rFonts w:eastAsia="Calibri"/>
          <w:lang w:eastAsia="en-US"/>
        </w:rPr>
        <w:t xml:space="preserve"> </w:t>
      </w:r>
      <w:r>
        <w:rPr>
          <w:sz w:val="28"/>
          <w:szCs w:val="28"/>
        </w:rPr>
        <w:t xml:space="preserve">регионального отбора;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 наименования, места нахождения, почтового адреса, адреса электронной почты МЭР НСО;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 результатов предоставления субсидии;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 доменного имени и (или) указателей страниц единого портала, или иного сайта в информационно-телекоммуникационной сети «Интернет», на котором обеспечивается проведение регионального отбора;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 условий участия в региональном отборе в соответствии с пункто</w:t>
      </w:r>
      <w:r>
        <w:rPr>
          <w:rFonts w:eastAsia="Calibri"/>
          <w:lang w:eastAsia="en-US"/>
        </w:rPr>
        <w:t xml:space="preserve">м 7 настоящего Порядка, включающих требования к участникам отбора, критерии к проектам, и перечень документов, представляемых участниками отбора для подтверждения их соответствия указанным требованиям, в соответствии с приложением № 2 к настоящему Порядку;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 порядка подачи заявок и требований, предъявляемых к форме и содержанию заявок;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7) 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8) правил рассмотрения и оценки заявок;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9) порядка предоставления участникам отбора разъяснений положений объявления, даты начала и окончания срока такого предоставления;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10) срока, в течение которого </w:t>
      </w:r>
      <w:r>
        <w:t xml:space="preserve">участник отбора, проект которо</w:t>
      </w:r>
      <w:r>
        <w:t xml:space="preserve">го прошел региональный, федеральный отбор, должен заключить соглашения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</w:t>
      </w:r>
      <w:r>
        <w:rPr>
          <w:rFonts w:eastAsia="Calibri"/>
          <w:lang w:eastAsia="en-US"/>
        </w:rPr>
        <w:t xml:space="preserve">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11) условий признания участника отбора, чей проект прошел региональный, федеральный отбор, уклонившимся от заключения соглашений о предоставлении субсидии;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12) даты размещения результатов регионального отбора на едином портале или на официальном сайте МЭР НСО в информационно-телекоммуникационной сети «Интернет»;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 Для участия в региональном отборе участник отбора в течение срока приема заявок, указанного в объявлении, направляет в МЭР НСО заявку, включающую в себя заявление на у</w:t>
      </w:r>
      <w:r>
        <w:rPr>
          <w:rFonts w:eastAsia="Calibri"/>
          <w:lang w:eastAsia="en-US"/>
        </w:rPr>
        <w:t xml:space="preserve">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№ 1 к настоящему Порядку, с приложением документов согласно приложению № 2 к настоящему Порядку.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Заявление и документы, представляемые в МЭР НСО участниками отбора, должны содержать достоверную информацию.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Заявка подается в МЭР НСО на бумажном носителе и в электронном виде в редактируемом и (или) </w:t>
      </w:r>
      <w:r>
        <w:rPr>
          <w:rFonts w:eastAsia="Calibri"/>
          <w:lang w:val="en-US" w:eastAsia="en-US"/>
        </w:rPr>
        <w:t xml:space="preserve">PDF</w:t>
      </w:r>
      <w:r>
        <w:rPr>
          <w:rFonts w:eastAsia="Calibri"/>
          <w:lang w:eastAsia="en-US"/>
        </w:rPr>
        <w:t xml:space="preserve">-форматах.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 МЭР НСО в течение 5 рабочих дней со дня окончания срока приема заявок проводит проверку заявки на предмет: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 соответствия заявки требованиям, предусмотренным пунктом 11 настоящего Порядка;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 соответствия парка и участника отбора требованиям, предусмотренным подпунктами 1-3, 5-10 пункта 7 настоящего Порядка.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13. Основания для отклонения заявки: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 несоответствие парка и участника отбора условиям и требованиям, предусмотренным подпунктами 1-3, 5-10 пункта 7 настоящего Порядка;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 несоответствие представленной участником отбора заявки требованиям, предусмотренным пунктом 11 настоящего Порядка;</w:t>
      </w:r>
      <w:r/>
    </w:p>
    <w:p>
      <w:pPr>
        <w:contextualSpacing/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недостоверность представленной участником отбора информации, в том числе информации о месте нахождения и адресе юридического лица;</w:t>
      </w:r>
      <w:r/>
    </w:p>
    <w:p>
      <w:pPr>
        <w:contextualSpacing/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подача участником отбора заявки после даты и (или) времени, определенных для подачи заявок.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14. При выявлении несоответствия хотя бы одному из условий и требований, предусмотренных пунктом 12 настоящего Порядка, МЭР НСО принимает решение об отклонении заявки и в течение 3 рабочих дней со дня окончания </w:t>
      </w:r>
      <w:r>
        <w:rPr>
          <w:rFonts w:eastAsia="Calibri"/>
          <w:lang w:eastAsia="en-US"/>
        </w:rPr>
        <w:t xml:space="preserve">срока, указанного в абзаце первом пункта 12 настоящего Порядка, направляет участнику отбора письменное уведомление способом, обеспечивающим подтверждение получения такого уведомления, с указанием условий и (или) требований, которым не соответствует заявка.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15. МЭР НСО по заявкам, соответствующим условиям, предусмотренным пунктом 12 настоящего Порядка, в течение 10 рабочих дней со дня окончания срока, указанного в абзаце перв</w:t>
      </w:r>
      <w:r>
        <w:rPr>
          <w:rFonts w:eastAsia="Calibri"/>
          <w:lang w:eastAsia="en-US"/>
        </w:rPr>
        <w:t xml:space="preserve">ом пункта 12 настоящего Порядка, формирует заключение, содержащее информацию, предусмотренную пунктами 1-8, 13,15 приложения № 5 к Правилам, по каждой заявке с отражением всех выявленных несоответствий и замечаний и направляет их членам комиссии по региона</w:t>
      </w:r>
      <w:r>
        <w:rPr>
          <w:rFonts w:eastAsia="Calibri"/>
          <w:lang w:eastAsia="en-US"/>
        </w:rPr>
        <w:t xml:space="preserve">льному отбору проектов создания или увеличения площади индустриальных (промышленных) парков и промышленных технопарков (далее – комиссия) с приложением всех документов, представленных управляющей компанией в составе заявки на участие в региональном отборе.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 комиссии и положение о комиссии утверждаются приказами МЭР НСО.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16. Заседание комиссии проводится в срок не позднее 5 рабочих дней со дня окончания срока, указанного в пункте 15 настоящего Порядка. </w:t>
      </w:r>
      <w:r/>
    </w:p>
    <w:p>
      <w:pPr>
        <w:pStyle w:val="741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17. Комиссия рассматривает заявки на соответствие требованиям, установленным подпунктом 4 пункта 7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18.</w:t>
      </w:r>
      <w: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Решение о прохождении или непрохождении проектом регионального отбора, принятое на заседании комиссии, оформляется протоколом регионального отбора проектов </w:t>
      </w:r>
      <w:r>
        <w:rPr>
          <w:rFonts w:eastAsia="Calibri"/>
          <w:bCs/>
          <w:sz w:val="28"/>
          <w:szCs w:val="28"/>
          <w:lang w:eastAsia="en-US"/>
        </w:rPr>
        <w:t xml:space="preserve">в срок</w:t>
      </w:r>
      <w:r>
        <w:rPr>
          <w:rFonts w:eastAsia="Calibri"/>
          <w:sz w:val="28"/>
          <w:szCs w:val="28"/>
          <w:lang w:eastAsia="en-US"/>
        </w:rPr>
        <w:t xml:space="preserve"> не позднее 3 рабочих дней с даты проведения заседания комиссии.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Прошедшими региональный отбор признаются проекты, соответствующие требованиям, установленным пунктами 7 и 11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 МЭР НСО р</w:t>
      </w:r>
      <w:r>
        <w:rPr>
          <w:rFonts w:eastAsia="Calibri"/>
          <w:sz w:val="28"/>
          <w:szCs w:val="28"/>
          <w:lang w:eastAsia="en-US"/>
        </w:rPr>
        <w:t xml:space="preserve">азмещает информацию о результатах регионального отбора в срок не позднее 3 календарных дней со дня принятия решения на едином портале, а также на официальном сайте МЭР НСО в информационно-телекоммуникационной сети «Интернет», включающую следующие сведения: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дату, время и место рассмотрения заявок 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информацию об участниках отбора, заявки которых были рассмотрены;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информацию об участниках отбора, проекты которых признаны прошедшими региональный отбор;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информацию об участниках отбора, проекты которых признаны не прошедшими региональный отбор, с указанием причин их несоответствия требованиям.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 В целях формирования заявки на</w:t>
      </w:r>
      <w:r>
        <w:rPr>
          <w:rFonts w:eastAsia="Calibri"/>
          <w:sz w:val="28"/>
          <w:szCs w:val="28"/>
          <w:lang w:eastAsia="en-US"/>
        </w:rPr>
        <w:t xml:space="preserve"> участие в федеральном отборе между участником отбора, проект которого признан прошедшим региональный отбор, и МЭР НСО в срок не позднее 10 рабочих дней со дня подведения итогов регионального отбора заключается инвестиционный меморандум, предусматривающий: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обязательство Новосибирской области о предоставлении управляющей компании бюджетных ассигнований, расходные обязательства Новосибирской области по предоставлению которых софинансируются из федерального бюджета, в случае прохождения </w:t>
      </w:r>
      <w:r>
        <w:rPr>
          <w:rFonts w:eastAsia="Calibri"/>
          <w:sz w:val="28"/>
          <w:szCs w:val="28"/>
          <w:lang w:eastAsia="en-US"/>
        </w:rPr>
        <w:t xml:space="preserve">проект</w:t>
      </w:r>
      <w:r>
        <w:rPr>
          <w:rFonts w:eastAsia="Calibri"/>
          <w:sz w:val="28"/>
          <w:szCs w:val="28"/>
          <w:lang w:eastAsia="en-US"/>
        </w:rPr>
        <w:t xml:space="preserve">ом</w:t>
      </w:r>
      <w:bookmarkStart w:id="5" w:name="_GoBack"/>
      <w:r/>
      <w:bookmarkEnd w:id="5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федерального отбора в соответствии с Правилами;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сведения о реализации проекта: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планируемые сроки финансового обеспечения затрат управляющей компании парка в соответствии с пунктом 8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перечень мероприятий по созданию, реконструкции и (или) модернизации объектов инфраструктуры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перечень объектов инфраструктуры парка, создание, реконструкция и (или) модернизация которых осуществляются в рамках реализации проекта;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 размер расходов управляющей компании на создание, реконструкцию и (или) модернизацию объектов инфраструктуры парка.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21. В отношении проект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проектов), прошедшего (прошедших)</w:t>
      </w:r>
      <w:r>
        <w:rPr>
          <w:rFonts w:eastAsia="Calibri"/>
          <w:sz w:val="28"/>
          <w:szCs w:val="28"/>
          <w:lang w:eastAsia="en-US"/>
        </w:rPr>
        <w:t xml:space="preserve"> региональный отбор, МЭР НСО направляет в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Минпромторг России заявку (заявки) на участие в федеральном отборе в порядке и сроки, указанные в Правилах.</w:t>
      </w:r>
      <w:r/>
    </w:p>
    <w:p>
      <w:pPr>
        <w:ind w:firstLine="709"/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22. В случае признания проекта прошедшим федеральный отбор, МЭР НСО в соответствии с распоряжением Правительства Новосибирской области о предоставлении субсидии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течение срока, указанного в объявлении, заключает с управляющей компанией:</w:t>
      </w:r>
      <w:r/>
    </w:p>
    <w:p>
      <w:pPr>
        <w:ind w:firstLine="709"/>
        <w:jc w:val="both"/>
        <w:spacing w:before="0" w:after="0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соглашение о предоставлении субсидии из областного бюджета, источником финансового обеспечения которой являются средства федерального бюджета;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соглашение о предоставлении субсидии из областного бюджета, источником финансового обеспечения которой являются средства областного бюджета Новосибирской области.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 Соглашение о предоставлении субси</w:t>
      </w:r>
      <w:r>
        <w:rPr>
          <w:rFonts w:eastAsia="Calibri"/>
          <w:sz w:val="28"/>
          <w:szCs w:val="28"/>
          <w:lang w:eastAsia="en-US"/>
        </w:rPr>
        <w:t xml:space="preserve">дии из областного бюджета,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 соответствии с типовой фо</w:t>
      </w:r>
      <w:r>
        <w:rPr>
          <w:rFonts w:eastAsia="Calibri"/>
          <w:sz w:val="28"/>
          <w:szCs w:val="28"/>
          <w:lang w:eastAsia="en-US"/>
        </w:rPr>
        <w:t xml:space="preserve">рмой, установленной Минфином России, подготавливается (формируется) в государственной интегрированной информационной системе управления общественными финансами «Электронный бюджет» с учетом требований к соглашению, указанных в пункте 25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 Согла</w:t>
      </w:r>
      <w:r>
        <w:rPr>
          <w:rFonts w:eastAsia="Calibri"/>
          <w:sz w:val="28"/>
          <w:szCs w:val="28"/>
          <w:lang w:eastAsia="en-US"/>
        </w:rPr>
        <w:t xml:space="preserve">шение о предоставлении субсидии из областного бюджета, источником финансового обеспечения которой являются средства областного бюджета, дополнительное соглашение о внесении в него изменений, а также дополнительное соглашение о его расторжении заключаются в</w:t>
      </w:r>
      <w:r>
        <w:rPr>
          <w:rFonts w:eastAsia="Calibri"/>
          <w:sz w:val="28"/>
          <w:szCs w:val="28"/>
          <w:lang w:eastAsia="en-US"/>
        </w:rPr>
        <w:t xml:space="preserve"> соответствии с типовой формой, установленной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</w:t>
      </w:r>
      <w:r>
        <w:rPr>
          <w:rFonts w:eastAsia="Calibri"/>
          <w:sz w:val="28"/>
          <w:szCs w:val="28"/>
          <w:lang w:eastAsia="en-US"/>
        </w:rPr>
        <w:t xml:space="preserve">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услуг», с учетом требований к соглашению, указанных в пункте 25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25. Соглашения о предоставлении субсидии, указанные в пунктах 23-24 настоящего Порядка должны включать: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перечень объектов инфраструктуры парка, затраты в отношении которых планируются к финансовому обеспечению, размер финансов</w:t>
      </w:r>
      <w:r>
        <w:rPr>
          <w:rFonts w:eastAsia="Calibri"/>
          <w:sz w:val="28"/>
          <w:szCs w:val="28"/>
          <w:lang w:eastAsia="en-US"/>
        </w:rPr>
        <w:t xml:space="preserve">ого обеспечения или порядок его определения с распределением по годам в отношении каждого объекта инфраструктуры (с указанием его наименования, мощности, сроков создания, подтвержденной сметной стоимости объекта инфраструктуры и года ввода в эксплуатацию);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указание планируемых сроков финансового обеспечения затрат управляющей компании в соответствии с пунктом 8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перечень затрат, на финансовое обеспечение которых предоставляются бюджетные средства;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обязательство управляющей компании не совершать сделок по отчуждению объектов инфраструктуры парка по </w:t>
      </w:r>
      <w:r>
        <w:rPr>
          <w:rFonts w:eastAsia="Calibri"/>
          <w:sz w:val="28"/>
          <w:szCs w:val="28"/>
          <w:lang w:eastAsia="en-US"/>
        </w:rPr>
        <w:t xml:space="preserve">договорам купли-продажи, иным возмездным сделкам в течение всего срока реализации проекта с года начала финансового обеспечения затрат, а также обязательство МЭР НСО осуществлять ежегодный мониторинг исполнения обязательств со стороны управляющей компании;</w:t>
      </w:r>
      <w:r/>
    </w:p>
    <w:p>
      <w:pPr>
        <w:ind w:firstLine="540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 согласие управляющей компании, лиц, получающих средства на основании договоров, заключенных с уп</w:t>
      </w:r>
      <w:r>
        <w:rPr>
          <w:rFonts w:eastAsia="Calibri"/>
          <w:sz w:val="28"/>
          <w:szCs w:val="28"/>
          <w:lang w:eastAsia="en-US"/>
        </w:rPr>
        <w:t xml:space="preserve">равляющей компанией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</w:t>
      </w:r>
      <w:r>
        <w:rPr>
          <w:rFonts w:eastAsia="Calibri"/>
          <w:sz w:val="28"/>
          <w:szCs w:val="28"/>
          <w:lang w:eastAsia="en-US"/>
        </w:rPr>
        <w:t xml:space="preserve">ств и обществ в их уставных (складочных) капиталах), на осуществление Минпромторгом России, МЭР НСО в отношении их проверок соблюдения порядка и условий предоставления субсидии, в том числе в части достижения результатов предоставленной субсидии, а также п</w:t>
      </w:r>
      <w:r>
        <w:rPr>
          <w:rFonts w:eastAsia="Calibri"/>
          <w:sz w:val="28"/>
          <w:szCs w:val="28"/>
          <w:lang w:eastAsia="en-US"/>
        </w:rPr>
        <w:t xml:space="preserve">роверок органами государственного финансового контроля соблюдения управляющей компанией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 порядок, формы и сроки представл</w:t>
      </w:r>
      <w:r>
        <w:rPr>
          <w:rFonts w:eastAsia="Calibri"/>
          <w:sz w:val="28"/>
          <w:szCs w:val="28"/>
          <w:lang w:eastAsia="en-US"/>
        </w:rPr>
        <w:t xml:space="preserve">ения отчетности о выполнении условий соглашения, в том числе отчетов о достижении результатов предоставления субсидии из областного бюджета, источником финансового обеспечения которых являются субсидии из федерального бюджета и средства областного бюджета;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 условия расторжения соглашения,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 из областного бюджета;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 порядок и сроки (периодичность) перечисления субсидии из областного бюджета;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9)</w:t>
      </w:r>
      <w:r>
        <w:rPr>
          <w:rFonts w:eastAsia="Calibri"/>
          <w:sz w:val="28"/>
          <w:szCs w:val="28"/>
          <w:lang w:eastAsia="en-US"/>
        </w:rPr>
        <w:t xml:space="preserve"> запрет приобретения управляющей компанией, а также иными юридическими лицами, получающими средства на основании договоров, заключенных с получателями субсидий, за счет полученной субсидии из областного бюджета иностранной валюты, за исключением операций, </w:t>
      </w:r>
      <w:r>
        <w:rPr>
          <w:rFonts w:eastAsia="Calibri"/>
          <w:sz w:val="28"/>
          <w:szCs w:val="28"/>
          <w:lang w:eastAsia="en-US"/>
        </w:rPr>
        <w:t xml:space="preserve">осуществляемых в соответствии с валютным за</w:t>
      </w:r>
      <w:r>
        <w:rPr>
          <w:rFonts w:eastAsia="Calibri"/>
          <w:sz w:val="28"/>
          <w:szCs w:val="28"/>
          <w:lang w:eastAsia="en-US"/>
        </w:rPr>
        <w:t xml:space="preserve">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 положения, предусматривающие обязанность</w:t>
      </w:r>
      <w:r>
        <w:rPr>
          <w:rFonts w:eastAsia="Calibri"/>
          <w:sz w:val="28"/>
          <w:szCs w:val="28"/>
          <w:lang w:eastAsia="en-US"/>
        </w:rPr>
        <w:t xml:space="preserve">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МЭР НСО денежных средств со счетов, открытых юридическому л</w:t>
      </w:r>
      <w:r>
        <w:rPr>
          <w:rFonts w:eastAsia="Calibri"/>
          <w:sz w:val="28"/>
          <w:szCs w:val="28"/>
          <w:lang w:eastAsia="en-US"/>
        </w:rPr>
        <w:t xml:space="preserve">ицу в указанных кредитных организациях, в размере, не превышающем размера полученной субсидии из областного бюджета, в случае нарушения условий, установленных при предоставлении субсидии из областного бюджета, а также в случае нарушения условий соглашения;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12) условие о ежегодном предоставлении управляющей компанией в МЭР НСО заявки на финансовое обеспечение затрат на реализацию проекта с приложением следующих документов: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справка о прогнозных значениях сумм федеральных налогов и таможенных пошлин (с полугодовой разбивкой), подлежащих уплате резидентами в федеральный бюджет до конца текущего финансового года, включая информацию о сумме совокупной добавленно</w:t>
      </w:r>
      <w:r>
        <w:rPr>
          <w:rFonts w:eastAsia="Calibri"/>
          <w:sz w:val="28"/>
          <w:szCs w:val="28"/>
          <w:lang w:eastAsia="en-US"/>
        </w:rPr>
        <w:t xml:space="preserve">й стоимости, получаемой на территории парка, рассчитанной в соответствии с методикой расчета совокупной добавленной стоимости, получаемой на территории индустриального парка, промышленного технопарка или технопарка в сфере высоких технологий, утвержденной </w:t>
      </w:r>
      <w:r>
        <w:rPr>
          <w:rFonts w:eastAsia="Calibri"/>
          <w:sz w:val="28"/>
          <w:szCs w:val="28"/>
          <w:lang w:eastAsia="en-US"/>
        </w:rPr>
        <w:t xml:space="preserve">приказом </w:t>
      </w:r>
      <w:r>
        <w:rPr>
          <w:rFonts w:eastAsia="Calibri"/>
          <w:sz w:val="28"/>
          <w:szCs w:val="28"/>
          <w:lang w:eastAsia="en-US"/>
        </w:rPr>
        <w:t xml:space="preserve">Минфина Рос</w:t>
      </w:r>
      <w:r>
        <w:rPr>
          <w:rFonts w:eastAsia="Calibri"/>
          <w:sz w:val="28"/>
          <w:szCs w:val="28"/>
          <w:lang w:eastAsia="en-US"/>
        </w:rPr>
        <w:t xml:space="preserve">сии от 01.10.2020 № 225н «Об утверждении Методики расчета совокупной добавленной стоимости, получаемой на территории индустриального парка, промышленного технопарка или технопарка в сфере высоких технологий» по согласованию с Федеральной налоговой службой;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реестр резидентов парка (с указанием полного наименования резидента парка, идентификационного номера налогоплательщика, кода причины постановки на учет, даты размещения резидента на территории парка)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копии документов, подтверждающих нахождение на балансе управляющей компании созданного объекта инфраструктуры парка, договоры о технологическом присоединении энергопринимающих устройств к сетям инжене</w:t>
      </w:r>
      <w:r>
        <w:rPr>
          <w:rFonts w:eastAsia="Calibri"/>
          <w:sz w:val="28"/>
          <w:szCs w:val="28"/>
          <w:lang w:eastAsia="en-US"/>
        </w:rPr>
        <w:t xml:space="preserve">рно-технического обеспечения, договоры об осуществлении технологического присоединения к электрическим сетям сетевой организации, договоры о технологическом присоединении (примыкании) к инфраструктуре субъектов естественных монополий, транспортным сетям, к</w:t>
      </w:r>
      <w:r>
        <w:rPr>
          <w:rFonts w:eastAsia="Calibri"/>
          <w:sz w:val="28"/>
          <w:szCs w:val="28"/>
          <w:lang w:eastAsia="en-US"/>
        </w:rPr>
        <w:t xml:space="preserve">опии актов о выполненных работах по таким договорам, а также копии платежных документов, подтверждающих оплату выполненных работ, копии разрешений уполномоченного органа технического надзора на допуск в эксплуатацию энергоустановки (объекта)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 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</w:t>
      </w:r>
      <w:r>
        <w:rPr>
          <w:rFonts w:eastAsia="Calibri"/>
          <w:sz w:val="28"/>
          <w:szCs w:val="28"/>
          <w:lang w:eastAsia="en-US"/>
        </w:rPr>
        <w:t xml:space="preserve">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 копии положительных заключений о проведении государс</w:t>
      </w:r>
      <w:r>
        <w:rPr>
          <w:rFonts w:eastAsia="Calibri"/>
          <w:sz w:val="28"/>
          <w:szCs w:val="28"/>
          <w:lang w:eastAsia="en-US"/>
        </w:rPr>
        <w:t xml:space="preserve">твенной экспертизы проектной документации и проверки достоверности определения сметной стоимости строительства, реконструкции объектов инфраструктуры (по объектам, создание которых регламентируется градостроительным законодательством Российской Федерации);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 копии документов, подтверждающих завершение строит</w:t>
      </w:r>
      <w:r>
        <w:rPr>
          <w:rFonts w:eastAsia="Calibri"/>
          <w:sz w:val="28"/>
          <w:szCs w:val="28"/>
          <w:lang w:eastAsia="en-US"/>
        </w:rPr>
        <w:t xml:space="preserve">ельства (реконструкции) объекта капитального строительства проекта (линейного объекта), а именно актов приемки законченного строительством объекта по типовой межотраслевой форме № КС-11, № КС-14, утвержденной Постановлением Госкомстата России от 30.10.1997</w:t>
      </w:r>
      <w:r>
        <w:rPr>
          <w:rFonts w:eastAsia="Calibri"/>
          <w:sz w:val="28"/>
          <w:szCs w:val="28"/>
          <w:lang w:eastAsia="en-US"/>
        </w:rPr>
        <w:t xml:space="preserve"> № 71а, копии разрешений на ввод в эксплуатацию, выданных соответствующим уполномоченным органом, копии приказов о вводе в эксплуатацию (по объектам, создание которых регламентируется градостроительным законодательством Российской Федерации)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 копии заключений органов государственного строительного надзора (в случае если предусмотрено осуществление гос</w:t>
      </w:r>
      <w:r>
        <w:rPr>
          <w:rFonts w:eastAsia="Calibri"/>
          <w:sz w:val="28"/>
          <w:szCs w:val="28"/>
          <w:lang w:eastAsia="en-US"/>
        </w:rPr>
        <w:t xml:space="preserve">ударственного строительного надзора) о соответствии построенного, реконструированного объекта капитального строительства (объекта проекта создания или увеличения площади парка и объектов инфраструктуры) требованиям технических регламентов и проектной докум</w:t>
      </w:r>
      <w:r>
        <w:rPr>
          <w:rFonts w:eastAsia="Calibri"/>
          <w:sz w:val="28"/>
          <w:szCs w:val="28"/>
          <w:lang w:eastAsia="en-US"/>
        </w:rPr>
        <w:t xml:space="preserve">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</w:t>
      </w:r>
      <w:r>
        <w:rPr>
          <w:rFonts w:eastAsia="Calibri"/>
          <w:sz w:val="28"/>
          <w:szCs w:val="28"/>
          <w:lang w:eastAsia="en-US"/>
        </w:rPr>
        <w:t xml:space="preserve">едусмотренных частью 7 статьи 54 Градостроительного кодекса Российской Федерации), копии разрешений уполномоченного органа технического надзора на допуск к эксплуатации энергоустановки (объекта) (при наличии), копии документов, подтверждающих право организ</w:t>
      </w:r>
      <w:r>
        <w:rPr>
          <w:rFonts w:eastAsia="Calibri"/>
          <w:sz w:val="28"/>
          <w:szCs w:val="28"/>
          <w:lang w:eastAsia="en-US"/>
        </w:rPr>
        <w:t xml:space="preserve">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инфраструктуры парка, проводимых по включенным в сводный сметный расчет стои</w:t>
      </w:r>
      <w:r>
        <w:rPr>
          <w:rFonts w:eastAsia="Calibri"/>
          <w:sz w:val="28"/>
          <w:szCs w:val="28"/>
          <w:lang w:eastAsia="en-US"/>
        </w:rPr>
        <w:t xml:space="preserve">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 копии документов, подтверждающих завершение создания объекта инфраструктуры парка, копи</w:t>
      </w:r>
      <w:r>
        <w:rPr>
          <w:rFonts w:eastAsia="Calibri"/>
          <w:sz w:val="28"/>
          <w:szCs w:val="28"/>
          <w:lang w:eastAsia="en-US"/>
        </w:rPr>
        <w:t xml:space="preserve">и приказов о вводе в эксплуатацию объекта инфраструктуры парка, копии договоров о закупке товаров, работ и услуг, копии договоров подряда, первичные документы, в том числе бухгалтерские, подтверждающие исполнение указанных договоров и их оплату (платежные </w:t>
      </w:r>
      <w:r>
        <w:rPr>
          <w:rFonts w:eastAsia="Calibri"/>
          <w:sz w:val="28"/>
          <w:szCs w:val="28"/>
          <w:lang w:eastAsia="en-US"/>
        </w:rPr>
        <w:t xml:space="preserve">поручения), копии документов, подтверждающих фактические затраты </w:t>
      </w:r>
      <w:r>
        <w:rPr>
          <w:rFonts w:eastAsia="Calibri"/>
          <w:sz w:val="28"/>
          <w:szCs w:val="28"/>
          <w:lang w:eastAsia="en-US"/>
        </w:rPr>
        <w:t xml:space="preserve">управляющей компании, реализующей проект, на создание объекта инфраструктуры парка в части работ, произведенных собственными силами, копии документов, подтверждающих право организации, реализующей проект создания или увеличения площади парка, а также юриди</w:t>
      </w:r>
      <w:r>
        <w:rPr>
          <w:rFonts w:eastAsia="Calibri"/>
          <w:sz w:val="28"/>
          <w:szCs w:val="28"/>
          <w:lang w:eastAsia="en-US"/>
        </w:rPr>
        <w:t xml:space="preserve">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</w:t>
      </w:r>
      <w:r>
        <w:rPr>
          <w:rFonts w:eastAsia="Calibri"/>
          <w:sz w:val="28"/>
          <w:szCs w:val="28"/>
          <w:lang w:eastAsia="en-US"/>
        </w:rPr>
        <w:t xml:space="preserve">ды деятельности, деятельность, для осуществления которой необходимо членство в саморегулируемой организации, и др.) (по объектам, за исключением тех, создание которых регламентируется градостроительным законодательством Российской Федерации)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и) копия кредитного договора (кредитных договоров) с графиком погашения кредита и уплаты процентов по нему, заверенная кредитной организацией в установленном порядке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к) документы, подтверждающие своевременное исполнение управляющей компанией, реализующей проект, графика платежей </w:t>
      </w:r>
      <w:r>
        <w:rPr>
          <w:rFonts w:eastAsia="Calibri"/>
          <w:sz w:val="28"/>
          <w:szCs w:val="28"/>
          <w:lang w:eastAsia="en-US"/>
        </w:rPr>
        <w:t xml:space="preserve">по кредитному договору (справка об отсутствии просроченных платежей по целевому кредиту и остатке ссудной задолженности, выданная кредитной организацией не ранее чем за 1 месяц до дня подачи заявки на финансовое обеспечение затрат (оригинал)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л) документы, подтверждающие осуществление управляющей компанией, реализующей проект, финансирования создания объектов инфраструктуры парка за счет средств кредита (копии платежных поручений) (при наличии);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 отчет об исполнении условий предоставления бюджетных средств, включая информацию о динамике достижения результатов использования субсидии, выполнения календарного плана работ по созданию объектов инфраструктуры парка;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13) обязательство управляющей компании по выполнению плана-графика реализации проекта;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 обязательство МЭР НСО осуществлять проверку документов, представленных управляющей компанией, на соответствие условиям и порядку предоставления субсидий, предусмотренным Правилами;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15) условие о согласовании новых условий соглашения или о расторжении соглашения при недостиже</w:t>
      </w:r>
      <w:r>
        <w:rPr>
          <w:rFonts w:eastAsia="Calibri"/>
          <w:sz w:val="28"/>
          <w:szCs w:val="28"/>
          <w:lang w:eastAsia="en-US"/>
        </w:rPr>
        <w:t xml:space="preserve">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в соглашении;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16) условие о возврате управляющей компанией средств субсидий, включая средства, полученные на основании договоров, заключенных с управляющей компанией, в случае нарушения условий, установленных при предоставлении субсидии, выяв</w:t>
      </w:r>
      <w:r>
        <w:rPr>
          <w:rFonts w:eastAsia="Calibri"/>
          <w:sz w:val="28"/>
          <w:szCs w:val="28"/>
          <w:lang w:eastAsia="en-US"/>
        </w:rPr>
        <w:t xml:space="preserve">ленного в том числе по фактам проверок, проведенных МЭР НСО и органами государственного финансового контроля в соответствии с подпунктом 1 пункта 35, пунктом 37 настоящего Порядка, а также в случае недостижения значений результатов предоставления субсидии;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17) положения о возможности осуществления расходов, источником финансового обеспечения которы</w:t>
      </w:r>
      <w:r>
        <w:rPr>
          <w:rFonts w:eastAsia="Calibri"/>
          <w:sz w:val="28"/>
          <w:szCs w:val="28"/>
          <w:lang w:eastAsia="en-US"/>
        </w:rPr>
        <w:t xml:space="preserve">х является не использованный в отчетном финансовом году остаток субсидии, в случае принятия МЭР НСО по согласованию с министерством финансов и налоговой политики Новосибирской области (далее – МФиНП НСО) решения о наличии потребности в указанных средствах </w:t>
      </w:r>
      <w:r>
        <w:rPr>
          <w:sz w:val="28"/>
          <w:szCs w:val="28"/>
        </w:rPr>
        <w:t xml:space="preserve">или возврате указанных средств при отсутствии в них потребности в порядке и сроки в соответствии с пунктом 39 настоящего Порядка</w:t>
      </w:r>
      <w:r>
        <w:rPr>
          <w:rFonts w:eastAsia="Calibri"/>
          <w:sz w:val="28"/>
          <w:szCs w:val="28"/>
          <w:lang w:eastAsia="en-US"/>
        </w:rPr>
        <w:t xml:space="preserve">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18) иные положения, предусмотренные Бюджетным кодексом Российской Федерации. 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 Копии документов, указанных в подпункте 12 пункта </w:t>
      </w:r>
      <w:r>
        <w:rPr>
          <w:rFonts w:eastAsia="Calibri"/>
          <w:sz w:val="28"/>
          <w:szCs w:val="28"/>
          <w:lang w:eastAsia="en-US"/>
        </w:rPr>
        <w:t xml:space="preserve">25 </w:t>
      </w:r>
      <w:r>
        <w:rPr>
          <w:rFonts w:eastAsia="Calibri"/>
          <w:sz w:val="28"/>
          <w:szCs w:val="28"/>
          <w:lang w:eastAsia="en-US"/>
        </w:rPr>
        <w:t xml:space="preserve">настоящего Порядка, заверяются руководителем управляющей компании парка, реализующей проект, и главным бухгалтером (при наличии), подлинники указанных документов представляются для сверки с представленными копиями.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 В случае неподписания управляющей компанией соглашений, предусмотренных пунктом 22 настоящего Порядка, в пределах срока, указанного в объявлении, она признается уклонившейся от заключения указанных соглашений.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 Субсидии предоставляются ежегодно путем перечисления в безналичной форме МЭР</w:t>
      </w:r>
      <w:r>
        <w:rPr>
          <w:rFonts w:eastAsia="Calibri"/>
          <w:sz w:val="28"/>
          <w:szCs w:val="28"/>
          <w:lang w:eastAsia="en-US"/>
        </w:rPr>
        <w:t xml:space="preserve"> НСО денежных средств на лицевой счет управляющей компании, открытый в территориальном органе Федерального казначейства, по результатам рассмотрения документов в порядке и сроки, предусмотренные соглашениями, предусмотренными пунктом 22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Субсидии предоставляются при условии отсутствия неисполненной обязанно</w:t>
      </w:r>
      <w:r>
        <w:rPr>
          <w:rFonts w:eastAsia="Calibri"/>
          <w:sz w:val="28"/>
          <w:szCs w:val="28"/>
          <w:lang w:eastAsia="en-US"/>
        </w:rPr>
        <w:t xml:space="preserve">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не ранее чем на первое число месяца подачи заявки на предоставление субсидии.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Субсидии подлежат казначейскому сопровождению в соответствии с бюджетным законодательством Российской Федерации.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Объект, финансовое обеспечение затрат н</w:t>
      </w:r>
      <w:r>
        <w:rPr>
          <w:rFonts w:eastAsia="Calibri"/>
          <w:sz w:val="28"/>
          <w:szCs w:val="28"/>
          <w:lang w:eastAsia="en-US"/>
        </w:rPr>
        <w:t xml:space="preserve">а создание, модернизацию и (или) реконструкцию которого планируется за счет субсидии, не может быть отчужден на основании возмездной сделки в течение всего срока реализации проекта, начиная с года начала финансового обеспечения затрат управляющей компании.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29. Финансирование расходов по предоставлению субсидий осуществляется в соответствии с кассовым планом о</w:t>
      </w:r>
      <w:r>
        <w:rPr>
          <w:rFonts w:eastAsia="Calibri"/>
          <w:sz w:val="28"/>
          <w:szCs w:val="28"/>
          <w:lang w:eastAsia="en-US"/>
        </w:rPr>
        <w:t xml:space="preserve">бластного бюджета в пределах бюджетных ассигнований и лимитов бюджетных обязательств, установленных главному распорядителю бюджетных средств – МЭР НСО, на соответствующий финансовый год и плановый период на реализацию мероприятий государственной программы </w:t>
      </w:r>
      <w:r>
        <w:rPr>
          <w:sz w:val="28"/>
          <w:szCs w:val="28"/>
        </w:rPr>
        <w:t xml:space="preserve">Новосибирской области «Стимулирование инвестиционной активности в Новосибирской области», утвержденной </w:t>
      </w:r>
      <w:r>
        <w:rPr>
          <w:bCs/>
          <w:spacing w:val="-2"/>
          <w:sz w:val="28"/>
          <w:szCs w:val="28"/>
        </w:rPr>
        <w:t xml:space="preserve">постановлением </w:t>
      </w:r>
      <w:r>
        <w:rPr>
          <w:bCs/>
          <w:spacing w:val="-2"/>
          <w:sz w:val="28"/>
          <w:szCs w:val="28"/>
        </w:rPr>
        <w:t xml:space="preserve">Правительства Новосибирской области от 01.04.2015 № 126-п</w:t>
      </w:r>
      <w:r>
        <w:rPr>
          <w:rFonts w:eastAsia="Calibri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30. Для получения субсидии на текущий финансовый год управляющая компания не позднее 1 марта текущего года представляет в МЭР НСО: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заявку на предоставление субсидии с указанием запрашиваемого размера субсидии с приложением документов, указанных в подпункте 12 пункта 25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справку п</w:t>
      </w:r>
      <w:r>
        <w:rPr>
          <w:rFonts w:eastAsia="Calibri"/>
          <w:sz w:val="28"/>
          <w:szCs w:val="28"/>
          <w:lang w:eastAsia="en-US"/>
        </w:rPr>
        <w:t xml:space="preserve">о состоянию на первое число месяца, в котором подается заявка на предоставление субсидии, подписанную руководителем управляющей компании, подтверждающую отсутствие просроченной задолженности по возврату в областной бюджет субсидий, бюджетных инвестиций, пр</w:t>
      </w:r>
      <w:r>
        <w:rPr>
          <w:rFonts w:eastAsia="Calibri"/>
          <w:sz w:val="28"/>
          <w:szCs w:val="28"/>
          <w:lang w:eastAsia="en-US"/>
        </w:rPr>
        <w:t xml:space="preserve">едоставленных в том числе в соответствии с иными правовыми актами, и иной просроченной задолженности перед областным бюджетом (в случае если документ не представлен управляющей компанией, МЭР НСО запрашивает его в порядке межведомственного взаимодействия);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справку налогового органа по состоянию не ранее че</w:t>
      </w:r>
      <w:r>
        <w:rPr>
          <w:rFonts w:eastAsia="Calibri"/>
          <w:sz w:val="28"/>
          <w:szCs w:val="28"/>
          <w:lang w:eastAsia="en-US"/>
        </w:rPr>
        <w:t xml:space="preserve">м на первое число месяца, в котором подается заявка на предоставление субсидии,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</w:t>
      </w:r>
      <w:r>
        <w:rPr>
          <w:rFonts w:eastAsia="Calibri"/>
          <w:sz w:val="28"/>
          <w:szCs w:val="28"/>
          <w:lang w:eastAsia="en-US"/>
        </w:rPr>
        <w:t xml:space="preserve"> Федерации о налогах и сборах (указанный документ управляющие компании вправе представить в МЭР НСО по собственной инициативе. В случае если документ не представлен управляющей компанией, МЭР НСО запрашивает его в порядке межведомственного взаимодействия);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пояснительную записку с описанием использования средств управляющей компании на создание, модернизацию и (или) реконструкцию объектов инфраструктуры парка в размере, на основании которого произведен расчет размера субсидии на текущий финансовый год.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31. Решение об отказе в предоставлении субсидии принимается в случае: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несоответствия представленных управляющей компанией документов положениям, предусмотренным пунктами 4, 7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непредставления или представления не в полном объеме документов управляющей компанией, указанных в </w:t>
      </w:r>
      <w:r>
        <w:rPr>
          <w:rFonts w:eastAsia="Calibri"/>
          <w:sz w:val="28"/>
          <w:szCs w:val="28"/>
        </w:rPr>
        <w:t xml:space="preserve">пункте 30 </w:t>
      </w:r>
      <w:r>
        <w:rPr>
          <w:rFonts w:eastAsia="Calibri"/>
          <w:sz w:val="28"/>
          <w:szCs w:val="28"/>
          <w:lang w:eastAsia="en-US"/>
        </w:rPr>
        <w:t xml:space="preserve">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наличия недостоверных сведений в представленных управляющей компанией документах.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32. Результатом предост</w:t>
      </w:r>
      <w:r>
        <w:rPr>
          <w:rFonts w:eastAsia="Calibri"/>
          <w:sz w:val="28"/>
          <w:szCs w:val="28"/>
          <w:lang w:eastAsia="en-US"/>
        </w:rPr>
        <w:t xml:space="preserve">авления субсидии для проекта создания и (или) увеличения площади индустриального (промышленного) парка является реализация проекта с достижением на конец 10-го, 15-го или 20-го года значений показателей, указанных в подпункте 1 пункта 8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33. Резу</w:t>
      </w:r>
      <w:r>
        <w:rPr>
          <w:rFonts w:eastAsia="Calibri"/>
          <w:sz w:val="28"/>
          <w:szCs w:val="28"/>
          <w:lang w:eastAsia="en-US"/>
        </w:rPr>
        <w:t xml:space="preserve">льтатом предоставления субсидии для проекта создания и (или) увеличения площади промышленного технопарка является реализация проекта с достижением на конец 10-го, 15-го и 20-го года значений показателей, указанных в подпункте 2 пункта 8 настоящего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34. Управляющие компании представляют в МЭР НСО не реже 1 раза в квартал: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отчет о достижении значений результатов предоставления субсидий по формам, определенным типовыми формами соглашений, установленными Минфином России, МФиНП НСО, в сроки, установленные соглашениями, предусмотренными пунктом 22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отче</w:t>
      </w:r>
      <w:r>
        <w:rPr>
          <w:rFonts w:eastAsia="Calibri"/>
          <w:sz w:val="28"/>
          <w:szCs w:val="28"/>
          <w:lang w:eastAsia="en-US"/>
        </w:rPr>
        <w:t xml:space="preserve">т о расходах, источником финансового обеспечения которых является субсидия, по формам, определенным типовыми формами соглашений, установленными Минфином России, МФиНП НСО, в сроки, установленные соглашениями, предусмотренными пунктом 22 настоящего Порядка;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отчет об исполнении условий предоставления бюджетных средств, включая информацию о динамике достижения показателей паспорта проекта создания или увеличения площади парка, выполнении календарного плана работ по созданию объектов инфраструктуры парка.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35. МЭР НСО осуществляет: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проведение ежегодных плановых выездных проверок соблюдения требований абзаца четвертого пункта 28 настоящего Порядка в течение всего срока реализации проекта;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36. МЭР НСО, Минфин России (в отношении субсидии из областного бюджета, источником финансового обеспечения которой являются средства федерального бюджета) и МФиНП НСО (в отношении суб</w:t>
      </w:r>
      <w:r>
        <w:rPr>
          <w:rFonts w:eastAsia="Calibri"/>
          <w:sz w:val="28"/>
          <w:szCs w:val="28"/>
          <w:lang w:eastAsia="en-US"/>
        </w:rPr>
        <w:t xml:space="preserve">сидии из областного бюджета, источником финансового обеспечения которой являются средства областного бюджета) проводят мониторинг достижения результатов предоставления субсидии исходя из достижения значений результатов предоставления субсидии, предусмотрен</w:t>
      </w:r>
      <w:r>
        <w:rPr>
          <w:rFonts w:eastAsia="Calibri"/>
          <w:sz w:val="28"/>
          <w:szCs w:val="28"/>
          <w:lang w:eastAsia="en-US"/>
        </w:rPr>
        <w:t xml:space="preserve">ных соглашениями, указанными в пункте 22 настоящего Порядка,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Минфином России.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37. 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38. В случае нарушения управляющей компанией условий, установленных при предоставлении субсидии, выявленных в том числе по фактам проверок, проведенных в соответствии с подпунктом 1 пункта 35, пунктом 37 настоящего Порядка, а </w:t>
      </w:r>
      <w:r>
        <w:rPr>
          <w:rFonts w:eastAsia="Calibri"/>
          <w:sz w:val="28"/>
          <w:szCs w:val="28"/>
          <w:lang w:eastAsia="en-US"/>
        </w:rPr>
        <w:t xml:space="preserve">также в случае недостижения значений результатов предоставления субсидии, объем средств, определенный суммой субсидии, использованный с нарушением, включая средства, полученные на основании договоров, заключенных с управляющей компанией, подлежит возврату.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МЭР НСО в течение 10 рабочих дней со дня обнаружения указанных фактов нарушения направляет управляющей ко</w:t>
      </w:r>
      <w:r>
        <w:rPr>
          <w:rFonts w:eastAsia="Calibri"/>
          <w:sz w:val="28"/>
          <w:szCs w:val="28"/>
          <w:lang w:eastAsia="en-US"/>
        </w:rPr>
        <w:t xml:space="preserve">мпании письменное уведомление об обнаружении нарушений. Управляющая компания обязана вернуть объем средств, определенный суммой субсидии, включая средства, полученные на основании договоров, заключенных с управляющей компанией, использованный с нарушением,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областной бюджет в течение 30 дней со дня получения </w:t>
      </w:r>
      <w:r>
        <w:rPr>
          <w:rFonts w:eastAsia="Calibri"/>
          <w:sz w:val="28"/>
          <w:szCs w:val="28"/>
          <w:lang w:eastAsia="en-US"/>
        </w:rPr>
        <w:t xml:space="preserve">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законодательством Российской Федерации.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39. Управляющей </w:t>
      </w:r>
      <w:r>
        <w:rPr>
          <w:rFonts w:eastAsia="Calibri"/>
          <w:sz w:val="28"/>
          <w:szCs w:val="28"/>
          <w:lang w:eastAsia="en-US"/>
        </w:rPr>
        <w:t xml:space="preserve">компанией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МЭР НСО по согласованию с МФиНП НСО решения о наличии потребности в указанных средствах.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установлении факта отсутствия потребности и отсутствия решения МЭР НСО, п</w:t>
      </w:r>
      <w:r>
        <w:rPr>
          <w:rFonts w:eastAsia="Calibri"/>
          <w:sz w:val="28"/>
          <w:szCs w:val="28"/>
          <w:lang w:eastAsia="en-US"/>
        </w:rPr>
        <w:t xml:space="preserve">ринятого по согласованию с МФиНП НСО, о наличии потребности в не использованных на конец отчетного финансового года остатках субсидии управляющая копания возвращает указанные средства в областной бюджет в течение 30 календарных дней с момента получения пис</w:t>
      </w:r>
      <w:r>
        <w:rPr>
          <w:rFonts w:eastAsia="Calibri"/>
          <w:sz w:val="28"/>
          <w:szCs w:val="28"/>
          <w:lang w:eastAsia="en-US"/>
        </w:rPr>
        <w:t xml:space="preserve">ьменного уведомления МЭР НСО о возврате субсидии в областной бюджет.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spacing w:before="0" w:after="0"/>
        <w:rPr>
          <w:rFonts w:eastAsia="Calibri"/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w="11909" w:h="16834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  <w:t xml:space="preserve">_________</w:t>
      </w:r>
      <w:r/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/>
    </w:p>
    <w:p>
      <w:pPr>
        <w:ind w:left="595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 Порядку и условиям предоставления субсидий из областного бюджета Новосибирской области на ф</w:t>
      </w:r>
      <w:r>
        <w:rPr>
          <w:sz w:val="28"/>
          <w:szCs w:val="28"/>
        </w:rPr>
        <w:t xml:space="preserve">инансовое обеспечение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</w:t>
      </w:r>
      <w:r/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/>
    </w:p>
    <w:p>
      <w:pPr>
        <w:jc w:val="center"/>
        <w:spacing w:before="0" w:after="0"/>
        <w:widowControl w:val="off"/>
        <w:rPr>
          <w:b/>
          <w:szCs w:val="22"/>
        </w:rPr>
      </w:pPr>
      <w:r>
        <w:rPr>
          <w:b/>
          <w:sz w:val="28"/>
          <w:szCs w:val="28"/>
        </w:rPr>
        <w:t xml:space="preserve">на участие в региональном отборе проектов управляющих компаний индустриальных (промышленных) парков, промышленных технопарков частной формы собственн</w:t>
      </w:r>
      <w:r>
        <w:rPr>
          <w:b/>
          <w:sz w:val="28"/>
          <w:szCs w:val="28"/>
        </w:rPr>
        <w:t xml:space="preserve">ости в целях предоставления субсидий из областного бюджета Новосибирской области на финансовое обеспечение таким управляющим компаниям части затрат на создание или увеличение площади территории индустриальных (промышленных) парков, промышленных технопарков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Порядком и условиями </w:t>
      </w:r>
      <w:r>
        <w:rPr>
          <w:sz w:val="28"/>
          <w:szCs w:val="28"/>
        </w:rPr>
        <w:t xml:space="preserve">предоставления субсидий из областного бюджета Новосибирской области на ф</w:t>
      </w:r>
      <w:r>
        <w:rPr>
          <w:sz w:val="28"/>
          <w:szCs w:val="28"/>
        </w:rPr>
        <w:t xml:space="preserve">инансовое обеспечение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</w:t>
      </w:r>
      <w:r>
        <w:rPr>
          <w:rFonts w:eastAsia="Calibri"/>
          <w:sz w:val="28"/>
          <w:szCs w:val="28"/>
          <w:lang w:eastAsia="en-US"/>
        </w:rPr>
        <w:t xml:space="preserve"> (далее – Порядок)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 </w:t>
      </w:r>
      <w:r/>
    </w:p>
    <w:p>
      <w:pPr>
        <w:ind w:firstLine="709"/>
        <w:jc w:val="center"/>
        <w:spacing w:before="0" w:after="0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(наименование управляющей компании)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(далее – участник отбора) в лице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________________________________________________________________</w:t>
      </w:r>
      <w:r/>
    </w:p>
    <w:p>
      <w:pPr>
        <w:ind w:firstLine="709"/>
        <w:jc w:val="center"/>
        <w:spacing w:before="0" w:after="0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(руководитель управляющей компании)</w:t>
      </w:r>
      <w:r/>
    </w:p>
    <w:p>
      <w:pPr>
        <w:ind w:firstLine="709"/>
        <w:jc w:val="center"/>
        <w:spacing w:before="0" w:after="0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сообщает о согласии с условиями Порядка и направляет заявку на участие в региональном отборе проектов создания или увеличения территории </w:t>
      </w:r>
      <w:r>
        <w:rPr>
          <w:sz w:val="28"/>
          <w:szCs w:val="28"/>
        </w:rPr>
        <w:t xml:space="preserve">индустриальных (промышленных) парков, промышленных технопарков</w:t>
      </w:r>
      <w:r>
        <w:rPr>
          <w:rFonts w:eastAsia="Calibri"/>
          <w:sz w:val="28"/>
          <w:szCs w:val="28"/>
          <w:lang w:eastAsia="en-US"/>
        </w:rPr>
        <w:t xml:space="preserve">, реализация которых начата не ранее 2020 года (далее – соответственно проект, парк).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Настоящим участник отбора подтверждает, что по состоянию на «___» ________ 20___ г.: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не имеет просроченной задолженности по возврату </w:t>
      </w:r>
      <w:r>
        <w:rPr>
          <w:sz w:val="28"/>
          <w:szCs w:val="28"/>
        </w:rPr>
        <w:t xml:space="preserve">в областной бюджет Новосибирской области (далее – областной бюджет), из которого планируется предоставление субсидии в соответствии с Порядком, а также иной просроченной (неурегулированной) задолженности по денежным обязательствам перед областным бюджетом;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не находится в процессе реорганизации (за исключением реорганизации в форме присоединения к</w:t>
      </w:r>
      <w:r>
        <w:rPr>
          <w:sz w:val="28"/>
          <w:szCs w:val="28"/>
        </w:rPr>
        <w:t xml:space="preserve">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 не является иностранным юридическим лицом, в том числе местом </w:t>
      </w:r>
      <w:r>
        <w:rPr>
          <w:sz w:val="28"/>
          <w:szCs w:val="28"/>
        </w:rPr>
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</w:t>
      </w:r>
      <w:r>
        <w:rPr>
          <w:sz w:val="28"/>
          <w:szCs w:val="28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sz w:val="28"/>
          <w:szCs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не получает средства из областного бюджета на основании иных нормативных правовых актов на цели, указанные в пункте 1 Порядка.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1. Общие сведения о проекте 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Полное наименование проекта: ____________________________________.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Характеристика проекта: _________________________________________.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 Период реализации проекта: ______________________________________.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Местоположение парка: __________________________________________.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 Общая площадь территории (площадь зданий) парка: 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 Площадь объектов капитального строительства парка: ________________.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 Запрашиваемый размер субсидии из областного бюджета на финансовое обеспечение части затрат управляющей компании на реализацию проекта: _____________________________________________ рублей.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Перечень затрат, источником финансового обеспечения затрат которых являются субсидии из областного бюджета: ______________________________________________________________________.</w:t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2. Сведения об участнике отбора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Полное и сокращенное наименование управляющей компании: ________.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Форма собственности управляющей компании: ______________________.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 Юридический адрес управляющей компании: _______________________.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Руководитель управляющей компании: _____________________________.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 Контактная информация: 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телефон ________________________________________________________;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электронная почта _______________________________________________;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ИНН ___________________________________________________________;</w:t>
      </w:r>
      <w:r/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казначейский счет _______________________________________________.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3. Обоснование необходимости реализации проекта</w:t>
      </w:r>
      <w:r/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Цель реализации проекта: ________________________________________.</w:t>
      </w:r>
      <w:r/>
    </w:p>
    <w:p>
      <w:pPr>
        <w:ind w:firstLine="709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Обоснование необходимости реализации проекта: ___________________.</w:t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Раздел 4. Сводные показатели и ожидаемые результаты реализации проекта</w:t>
      </w:r>
      <w:r/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4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4"/>
        <w:gridCol w:w="3515"/>
        <w:gridCol w:w="1304"/>
        <w:gridCol w:w="1531"/>
        <w:gridCol w:w="1757"/>
      </w:tblGrid>
      <w:tr>
        <w:trPr/>
        <w:tc>
          <w:tcPr>
            <w:tcW w:w="96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Номер строки</w:t>
            </w:r>
            <w:r/>
          </w:p>
        </w:tc>
        <w:tc>
          <w:tcPr>
            <w:tcW w:w="351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Наименование показателя</w:t>
            </w:r>
            <w:r/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Единица измерения</w:t>
            </w:r>
            <w:r/>
          </w:p>
        </w:tc>
        <w:tc>
          <w:tcPr>
            <w:tcW w:w="153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Величина показателя на первое число месяца, в котором подана настоящая заявка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Величина показателя на конец десятого, пятнадцатого или двадцатого года реализации проекта</w:t>
            </w:r>
            <w:r/>
          </w:p>
        </w:tc>
      </w:tr>
      <w:tr>
        <w:trPr/>
        <w:tc>
          <w:tcPr>
            <w:tcW w:w="964" w:type="dxa"/>
            <w:vMerge w:val="continue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3515" w:type="dxa"/>
            <w:vMerge w:val="continue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531" w:type="dxa"/>
            <w:vMerge w:val="continue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год</w:t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2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3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4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5</w:t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Объем внебюджетных инвестиций в основной капитал резидентов парка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2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Количество резидентов парка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единиц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3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Количество созданных резидентами рабочих мест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4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Совокупная добавленная стоимость, получаемая на территории парка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5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Сумма федеральных налогов и таможенных пошлин, уплаченных резидентами парка,</w:t>
            </w:r>
            <w:r/>
          </w:p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из них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6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налоговые платежи в федеральный бюджет, всего</w:t>
            </w:r>
            <w:r/>
          </w:p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в том числе: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7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 на прибыль организаций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8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акцизы на автомобили легковые и мотоциклы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9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 на добавленную стоимость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10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таможенные пошлины в федеральный бюджет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11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налоговые платежи в областной бюджет, всего</w:t>
            </w:r>
            <w:r/>
          </w:p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в том числе: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12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 на имущество организаций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  <w:tr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13</w:t>
            </w:r>
            <w:r/>
          </w:p>
        </w:tc>
        <w:tc>
          <w:tcPr>
            <w:tcW w:w="3515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налог на прибыль организаций</w:t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  <w:t xml:space="preserve">млн рублей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spacing w:before="0" w:after="0"/>
              <w:widowControl w:val="off"/>
              <w:rPr>
                <w:szCs w:val="22"/>
              </w:rPr>
            </w:pPr>
            <w:r>
              <w:rPr>
                <w:szCs w:val="22"/>
              </w:rPr>
            </w:r>
            <w:r/>
          </w:p>
        </w:tc>
      </w:tr>
    </w:tbl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 отбора гарантирует соответствие проекта требованиям, предусмотренным пунктом 7 Порядка.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требованиями Порядка прилагаются документы на ___ л.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 отбора гарантирует достоверность информации, представленной в заявке на участие в отборе.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Участник отбора выражает согласие на публикацию (размещение) </w:t>
      </w:r>
      <w:r>
        <w:rPr>
          <w:sz w:val="28"/>
          <w:szCs w:val="28"/>
        </w:rPr>
        <w:t xml:space="preserve">на едином портале бюджетной системы Российской Федерации и официальном сайте министерства экономического развития Новосибирской области в информационно-телекоммуникационной сети «Интернет» </w:t>
      </w:r>
      <w:r>
        <w:rPr>
          <w:rFonts w:eastAsia="Calibri"/>
          <w:sz w:val="28"/>
          <w:szCs w:val="28"/>
          <w:lang w:eastAsia="en-US"/>
        </w:rPr>
        <w:t xml:space="preserve">информации об участнике отбора, проекте, подаваемой заявке, иной информации, связанной с отбором для предоставления субсидии.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45"/>
        <w:gridCol w:w="466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929"/>
              <w:ind w:firstLine="596"/>
              <w:jc w:val="both"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В случае предоставления субсидии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66" w:type="dxa"/>
            <w:textDirection w:val="lrTb"/>
            <w:noWrap w:val="false"/>
          </w:tcPr>
          <w:p>
            <w:pPr>
              <w:pStyle w:val="929"/>
              <w:ind w:firstLine="709"/>
              <w:jc w:val="both"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929"/>
              <w:ind w:firstLine="709"/>
              <w:jc w:val="both"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666" w:type="dxa"/>
            <w:textDirection w:val="lrTb"/>
            <w:noWrap w:val="false"/>
          </w:tcPr>
          <w:p>
            <w:pPr>
              <w:pStyle w:val="929"/>
              <w:ind w:firstLine="709"/>
              <w:jc w:val="both"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/>
          </w:p>
        </w:tc>
      </w:tr>
    </w:tbl>
    <w:p>
      <w:pPr>
        <w:pStyle w:val="929"/>
        <w:ind w:firstLine="709"/>
        <w:jc w:val="center"/>
        <w:tabs>
          <w:tab w:val="left" w:pos="851" w:leader="none"/>
        </w:tabs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lang w:eastAsia="en-US"/>
        </w:rPr>
        <w:t xml:space="preserve">(наименование управляющей компании индустриального (промышленного) парка)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принимает обязательст</w:t>
      </w:r>
      <w:r>
        <w:rPr>
          <w:rFonts w:eastAsia="Calibri"/>
          <w:sz w:val="28"/>
          <w:szCs w:val="28"/>
          <w:lang w:eastAsia="en-US"/>
        </w:rPr>
        <w:t xml:space="preserve">во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 тайну, министерству экономического развития Новосибирской области по форме, утвержденной </w:t>
      </w:r>
      <w:r>
        <w:rPr>
          <w:rFonts w:eastAsia="Calibri"/>
          <w:sz w:val="28"/>
          <w:szCs w:val="28"/>
          <w:lang w:eastAsia="en-US"/>
        </w:rPr>
        <w:t xml:space="preserve">приказом Федеральной налоговой службы от 14.11.2022 № ЕД-7-19/1085@ «Об утверждении документов, предусмотренных подпунктом 1 пункта 1 и пунктом 2.3 статьи 102 Налогового кодекса Российской Федерации».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«____» _____________ 20___ г.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  ___________   ________________________</w:t>
      </w:r>
      <w:r/>
    </w:p>
    <w:p>
      <w:pPr>
        <w:jc w:val="both"/>
        <w:spacing w:before="0" w:after="0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              (должность руководителя)                       (подпись)                          (расшифровка подписи)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М.П. (при наличии печати)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получения заявления                                           «____» _____________ 20___ г.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(заполняется министерством экономического развития Новосибирской области)</w:t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</w:t>
      </w:r>
      <w:r/>
    </w:p>
    <w:p>
      <w:pPr>
        <w:rPr>
          <w:rFonts w:eastAsia="Calibri"/>
        </w:rPr>
      </w:pPr>
      <w:r>
        <w:rPr>
          <w:rFonts w:eastAsia="Calibri"/>
        </w:rPr>
      </w:r>
      <w:r/>
    </w:p>
    <w:p>
      <w:pPr>
        <w:jc w:val="center"/>
        <w:spacing w:before="0" w:after="0"/>
        <w:rPr>
          <w:rFonts w:eastAsia="Calibri"/>
          <w:sz w:val="28"/>
          <w:szCs w:val="28"/>
          <w:lang w:eastAsia="en-US"/>
        </w:rPr>
        <w:sectPr>
          <w:headerReference w:type="default" r:id="rId10"/>
          <w:headerReference w:type="first" r:id="rId11"/>
          <w:footnotePr/>
          <w:endnotePr/>
          <w:type w:val="nextPage"/>
          <w:pgSz w:w="11907" w:h="16840" w:orient="portrait"/>
          <w:pgMar w:top="1134" w:right="567" w:bottom="1134" w:left="1418" w:header="720" w:footer="72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2</w:t>
      </w:r>
      <w:r/>
    </w:p>
    <w:p>
      <w:pPr>
        <w:ind w:left="5954"/>
        <w:jc w:val="center"/>
        <w:spacing w:before="0" w:after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Порядку и условиям предоставления субсидий из областного бюджета Новосибирской области на ф</w:t>
      </w:r>
      <w:r>
        <w:rPr>
          <w:sz w:val="28"/>
          <w:szCs w:val="28"/>
        </w:rPr>
        <w:t xml:space="preserve">инансовое обеспечение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</w:t>
      </w:r>
      <w:r/>
    </w:p>
    <w:p>
      <w:pPr>
        <w:ind w:firstLine="709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jc w:val="center"/>
        <w:spacing w:before="0"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ПЕРЕЧЕНЬ</w:t>
      </w:r>
      <w:r/>
    </w:p>
    <w:p>
      <w:pPr>
        <w:jc w:val="center"/>
        <w:spacing w:before="0" w:after="0"/>
        <w:widowControl w:val="off"/>
        <w:rPr>
          <w:b/>
        </w:rPr>
      </w:pPr>
      <w:r>
        <w:rPr>
          <w:rFonts w:eastAsia="Calibri"/>
          <w:b/>
          <w:sz w:val="28"/>
          <w:szCs w:val="28"/>
        </w:rPr>
        <w:t xml:space="preserve">документов, представляемых в составе заявки управляющей компании на участие </w:t>
      </w:r>
      <w:r>
        <w:rPr>
          <w:b/>
          <w:sz w:val="28"/>
          <w:szCs w:val="28"/>
        </w:rPr>
        <w:t xml:space="preserve">в региональном отборе проектов управляющих компаний индустриальных (промышленных) парков, промышленных технопарков частной формы собственн</w:t>
      </w:r>
      <w:r>
        <w:rPr>
          <w:b/>
          <w:sz w:val="28"/>
          <w:szCs w:val="28"/>
        </w:rPr>
        <w:t xml:space="preserve">ости в целях предоставления субсидий из областного бюджета Новосибирской области на финансовое обеспечение таким управляющим компаниям части затрат на создание или увеличение площади территории индустриальных (промышленных) парков, промышленных технопарков</w:t>
      </w:r>
      <w:r/>
    </w:p>
    <w:p>
      <w:pPr>
        <w:ind w:firstLine="709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В случае если от имени руководителя управляющей компании индустриального (промышленного) парка, промышленного технопарка (далее соответс</w:t>
      </w:r>
      <w:r>
        <w:rPr>
          <w:rFonts w:eastAsia="Calibri"/>
          <w:sz w:val="28"/>
          <w:szCs w:val="28"/>
        </w:rPr>
        <w:t xml:space="preserve">твенно – управляющая компания, парк) действует иное лицо, представляется копия доверенности на осуществление от имени такого лица соответствующих действий, заверенная его печатью (при наличии печати) и подписанная руководителем или уполномоченным им лицом.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Паспорт проекта создания или увеличения площади парка (далее – проект), подготовленный по форме, установленной Министерством промышленности и торговли Российской Федерации, а также в соответствии с пунктом 8 </w:t>
      </w:r>
      <w:r>
        <w:rPr>
          <w:sz w:val="28"/>
          <w:szCs w:val="28"/>
        </w:rPr>
        <w:t xml:space="preserve">Порядка и условий предоставления субсидий из областного бюджета Новосибирской области на финансовое обеспечение управ</w:t>
      </w:r>
      <w:r>
        <w:rPr>
          <w:sz w:val="28"/>
          <w:szCs w:val="28"/>
        </w:rPr>
        <w:t xml:space="preserve">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 (далее – паспорт проекта).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 Бизнес-план проекта, включающий в себя финансово-экономическую модель (с учетом информации о размере затрат, учтенных при определении цены (тар</w:t>
      </w:r>
      <w:r>
        <w:rPr>
          <w:rFonts w:eastAsia="Calibri"/>
          <w:sz w:val="28"/>
          <w:szCs w:val="28"/>
        </w:rPr>
        <w:t xml:space="preserve">ифа) за технологическое присоединение и (или) пользование инфраструктурой, и размере затрат, учтенных при расчете налога на прибыль в качестве инвестиционного налогового вычета в порядке, определенном статьей 286.1 Налогового кодекса Российской Федерации).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 Мастер-план парка.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 Нотариально заверенные копии учредительных документов управляющей компании с приложениями и изменениями.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 План-график реализации проекта.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 Справка налогового органа по сост</w:t>
      </w:r>
      <w:r>
        <w:rPr>
          <w:rFonts w:eastAsia="Calibri"/>
          <w:sz w:val="28"/>
          <w:szCs w:val="28"/>
        </w:rPr>
        <w:t xml:space="preserve">оянию не ранее чем на первое число месяца, в котором подается заявка на участие в отборе,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>
        <w:rPr>
          <w:rFonts w:eastAsia="Calibri"/>
          <w:sz w:val="28"/>
          <w:szCs w:val="28"/>
        </w:rPr>
        <w:t xml:space="preserve">Российской Федерации о налогах и сборах (в случае если документ не представлен управляющей компанией, министерство экономического развития Новосибирской области (далее – МЭР НСО) запрашивает его в порядке межведомственного взаимодействия). В случае наличия</w:t>
      </w:r>
      <w:r>
        <w:rPr>
          <w:rFonts w:eastAsia="Calibri"/>
          <w:sz w:val="28"/>
          <w:szCs w:val="28"/>
        </w:rPr>
        <w:t xml:space="preserve"> недоимки на первое число месяца и отсутствия данной задолженности на другое число данного месяца, в котором подается заявка, управляющие компании имеют право представить справку налогового органа об отсутствии указанной задолженности по состоянию на дату </w:t>
      </w:r>
      <w:r>
        <w:rPr>
          <w:rFonts w:eastAsia="Calibri"/>
          <w:sz w:val="28"/>
          <w:szCs w:val="28"/>
        </w:rPr>
        <w:t xml:space="preserve">позднее первого числа месяца, в котором подается заявка.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 Документы, заверенные подписью руководителя управляющей компании и печатью (при наличии печати):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копии годовой бухгалтерской (финансовой) отчетности за последние 3 года или за весь период деятел</w:t>
      </w:r>
      <w:r>
        <w:rPr>
          <w:rFonts w:eastAsia="Calibri"/>
          <w:sz w:val="28"/>
          <w:szCs w:val="28"/>
        </w:rPr>
        <w:t xml:space="preserve">ьности управляющей компании (в случае если период деятельности управляющей компании менее 3 лет), а также информация управляющей компании о причинах возникновения убытков (в случае наличия у управляющей компании убытков согласно представленным документам);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справка по состоянию на первое число месяца, в котором подается заявка на участие в отборе, подтверждающая отсутствие просроченной задолженности по возврату в областной бюджет Новосибирской области субсидий, бюджетных инвестиций, предоставленных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в том числе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в соответствии с иными правовыми актами, и иной просроченной задолженности перед областным бюджетом (в случае если документ не представлен управляющей компанией, МЭР НСО запрашивает его в порядке межведомственного взаимодействия);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копии согласий резидентов парка на получение федеральными органами исполнительной власти и исполнитель</w:t>
      </w:r>
      <w:r>
        <w:rPr>
          <w:rFonts w:eastAsia="Calibri"/>
          <w:sz w:val="28"/>
          <w:szCs w:val="28"/>
        </w:rPr>
        <w:t xml:space="preserve">ными органами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проекта, предусмотренный паспортом проекта;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копии документов, подтверждающих планируемое финансовое обеспечение затрат, на которое предоставляется субсидия;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 копии проектно-сметной документации и положительных заключений государственной экспертизы на проектно-сметную документацию объектов инфраструктуры парка.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 xml:space="preserve">9</w:t>
      </w:r>
      <w:r>
        <w:rPr>
          <w:rFonts w:eastAsia="Calibri"/>
          <w:sz w:val="28"/>
          <w:szCs w:val="28"/>
        </w:rPr>
        <w:t xml:space="preserve">. Реестр резидентов парка</w:t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center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_________».</w:t>
      </w:r>
      <w:r/>
    </w:p>
    <w:p>
      <w:r/>
      <w:r/>
    </w:p>
    <w:sectPr>
      <w:headerReference w:type="default" r:id="rId12"/>
      <w:footnotePr/>
      <w:endnotePr/>
      <w:type w:val="nextPage"/>
      <w:pgSz w:w="11907" w:h="16840" w:orient="portrait"/>
      <w:pgMar w:top="1134" w:right="567" w:bottom="1134" w:left="1418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8</w:t>
    </w:r>
    <w:r>
      <w:rPr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3</w:t>
    </w:r>
    <w:r>
      <w:rPr>
        <w:sz w:val="20"/>
      </w:rP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Quote Char"/>
    <w:link w:val="747"/>
    <w:uiPriority w:val="29"/>
    <w:rPr>
      <w:i/>
    </w:rPr>
  </w:style>
  <w:style w:type="character" w:styleId="717">
    <w:name w:val="Intense Quote Char"/>
    <w:link w:val="749"/>
    <w:uiPriority w:val="30"/>
    <w:rPr>
      <w:i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  <w:pPr>
      <w:spacing w:before="100" w:after="100"/>
    </w:pPr>
    <w:rPr>
      <w:sz w:val="24"/>
    </w:rPr>
  </w:style>
  <w:style w:type="paragraph" w:styleId="720">
    <w:name w:val="Heading 1"/>
    <w:basedOn w:val="719"/>
    <w:next w:val="719"/>
    <w:link w:val="90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1">
    <w:name w:val="Heading 2"/>
    <w:basedOn w:val="719"/>
    <w:next w:val="719"/>
    <w:link w:val="902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22">
    <w:name w:val="Heading 3"/>
    <w:basedOn w:val="719"/>
    <w:next w:val="719"/>
    <w:link w:val="903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23">
    <w:name w:val="Heading 4"/>
    <w:basedOn w:val="719"/>
    <w:next w:val="719"/>
    <w:link w:val="904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24">
    <w:name w:val="Heading 5"/>
    <w:basedOn w:val="719"/>
    <w:next w:val="719"/>
    <w:link w:val="905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25">
    <w:name w:val="Heading 6"/>
    <w:basedOn w:val="719"/>
    <w:next w:val="719"/>
    <w:link w:val="906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26">
    <w:name w:val="Heading 7"/>
    <w:basedOn w:val="719"/>
    <w:next w:val="719"/>
    <w:link w:val="907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27">
    <w:name w:val="Heading 8"/>
    <w:basedOn w:val="719"/>
    <w:next w:val="719"/>
    <w:link w:val="908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28">
    <w:name w:val="Heading 9"/>
    <w:basedOn w:val="719"/>
    <w:next w:val="719"/>
    <w:link w:val="909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before="0" w:after="0"/>
    </w:pPr>
    <w:rPr>
      <w:sz w:val="28"/>
      <w:szCs w:val="28"/>
    </w:rPr>
  </w:style>
  <w:style w:type="paragraph" w:styleId="742">
    <w:name w:val="No Spacing"/>
    <w:link w:val="956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43">
    <w:name w:val="Title"/>
    <w:basedOn w:val="719"/>
    <w:link w:val="935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744" w:customStyle="1">
    <w:name w:val="Title Char"/>
    <w:uiPriority w:val="10"/>
    <w:rPr>
      <w:sz w:val="48"/>
      <w:szCs w:val="48"/>
    </w:rPr>
  </w:style>
  <w:style w:type="paragraph" w:styleId="745">
    <w:name w:val="Subtitle"/>
    <w:basedOn w:val="719"/>
    <w:link w:val="963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46" w:customStyle="1">
    <w:name w:val="Subtitle Char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14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1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39"/>
    <w:tblPr/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rPr>
      <w:rFonts w:cs="Times New Roman"/>
      <w:color w:val="0000ff"/>
      <w:u w:val="single"/>
    </w:rPr>
  </w:style>
  <w:style w:type="paragraph" w:styleId="884">
    <w:name w:val="footnote text"/>
    <w:basedOn w:val="719"/>
    <w:link w:val="947"/>
    <w:uiPriority w:val="99"/>
    <w:semiHidden/>
    <w:pPr>
      <w:spacing w:before="0" w:after="0"/>
    </w:pPr>
    <w:rPr>
      <w:sz w:val="20"/>
    </w:rPr>
  </w:style>
  <w:style w:type="character" w:styleId="885" w:customStyle="1">
    <w:name w:val="Footnote Text Char"/>
    <w:uiPriority w:val="99"/>
    <w:rPr>
      <w:sz w:val="18"/>
    </w:rPr>
  </w:style>
  <w:style w:type="character" w:styleId="886">
    <w:name w:val="footnote reference"/>
    <w:uiPriority w:val="99"/>
    <w:semiHidden/>
    <w:rPr>
      <w:rFonts w:cs="Times New Roman"/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  <w:pPr>
      <w:spacing w:after="0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19"/>
    <w:next w:val="719"/>
    <w:uiPriority w:val="99"/>
    <w:unhideWhenUsed/>
    <w:pPr>
      <w:spacing w:after="0"/>
    </w:pPr>
  </w:style>
  <w:style w:type="character" w:styleId="901" w:customStyle="1">
    <w:name w:val="Заголовок 1 Знак"/>
    <w:link w:val="720"/>
    <w:uiPriority w:val="99"/>
    <w:rPr>
      <w:rFonts w:ascii="Cambria" w:hAnsi="Cambria" w:cs="Times New Roman"/>
      <w:b/>
      <w:sz w:val="32"/>
    </w:rPr>
  </w:style>
  <w:style w:type="character" w:styleId="902" w:customStyle="1">
    <w:name w:val="Заголовок 2 Знак"/>
    <w:link w:val="721"/>
    <w:uiPriority w:val="99"/>
    <w:semiHidden/>
    <w:rPr>
      <w:rFonts w:ascii="Cambria" w:hAnsi="Cambria" w:cs="Times New Roman"/>
      <w:b/>
      <w:i/>
      <w:sz w:val="28"/>
    </w:rPr>
  </w:style>
  <w:style w:type="character" w:styleId="903" w:customStyle="1">
    <w:name w:val="Заголовок 3 Знак"/>
    <w:link w:val="722"/>
    <w:uiPriority w:val="99"/>
    <w:semiHidden/>
    <w:rPr>
      <w:rFonts w:ascii="Cambria" w:hAnsi="Cambria" w:cs="Times New Roman"/>
      <w:b/>
      <w:sz w:val="26"/>
    </w:rPr>
  </w:style>
  <w:style w:type="character" w:styleId="904" w:customStyle="1">
    <w:name w:val="Заголовок 4 Знак"/>
    <w:link w:val="723"/>
    <w:uiPriority w:val="99"/>
    <w:semiHidden/>
    <w:rPr>
      <w:rFonts w:ascii="Calibri" w:hAnsi="Calibri" w:cs="Times New Roman"/>
      <w:b/>
      <w:sz w:val="28"/>
    </w:rPr>
  </w:style>
  <w:style w:type="character" w:styleId="905" w:customStyle="1">
    <w:name w:val="Заголовок 5 Знак"/>
    <w:link w:val="724"/>
    <w:uiPriority w:val="99"/>
    <w:semiHidden/>
    <w:rPr>
      <w:rFonts w:ascii="Calibri" w:hAnsi="Calibri" w:cs="Times New Roman"/>
      <w:b/>
      <w:i/>
      <w:sz w:val="26"/>
    </w:rPr>
  </w:style>
  <w:style w:type="character" w:styleId="906" w:customStyle="1">
    <w:name w:val="Заголовок 6 Знак"/>
    <w:link w:val="725"/>
    <w:uiPriority w:val="99"/>
    <w:semiHidden/>
    <w:rPr>
      <w:rFonts w:ascii="Calibri" w:hAnsi="Calibri" w:cs="Times New Roman"/>
      <w:b/>
    </w:rPr>
  </w:style>
  <w:style w:type="character" w:styleId="907" w:customStyle="1">
    <w:name w:val="Заголовок 7 Знак"/>
    <w:link w:val="726"/>
    <w:uiPriority w:val="99"/>
    <w:semiHidden/>
    <w:rPr>
      <w:rFonts w:ascii="Calibri" w:hAnsi="Calibri" w:cs="Times New Roman"/>
      <w:sz w:val="24"/>
    </w:rPr>
  </w:style>
  <w:style w:type="character" w:styleId="908" w:customStyle="1">
    <w:name w:val="Заголовок 8 Знак"/>
    <w:link w:val="727"/>
    <w:uiPriority w:val="99"/>
    <w:semiHidden/>
    <w:rPr>
      <w:rFonts w:ascii="Calibri" w:hAnsi="Calibri" w:cs="Times New Roman"/>
      <w:i/>
      <w:sz w:val="24"/>
    </w:rPr>
  </w:style>
  <w:style w:type="character" w:styleId="909" w:customStyle="1">
    <w:name w:val="Заголовок 9 Знак"/>
    <w:link w:val="728"/>
    <w:uiPriority w:val="99"/>
    <w:semiHidden/>
    <w:rPr>
      <w:rFonts w:ascii="Cambria" w:hAnsi="Cambria" w:cs="Times New Roman"/>
    </w:rPr>
  </w:style>
  <w:style w:type="paragraph" w:styleId="910">
    <w:name w:val="Balloon Text"/>
    <w:basedOn w:val="719"/>
    <w:link w:val="911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link w:val="910"/>
    <w:uiPriority w:val="99"/>
    <w:semiHidden/>
    <w:rPr>
      <w:rFonts w:ascii="Tahoma" w:hAnsi="Tahoma" w:cs="Times New Roman"/>
      <w:sz w:val="16"/>
    </w:rPr>
  </w:style>
  <w:style w:type="paragraph" w:styleId="912">
    <w:name w:val="Body Text"/>
    <w:basedOn w:val="719"/>
    <w:link w:val="913"/>
    <w:uiPriority w:val="99"/>
    <w:pPr>
      <w:jc w:val="both"/>
      <w:spacing w:before="0" w:after="0"/>
    </w:pPr>
    <w:rPr>
      <w:sz w:val="28"/>
      <w:szCs w:val="28"/>
    </w:rPr>
  </w:style>
  <w:style w:type="character" w:styleId="913" w:customStyle="1">
    <w:name w:val="Основной текст Знак"/>
    <w:link w:val="912"/>
    <w:uiPriority w:val="99"/>
    <w:rPr>
      <w:rFonts w:cs="Times New Roman"/>
      <w:sz w:val="20"/>
    </w:rPr>
  </w:style>
  <w:style w:type="character" w:styleId="914" w:customStyle="1">
    <w:name w:val="Верхний колонтитул Знак"/>
    <w:link w:val="751"/>
    <w:uiPriority w:val="99"/>
    <w:rPr>
      <w:rFonts w:cs="Times New Roman"/>
      <w:sz w:val="28"/>
      <w:lang w:val="ru-RU" w:eastAsia="ru-RU"/>
    </w:rPr>
  </w:style>
  <w:style w:type="character" w:styleId="915" w:customStyle="1">
    <w:name w:val="Нижний колонтитул Знак"/>
    <w:link w:val="753"/>
    <w:uiPriority w:val="99"/>
    <w:rPr>
      <w:rFonts w:cs="Times New Roman"/>
      <w:sz w:val="28"/>
      <w:lang w:val="ru-RU" w:eastAsia="ru-RU"/>
    </w:rPr>
  </w:style>
  <w:style w:type="paragraph" w:styleId="916">
    <w:name w:val="Body Text 2"/>
    <w:basedOn w:val="719"/>
    <w:link w:val="917"/>
    <w:uiPriority w:val="99"/>
    <w:pPr>
      <w:jc w:val="center"/>
      <w:spacing w:before="0" w:after="0"/>
    </w:pPr>
    <w:rPr>
      <w:sz w:val="28"/>
      <w:szCs w:val="28"/>
    </w:rPr>
  </w:style>
  <w:style w:type="character" w:styleId="917" w:customStyle="1">
    <w:name w:val="Основной текст 2 Знак"/>
    <w:link w:val="916"/>
    <w:uiPriority w:val="99"/>
    <w:semiHidden/>
    <w:rPr>
      <w:rFonts w:cs="Times New Roman"/>
      <w:sz w:val="20"/>
    </w:rPr>
  </w:style>
  <w:style w:type="paragraph" w:styleId="918">
    <w:name w:val="Body Text Indent 2"/>
    <w:basedOn w:val="719"/>
    <w:link w:val="919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19" w:customStyle="1">
    <w:name w:val="Основной текст с отступом 2 Знак"/>
    <w:link w:val="918"/>
    <w:uiPriority w:val="99"/>
    <w:semiHidden/>
    <w:rPr>
      <w:rFonts w:cs="Times New Roman"/>
      <w:sz w:val="20"/>
    </w:rPr>
  </w:style>
  <w:style w:type="character" w:styleId="920">
    <w:name w:val="page number"/>
    <w:uiPriority w:val="99"/>
    <w:rPr>
      <w:rFonts w:cs="Times New Roman"/>
    </w:rPr>
  </w:style>
  <w:style w:type="paragraph" w:styleId="921">
    <w:name w:val="Body Text Indent 3"/>
    <w:basedOn w:val="719"/>
    <w:link w:val="922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22" w:customStyle="1">
    <w:name w:val="Основной текст с отступом 3 Знак"/>
    <w:link w:val="921"/>
    <w:uiPriority w:val="99"/>
    <w:semiHidden/>
    <w:rPr>
      <w:rFonts w:cs="Times New Roman"/>
      <w:sz w:val="16"/>
    </w:rPr>
  </w:style>
  <w:style w:type="paragraph" w:styleId="923" w:customStyle="1">
    <w:name w:val="ConsNormal"/>
    <w:pPr>
      <w:ind w:firstLine="720"/>
    </w:pPr>
    <w:rPr>
      <w:rFonts w:ascii="Arial" w:hAnsi="Arial" w:cs="Arial"/>
    </w:rPr>
  </w:style>
  <w:style w:type="paragraph" w:styleId="924" w:customStyle="1">
    <w:name w:val="ConsNonformat"/>
    <w:rPr>
      <w:rFonts w:ascii="Courier New" w:hAnsi="Courier New" w:cs="Courier New"/>
    </w:rPr>
  </w:style>
  <w:style w:type="paragraph" w:styleId="925" w:customStyle="1">
    <w:name w:val="ConsTitle"/>
    <w:rPr>
      <w:rFonts w:ascii="Arial" w:hAnsi="Arial" w:cs="Arial"/>
      <w:b/>
      <w:bCs/>
      <w:sz w:val="16"/>
      <w:szCs w:val="16"/>
    </w:rPr>
  </w:style>
  <w:style w:type="paragraph" w:styleId="926">
    <w:name w:val="Body Text 3"/>
    <w:basedOn w:val="719"/>
    <w:link w:val="927"/>
    <w:uiPriority w:val="99"/>
    <w:pPr>
      <w:jc w:val="both"/>
      <w:spacing w:before="0" w:after="0"/>
      <w:widowControl w:val="off"/>
    </w:pPr>
    <w:rPr>
      <w:szCs w:val="24"/>
    </w:rPr>
  </w:style>
  <w:style w:type="character" w:styleId="927" w:customStyle="1">
    <w:name w:val="Основной текст 3 Знак"/>
    <w:link w:val="926"/>
    <w:uiPriority w:val="99"/>
    <w:semiHidden/>
    <w:rPr>
      <w:rFonts w:cs="Times New Roman"/>
      <w:sz w:val="16"/>
    </w:rPr>
  </w:style>
  <w:style w:type="paragraph" w:styleId="928" w:customStyle="1">
    <w:name w:val="Заголовок4"/>
    <w:basedOn w:val="720"/>
    <w:next w:val="724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29" w:customStyle="1">
    <w:name w:val="ConsPlusNormal"/>
    <w:link w:val="930"/>
    <w:qFormat/>
    <w:pPr>
      <w:ind w:firstLine="720"/>
      <w:widowControl w:val="off"/>
    </w:pPr>
    <w:rPr>
      <w:rFonts w:ascii="Arial" w:hAnsi="Arial" w:cs="Arial"/>
    </w:rPr>
  </w:style>
  <w:style w:type="character" w:styleId="930" w:customStyle="1">
    <w:name w:val="ConsPlusNormal Знак"/>
    <w:link w:val="929"/>
    <w:rPr>
      <w:rFonts w:ascii="Arial" w:hAnsi="Arial" w:cs="Arial"/>
    </w:rPr>
  </w:style>
  <w:style w:type="paragraph" w:styleId="93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3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33" w:customStyle="1">
    <w:name w:val="Обычный (веб);Обычный (Web)1;Обычный (Web)"/>
    <w:basedOn w:val="719"/>
    <w:link w:val="1006"/>
    <w:pPr>
      <w:spacing w:beforeAutospacing="1" w:afterAutospacing="1"/>
    </w:pPr>
    <w:rPr>
      <w:color w:val="000000"/>
      <w:szCs w:val="24"/>
    </w:rPr>
  </w:style>
  <w:style w:type="paragraph" w:styleId="934" w:customStyle="1">
    <w:name w:val="ConsPlusTitle"/>
    <w:rPr>
      <w:b/>
      <w:bCs/>
      <w:sz w:val="28"/>
      <w:szCs w:val="28"/>
    </w:rPr>
  </w:style>
  <w:style w:type="character" w:styleId="935" w:customStyle="1">
    <w:name w:val="Название Знак"/>
    <w:link w:val="743"/>
    <w:uiPriority w:val="10"/>
    <w:rPr>
      <w:rFonts w:ascii="Cambria" w:hAnsi="Cambria" w:cs="Times New Roman"/>
      <w:b/>
      <w:sz w:val="32"/>
    </w:rPr>
  </w:style>
  <w:style w:type="paragraph" w:styleId="936" w:customStyle="1">
    <w:name w:val="Термин"/>
    <w:basedOn w:val="719"/>
    <w:next w:val="719"/>
    <w:uiPriority w:val="99"/>
    <w:pPr>
      <w:spacing w:before="0" w:after="0"/>
    </w:pPr>
    <w:rPr>
      <w:szCs w:val="24"/>
      <w:lang w:val="pl-PL"/>
    </w:rPr>
  </w:style>
  <w:style w:type="paragraph" w:styleId="937" w:customStyle="1">
    <w:name w:val="H1"/>
    <w:basedOn w:val="719"/>
    <w:next w:val="719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38" w:customStyle="1">
    <w:name w:val="Список определений"/>
    <w:basedOn w:val="719"/>
    <w:next w:val="936"/>
    <w:uiPriority w:val="99"/>
    <w:pPr>
      <w:ind w:left="360"/>
      <w:spacing w:before="0" w:after="0"/>
    </w:pPr>
    <w:rPr>
      <w:szCs w:val="24"/>
      <w:lang w:val="pl-PL"/>
    </w:rPr>
  </w:style>
  <w:style w:type="paragraph" w:styleId="939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40" w:customStyle="1">
    <w:name w:val="Preformat"/>
    <w:uiPriority w:val="99"/>
    <w:rPr>
      <w:rFonts w:ascii="Courier New" w:hAnsi="Courier New" w:cs="Courier New"/>
    </w:rPr>
  </w:style>
  <w:style w:type="paragraph" w:styleId="941">
    <w:name w:val="Block Text"/>
    <w:basedOn w:val="719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42" w:customStyle="1">
    <w:name w:val="Цветовое выделение"/>
    <w:uiPriority w:val="99"/>
    <w:rPr>
      <w:b/>
      <w:color w:val="000080"/>
      <w:sz w:val="20"/>
    </w:rPr>
  </w:style>
  <w:style w:type="character" w:styleId="943" w:customStyle="1">
    <w:name w:val="Не вступил в силу"/>
    <w:uiPriority w:val="99"/>
    <w:rPr>
      <w:color w:val="008080"/>
      <w:sz w:val="20"/>
    </w:rPr>
  </w:style>
  <w:style w:type="paragraph" w:styleId="944" w:customStyle="1">
    <w:name w:val="Таблицы (моноширинный)"/>
    <w:basedOn w:val="719"/>
    <w:next w:val="719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45">
    <w:name w:val="Plain Text"/>
    <w:basedOn w:val="719"/>
    <w:link w:val="94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46" w:customStyle="1">
    <w:name w:val="Текст Знак"/>
    <w:link w:val="945"/>
    <w:uiPriority w:val="99"/>
    <w:rPr>
      <w:rFonts w:ascii="Courier New" w:hAnsi="Courier New" w:cs="Times New Roman"/>
      <w:sz w:val="20"/>
    </w:rPr>
  </w:style>
  <w:style w:type="character" w:styleId="947" w:customStyle="1">
    <w:name w:val="Текст сноски Знак"/>
    <w:link w:val="884"/>
    <w:uiPriority w:val="99"/>
    <w:semiHidden/>
    <w:rPr>
      <w:rFonts w:cs="Times New Roman"/>
      <w:sz w:val="20"/>
    </w:rPr>
  </w:style>
  <w:style w:type="paragraph" w:styleId="948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49" w:customStyle="1">
    <w:name w:val="Основной шрифт абзаца1"/>
    <w:uiPriority w:val="99"/>
    <w:rPr>
      <w:sz w:val="20"/>
    </w:rPr>
  </w:style>
  <w:style w:type="paragraph" w:styleId="950" w:customStyle="1">
    <w:name w:val="Îñíîâíîé òåêñò"/>
    <w:basedOn w:val="951"/>
    <w:uiPriority w:val="99"/>
    <w:rPr>
      <w:sz w:val="28"/>
      <w:szCs w:val="28"/>
    </w:rPr>
  </w:style>
  <w:style w:type="paragraph" w:styleId="951" w:customStyle="1">
    <w:name w:val="Îáû÷íûé"/>
    <w:uiPriority w:val="99"/>
    <w:rPr>
      <w:lang w:eastAsia="ar-SA"/>
    </w:rPr>
  </w:style>
  <w:style w:type="character" w:styleId="95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53">
    <w:name w:val="Body Text Indent"/>
    <w:basedOn w:val="719"/>
    <w:link w:val="954"/>
    <w:uiPriority w:val="99"/>
    <w:pPr>
      <w:ind w:left="283"/>
      <w:spacing w:before="0" w:after="120"/>
    </w:pPr>
    <w:rPr>
      <w:sz w:val="28"/>
      <w:szCs w:val="28"/>
    </w:rPr>
  </w:style>
  <w:style w:type="character" w:styleId="954" w:customStyle="1">
    <w:name w:val="Основной текст с отступом Знак"/>
    <w:link w:val="953"/>
    <w:uiPriority w:val="99"/>
    <w:semiHidden/>
    <w:rPr>
      <w:rFonts w:cs="Times New Roman"/>
      <w:sz w:val="20"/>
    </w:rPr>
  </w:style>
  <w:style w:type="paragraph" w:styleId="955" w:customStyle="1">
    <w:name w:val="Прижатый влево"/>
    <w:basedOn w:val="719"/>
    <w:next w:val="719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character" w:styleId="956" w:customStyle="1">
    <w:name w:val="Без интервала Знак"/>
    <w:link w:val="742"/>
    <w:uiPriority w:val="1"/>
    <w:rPr>
      <w:rFonts w:ascii="Arial" w:hAnsi="Arial" w:cs="Arial"/>
    </w:rPr>
  </w:style>
  <w:style w:type="paragraph" w:styleId="957" w:customStyle="1">
    <w:name w:val="заголовок 1"/>
    <w:basedOn w:val="719"/>
    <w:next w:val="719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58" w:customStyle="1">
    <w:name w:val="Кому"/>
    <w:basedOn w:val="719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59" w:customStyle="1">
    <w:name w:val="заголовок 2"/>
    <w:basedOn w:val="719"/>
    <w:next w:val="719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60" w:customStyle="1">
    <w:name w:val="Цитаты"/>
    <w:basedOn w:val="719"/>
    <w:uiPriority w:val="99"/>
    <w:pPr>
      <w:ind w:left="360" w:right="360"/>
    </w:pPr>
    <w:rPr>
      <w:szCs w:val="24"/>
    </w:rPr>
  </w:style>
  <w:style w:type="paragraph" w:styleId="961" w:customStyle="1">
    <w:name w:val="заголовок 3"/>
    <w:basedOn w:val="719"/>
    <w:next w:val="719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62">
    <w:name w:val="Strong"/>
    <w:uiPriority w:val="22"/>
    <w:qFormat/>
    <w:rPr>
      <w:rFonts w:cs="Times New Roman"/>
      <w:b/>
    </w:rPr>
  </w:style>
  <w:style w:type="character" w:styleId="963" w:customStyle="1">
    <w:name w:val="Подзаголовок Знак"/>
    <w:link w:val="745"/>
    <w:uiPriority w:val="99"/>
    <w:rPr>
      <w:rFonts w:ascii="Cambria" w:hAnsi="Cambria" w:cs="Times New Roman"/>
      <w:sz w:val="24"/>
    </w:rPr>
  </w:style>
  <w:style w:type="paragraph" w:styleId="964" w:customStyle="1">
    <w:name w:val="заголовок 6"/>
    <w:basedOn w:val="719"/>
    <w:next w:val="719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65" w:customStyle="1">
    <w:name w:val="Гиперссылка1"/>
    <w:uiPriority w:val="99"/>
    <w:rPr>
      <w:color w:val="0000ff"/>
      <w:u w:val="none"/>
    </w:rPr>
  </w:style>
  <w:style w:type="paragraph" w:styleId="966">
    <w:name w:val="envelope return"/>
    <w:basedOn w:val="719"/>
    <w:uiPriority w:val="99"/>
    <w:pPr>
      <w:ind w:right="57"/>
      <w:jc w:val="both"/>
      <w:spacing w:before="0" w:after="0"/>
    </w:pPr>
    <w:rPr>
      <w:szCs w:val="24"/>
    </w:rPr>
  </w:style>
  <w:style w:type="character" w:styleId="967" w:customStyle="1">
    <w:name w:val="text11"/>
    <w:uiPriority w:val="99"/>
    <w:rPr>
      <w:rFonts w:ascii="Arial" w:hAnsi="Arial"/>
      <w:color w:val="000000"/>
      <w:sz w:val="20"/>
    </w:rPr>
  </w:style>
  <w:style w:type="paragraph" w:styleId="968" w:customStyle="1">
    <w:name w:val="заголовок 5"/>
    <w:basedOn w:val="719"/>
    <w:next w:val="719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69" w:customStyle="1">
    <w:name w:val="Знак Знак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0" w:customStyle="1">
    <w:name w:val="Знак Знак Знак Знак Знак Знак Знак Знак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 w:customStyle="1">
    <w:name w:val="Об"/>
    <w:uiPriority w:val="99"/>
    <w:pPr>
      <w:widowControl w:val="off"/>
    </w:pPr>
  </w:style>
  <w:style w:type="paragraph" w:styleId="972" w:customStyle="1">
    <w:name w:val="Прикольный"/>
    <w:basedOn w:val="971"/>
    <w:uiPriority w:val="99"/>
  </w:style>
  <w:style w:type="paragraph" w:styleId="973" w:customStyle="1">
    <w:name w:val="Знак Знак Знак Знак1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 w:customStyle="1">
    <w:name w:val="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5" w:customStyle="1">
    <w:name w:val="Знак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6" w:customStyle="1">
    <w:name w:val="Знак Знак Знак Знак2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7" w:customStyle="1">
    <w:name w:val="Знак Знак Знак Знак1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8" w:customStyle="1">
    <w:name w:val="Знак1 Знак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9" w:customStyle="1">
    <w:name w:val="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0" w:customStyle="1">
    <w:name w:val="Знак Знак Знак Знак1 Знак Знак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1" w:customStyle="1">
    <w:name w:val="Знак Знак Знак1 Знак"/>
    <w:basedOn w:val="719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8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83" w:customStyle="1">
    <w:name w:val="????????"/>
    <w:basedOn w:val="719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8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85" w:customStyle="1">
    <w:name w:val="Основной текст (4)"/>
    <w:link w:val="986"/>
    <w:uiPriority w:val="99"/>
    <w:rPr>
      <w:b/>
      <w:sz w:val="18"/>
    </w:rPr>
  </w:style>
  <w:style w:type="paragraph" w:styleId="986" w:customStyle="1">
    <w:name w:val="Основной текст (4)1"/>
    <w:basedOn w:val="719"/>
    <w:link w:val="985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7" w:customStyle="1">
    <w:name w:val="Основной текст (3)"/>
    <w:link w:val="988"/>
    <w:uiPriority w:val="99"/>
    <w:rPr>
      <w:sz w:val="28"/>
    </w:rPr>
  </w:style>
  <w:style w:type="paragraph" w:styleId="988" w:customStyle="1">
    <w:name w:val="Основной текст (3)1"/>
    <w:basedOn w:val="719"/>
    <w:link w:val="98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9" w:customStyle="1">
    <w:name w:val="Текст (лев. подпись)"/>
    <w:basedOn w:val="719"/>
    <w:next w:val="719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90" w:customStyle="1">
    <w:name w:val="Текст (прав. подпись)"/>
    <w:basedOn w:val="719"/>
    <w:next w:val="719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91" w:customStyle="1">
    <w:name w:val="Font Style12"/>
    <w:rPr>
      <w:rFonts w:ascii="Times New Roman" w:hAnsi="Times New Roman"/>
      <w:sz w:val="18"/>
    </w:rPr>
  </w:style>
  <w:style w:type="character" w:styleId="992" w:customStyle="1">
    <w:name w:val="Body text (8)_"/>
    <w:link w:val="993"/>
    <w:rPr>
      <w:b/>
      <w:sz w:val="26"/>
      <w:shd w:val="clear" w:color="auto" w:fill="ffffff"/>
    </w:rPr>
  </w:style>
  <w:style w:type="paragraph" w:styleId="993" w:customStyle="1">
    <w:name w:val="Body text (8)"/>
    <w:basedOn w:val="719"/>
    <w:link w:val="992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994" w:customStyle="1">
    <w:name w:val="обычный"/>
    <w:basedOn w:val="719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995" w:customStyle="1">
    <w:name w:val="Верхний колонтитул1"/>
    <w:basedOn w:val="719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character" w:styleId="996" w:customStyle="1">
    <w:name w:val="Текст примечания Знак"/>
    <w:link w:val="997"/>
    <w:uiPriority w:val="99"/>
    <w:rPr>
      <w:rFonts w:ascii="Calibri" w:hAnsi="Calibri" w:eastAsia="Calibri"/>
      <w:lang w:eastAsia="en-US"/>
    </w:rPr>
  </w:style>
  <w:style w:type="paragraph" w:styleId="997">
    <w:name w:val="annotation text"/>
    <w:basedOn w:val="719"/>
    <w:link w:val="996"/>
    <w:uiPriority w:val="99"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998" w:customStyle="1">
    <w:name w:val="Тема примечания Знак"/>
    <w:link w:val="999"/>
    <w:uiPriority w:val="99"/>
    <w:semiHidden/>
    <w:rPr>
      <w:rFonts w:ascii="Calibri" w:hAnsi="Calibri" w:eastAsia="Calibri"/>
      <w:b/>
      <w:bCs/>
      <w:lang w:eastAsia="en-US"/>
    </w:rPr>
  </w:style>
  <w:style w:type="paragraph" w:styleId="999">
    <w:name w:val="annotation subject"/>
    <w:basedOn w:val="997"/>
    <w:next w:val="997"/>
    <w:link w:val="998"/>
    <w:uiPriority w:val="99"/>
    <w:semiHidden/>
    <w:unhideWhenUsed/>
    <w:rPr>
      <w:b/>
      <w:bCs/>
    </w:rPr>
  </w:style>
  <w:style w:type="character" w:styleId="1000" w:customStyle="1">
    <w:name w:val="Основной текст_"/>
    <w:link w:val="1001"/>
    <w:rPr>
      <w:sz w:val="28"/>
      <w:szCs w:val="28"/>
      <w:shd w:val="clear" w:color="auto" w:fill="ffffff"/>
    </w:rPr>
  </w:style>
  <w:style w:type="paragraph" w:styleId="1001" w:customStyle="1">
    <w:name w:val="Основной текст2"/>
    <w:basedOn w:val="719"/>
    <w:link w:val="1000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1002" w:customStyle="1">
    <w:name w:val="номер страницы"/>
    <w:uiPriority w:val="99"/>
    <w:rPr>
      <w:rFonts w:ascii="Times New Roman" w:hAnsi="Times New Roman" w:cs="Times New Roman"/>
    </w:rPr>
  </w:style>
  <w:style w:type="character" w:styleId="1003" w:customStyle="1">
    <w:name w:val="Текст примечания Знак1"/>
    <w:uiPriority w:val="99"/>
    <w:semiHidden/>
  </w:style>
  <w:style w:type="paragraph" w:styleId="1004" w:customStyle="1">
    <w:name w:val="Standard"/>
    <w:uiPriority w:val="99"/>
    <w:rPr>
      <w:rFonts w:eastAsia="SimSun"/>
      <w:sz w:val="24"/>
      <w:szCs w:val="24"/>
      <w:lang w:bidi="hi-IN"/>
    </w:rPr>
  </w:style>
  <w:style w:type="paragraph" w:styleId="1005" w:customStyle="1">
    <w:name w:val="ConsPlusTitlePage"/>
    <w:pPr>
      <w:widowControl w:val="off"/>
    </w:pPr>
    <w:rPr>
      <w:rFonts w:ascii="Tahoma" w:hAnsi="Tahoma" w:cs="Tahoma"/>
    </w:rPr>
  </w:style>
  <w:style w:type="character" w:styleId="1006" w:customStyle="1">
    <w:name w:val="Обычный (веб) Знак;Обычный (Web)1 Знак;Обычный (Web) Знак"/>
    <w:link w:val="933"/>
    <w:uiPriority w:val="99"/>
    <w:rPr>
      <w:color w:val="000000"/>
      <w:sz w:val="24"/>
      <w:szCs w:val="24"/>
    </w:rPr>
  </w:style>
  <w:style w:type="character" w:styleId="1007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355</cp:revision>
  <dcterms:created xsi:type="dcterms:W3CDTF">2022-07-08T05:33:00Z</dcterms:created>
  <dcterms:modified xsi:type="dcterms:W3CDTF">2023-08-16T03:21:07Z</dcterms:modified>
  <cp:version>1048576</cp:version>
</cp:coreProperties>
</file>