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16" w:rsidRPr="00745D16" w:rsidRDefault="00745D16" w:rsidP="00745D16">
      <w:pPr>
        <w:pStyle w:val="ConsPlusNormal"/>
        <w:contextualSpacing/>
        <w:jc w:val="center"/>
        <w:rPr>
          <w:sz w:val="24"/>
          <w:szCs w:val="28"/>
        </w:rPr>
      </w:pPr>
      <w:r w:rsidRPr="00745D16">
        <w:rPr>
          <w:sz w:val="24"/>
          <w:szCs w:val="28"/>
        </w:rPr>
        <w:t>Уведомление</w:t>
      </w:r>
    </w:p>
    <w:p w:rsidR="00CF3A67" w:rsidRDefault="00745D16" w:rsidP="00745D16">
      <w:pPr>
        <w:pStyle w:val="ConsPlusNormal"/>
        <w:contextualSpacing/>
        <w:jc w:val="center"/>
        <w:rPr>
          <w:sz w:val="24"/>
          <w:szCs w:val="28"/>
        </w:rPr>
      </w:pPr>
      <w:r w:rsidRPr="00745D16">
        <w:rPr>
          <w:sz w:val="24"/>
          <w:szCs w:val="28"/>
        </w:rPr>
        <w:t xml:space="preserve">о необходимости разработки проекта </w:t>
      </w:r>
      <w:r w:rsidR="00CD0E98">
        <w:rPr>
          <w:sz w:val="24"/>
          <w:szCs w:val="28"/>
        </w:rPr>
        <w:t>З</w:t>
      </w:r>
      <w:r w:rsidR="00CF3A67">
        <w:rPr>
          <w:sz w:val="24"/>
          <w:szCs w:val="28"/>
        </w:rPr>
        <w:t>акона</w:t>
      </w:r>
      <w:r w:rsidRPr="00745D16">
        <w:rPr>
          <w:sz w:val="24"/>
          <w:szCs w:val="28"/>
        </w:rPr>
        <w:t xml:space="preserve"> Новосибирс</w:t>
      </w:r>
      <w:r w:rsidR="00CF3A67">
        <w:rPr>
          <w:sz w:val="24"/>
          <w:szCs w:val="28"/>
        </w:rPr>
        <w:t xml:space="preserve">кой области </w:t>
      </w:r>
    </w:p>
    <w:p w:rsidR="00CF3A67" w:rsidRDefault="00CF3A67" w:rsidP="00745D16">
      <w:pPr>
        <w:pStyle w:val="ConsPlusNormal"/>
        <w:contextualSpacing/>
        <w:jc w:val="center"/>
        <w:rPr>
          <w:sz w:val="24"/>
          <w:szCs w:val="28"/>
        </w:rPr>
      </w:pPr>
      <w:r>
        <w:rPr>
          <w:sz w:val="24"/>
          <w:szCs w:val="28"/>
        </w:rPr>
        <w:t xml:space="preserve">«О внесении изменения в статью 1 Закона Новосибирской области </w:t>
      </w:r>
    </w:p>
    <w:p w:rsidR="00CF3A67" w:rsidRDefault="00CF3A67" w:rsidP="00745D16">
      <w:pPr>
        <w:pStyle w:val="ConsPlusNormal"/>
        <w:contextualSpacing/>
        <w:jc w:val="center"/>
        <w:rPr>
          <w:sz w:val="24"/>
          <w:szCs w:val="28"/>
        </w:rPr>
      </w:pPr>
      <w:r>
        <w:rPr>
          <w:sz w:val="24"/>
          <w:szCs w:val="28"/>
        </w:rPr>
        <w:t xml:space="preserve">«Об установлении критериев, которым должны соответствовать объекты </w:t>
      </w:r>
    </w:p>
    <w:p w:rsidR="00CF3A67" w:rsidRDefault="00CF3A67" w:rsidP="00745D16">
      <w:pPr>
        <w:pStyle w:val="ConsPlusNormal"/>
        <w:contextualSpacing/>
        <w:jc w:val="center"/>
        <w:rPr>
          <w:sz w:val="24"/>
          <w:szCs w:val="28"/>
        </w:rPr>
      </w:pPr>
      <w:r>
        <w:rPr>
          <w:sz w:val="24"/>
          <w:szCs w:val="28"/>
        </w:rPr>
        <w:t xml:space="preserve">социально-культурного и коммунально-бытового назначения, </w:t>
      </w:r>
    </w:p>
    <w:p w:rsidR="00CF3A67" w:rsidRDefault="00CF3A67" w:rsidP="00745D16">
      <w:pPr>
        <w:pStyle w:val="ConsPlusNormal"/>
        <w:contextualSpacing/>
        <w:jc w:val="center"/>
        <w:rPr>
          <w:sz w:val="24"/>
          <w:szCs w:val="28"/>
        </w:rPr>
      </w:pPr>
      <w:r>
        <w:rPr>
          <w:sz w:val="24"/>
          <w:szCs w:val="28"/>
        </w:rPr>
        <w:t xml:space="preserve">масштабные инвестиционные проекты, для размещения (реализации) которых </w:t>
      </w:r>
    </w:p>
    <w:p w:rsidR="00745D16" w:rsidRPr="00745D16" w:rsidRDefault="00CF3A67" w:rsidP="00745D16">
      <w:pPr>
        <w:pStyle w:val="ConsPlusNormal"/>
        <w:contextualSpacing/>
        <w:jc w:val="center"/>
        <w:rPr>
          <w:sz w:val="24"/>
          <w:szCs w:val="28"/>
        </w:rPr>
      </w:pPr>
      <w:r>
        <w:rPr>
          <w:sz w:val="24"/>
          <w:szCs w:val="28"/>
        </w:rPr>
        <w:t>предоставляются земельные участки в аренду без проведения торгов»</w:t>
      </w:r>
    </w:p>
    <w:p w:rsidR="00745D16" w:rsidRPr="00745D16" w:rsidRDefault="00745D16" w:rsidP="00745D16">
      <w:pPr>
        <w:pStyle w:val="ConsPlusNormal"/>
        <w:contextualSpacing/>
        <w:jc w:val="both"/>
        <w:rPr>
          <w:sz w:val="24"/>
          <w:szCs w:val="28"/>
        </w:rPr>
      </w:pPr>
    </w:p>
    <w:p w:rsidR="00745D16" w:rsidRPr="00745D16" w:rsidRDefault="00745D16" w:rsidP="00745D16">
      <w:pPr>
        <w:pStyle w:val="ConsPlusNormal"/>
        <w:contextualSpacing/>
        <w:jc w:val="both"/>
        <w:rPr>
          <w:sz w:val="24"/>
          <w:szCs w:val="28"/>
        </w:rPr>
      </w:pPr>
      <w:r w:rsidRPr="00745D16">
        <w:rPr>
          <w:sz w:val="24"/>
          <w:szCs w:val="28"/>
        </w:rPr>
        <w:t>1. Наименование разработчика: министерство экономического развития Новосибирской области.</w:t>
      </w:r>
    </w:p>
    <w:p w:rsidR="00745D16" w:rsidRPr="00745D16" w:rsidRDefault="00745D16" w:rsidP="00745D16">
      <w:pPr>
        <w:pStyle w:val="ConsPlusNormal"/>
        <w:contextualSpacing/>
        <w:jc w:val="both"/>
        <w:rPr>
          <w:sz w:val="24"/>
          <w:szCs w:val="28"/>
        </w:rPr>
      </w:pPr>
      <w:r w:rsidRPr="00745D16">
        <w:rPr>
          <w:sz w:val="24"/>
          <w:szCs w:val="28"/>
        </w:rPr>
        <w:t>Контактное лицо, телефон: Александрова Кристина Германовна, 8 (383) 238 67 79.</w:t>
      </w:r>
    </w:p>
    <w:p w:rsidR="00745D16" w:rsidRDefault="00745D16" w:rsidP="00745D16">
      <w:pPr>
        <w:pStyle w:val="ConsPlusNormal"/>
        <w:contextualSpacing/>
        <w:jc w:val="both"/>
        <w:rPr>
          <w:sz w:val="24"/>
          <w:szCs w:val="28"/>
        </w:rPr>
      </w:pPr>
    </w:p>
    <w:p w:rsidR="00745D16" w:rsidRPr="00745D16" w:rsidRDefault="00745D16" w:rsidP="00745D16">
      <w:pPr>
        <w:pStyle w:val="ConsPlusNormal"/>
        <w:contextualSpacing/>
        <w:jc w:val="both"/>
        <w:rPr>
          <w:sz w:val="24"/>
          <w:szCs w:val="28"/>
        </w:rPr>
      </w:pPr>
      <w:r w:rsidRPr="00745D16">
        <w:rPr>
          <w:sz w:val="24"/>
          <w:szCs w:val="28"/>
        </w:rPr>
        <w:t>2.</w:t>
      </w:r>
      <w:r>
        <w:rPr>
          <w:sz w:val="24"/>
          <w:szCs w:val="28"/>
        </w:rPr>
        <w:t> </w:t>
      </w:r>
      <w:r w:rsidRPr="00745D16">
        <w:rPr>
          <w:sz w:val="24"/>
          <w:szCs w:val="28"/>
        </w:rPr>
        <w:t>Описание проблем, для решения которых разработчик намерен разработать проект акта, и их негативные эффекты (последствия):</w:t>
      </w:r>
    </w:p>
    <w:p w:rsidR="00745D16" w:rsidRPr="00745D16" w:rsidRDefault="00745D16" w:rsidP="00745D16">
      <w:pPr>
        <w:pStyle w:val="ConsPlusNormal"/>
        <w:contextualSpacing/>
        <w:jc w:val="both"/>
        <w:rPr>
          <w:sz w:val="24"/>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251"/>
        <w:gridCol w:w="4534"/>
      </w:tblGrid>
      <w:tr w:rsidR="00745D16" w:rsidRPr="00745D16" w:rsidTr="005C2083">
        <w:tc>
          <w:tcPr>
            <w:tcW w:w="566" w:type="dxa"/>
          </w:tcPr>
          <w:p w:rsidR="00745D16" w:rsidRPr="00745D16" w:rsidRDefault="00796D1A" w:rsidP="00745D16">
            <w:pPr>
              <w:pStyle w:val="ConsPlusNormal"/>
              <w:contextualSpacing/>
              <w:jc w:val="center"/>
              <w:rPr>
                <w:sz w:val="24"/>
                <w:szCs w:val="28"/>
              </w:rPr>
            </w:pPr>
            <w:r>
              <w:rPr>
                <w:sz w:val="24"/>
                <w:szCs w:val="28"/>
              </w:rPr>
              <w:t>№</w:t>
            </w:r>
            <w:r w:rsidR="00745D16" w:rsidRPr="00745D16">
              <w:rPr>
                <w:sz w:val="24"/>
                <w:szCs w:val="28"/>
              </w:rPr>
              <w:t xml:space="preserve"> п/п</w:t>
            </w:r>
          </w:p>
        </w:tc>
        <w:tc>
          <w:tcPr>
            <w:tcW w:w="4251" w:type="dxa"/>
          </w:tcPr>
          <w:p w:rsidR="00745D16" w:rsidRPr="00745D16" w:rsidRDefault="00745D16" w:rsidP="00745D16">
            <w:pPr>
              <w:pStyle w:val="ConsPlusNormal"/>
              <w:contextualSpacing/>
              <w:jc w:val="center"/>
              <w:rPr>
                <w:sz w:val="24"/>
                <w:szCs w:val="28"/>
              </w:rPr>
            </w:pPr>
            <w:r w:rsidRPr="00745D16">
              <w:rPr>
                <w:sz w:val="24"/>
                <w:szCs w:val="28"/>
              </w:rPr>
              <w:t>Проблема, для решения которой планируется разработать проект акта</w:t>
            </w:r>
          </w:p>
        </w:tc>
        <w:tc>
          <w:tcPr>
            <w:tcW w:w="4534" w:type="dxa"/>
          </w:tcPr>
          <w:p w:rsidR="00745D16" w:rsidRPr="00745D16" w:rsidRDefault="00745D16" w:rsidP="00745D16">
            <w:pPr>
              <w:pStyle w:val="ConsPlusNormal"/>
              <w:contextualSpacing/>
              <w:jc w:val="center"/>
              <w:rPr>
                <w:sz w:val="24"/>
                <w:szCs w:val="28"/>
              </w:rPr>
            </w:pPr>
            <w:r w:rsidRPr="00745D16">
              <w:rPr>
                <w:sz w:val="24"/>
                <w:szCs w:val="28"/>
              </w:rPr>
              <w:t>Негативные эффекты (последствия), вызванные проблемой</w:t>
            </w:r>
          </w:p>
        </w:tc>
      </w:tr>
      <w:tr w:rsidR="00745D16" w:rsidRPr="00745D16" w:rsidTr="005C2083">
        <w:tc>
          <w:tcPr>
            <w:tcW w:w="566" w:type="dxa"/>
          </w:tcPr>
          <w:p w:rsidR="00745D16" w:rsidRPr="00745D16" w:rsidRDefault="00745D16" w:rsidP="00745D16">
            <w:pPr>
              <w:pStyle w:val="ConsPlusNormal"/>
              <w:contextualSpacing/>
              <w:rPr>
                <w:sz w:val="24"/>
                <w:szCs w:val="28"/>
              </w:rPr>
            </w:pPr>
            <w:r>
              <w:rPr>
                <w:sz w:val="24"/>
                <w:szCs w:val="28"/>
              </w:rPr>
              <w:t>1</w:t>
            </w:r>
          </w:p>
        </w:tc>
        <w:tc>
          <w:tcPr>
            <w:tcW w:w="4251" w:type="dxa"/>
          </w:tcPr>
          <w:p w:rsidR="00796D1A" w:rsidRDefault="001A6DCA" w:rsidP="00796D1A">
            <w:pPr>
              <w:pStyle w:val="ConsPlusNormal"/>
              <w:contextualSpacing/>
              <w:rPr>
                <w:sz w:val="24"/>
                <w:szCs w:val="28"/>
              </w:rPr>
            </w:pPr>
            <w:r>
              <w:rPr>
                <w:sz w:val="24"/>
                <w:szCs w:val="28"/>
              </w:rPr>
              <w:t>Невозможность предоставления земельного участка, находящегося в государственной или муниципальной собственности, в аренду без проведения торгов управляющим компаниям индустриальных (промышленных) парков и промышленных технопарков для реализации ими проектов по созданию транспортной и инженерной инфраструктуры указанных парков для </w:t>
            </w:r>
            <w:r>
              <w:rPr>
                <w:sz w:val="24"/>
                <w:szCs w:val="28"/>
              </w:rPr>
              <w:t>будущих резидентов вследствие того, что о</w:t>
            </w:r>
            <w:r w:rsidR="00796D1A">
              <w:rPr>
                <w:sz w:val="24"/>
                <w:szCs w:val="28"/>
              </w:rPr>
              <w:t xml:space="preserve">бъем инвестиций </w:t>
            </w:r>
            <w:r w:rsidR="00BE7733">
              <w:rPr>
                <w:sz w:val="24"/>
                <w:szCs w:val="28"/>
              </w:rPr>
              <w:t xml:space="preserve">по </w:t>
            </w:r>
            <w:r>
              <w:rPr>
                <w:sz w:val="24"/>
                <w:szCs w:val="28"/>
              </w:rPr>
              <w:t xml:space="preserve">таким </w:t>
            </w:r>
            <w:r w:rsidR="00BE7733">
              <w:rPr>
                <w:sz w:val="24"/>
                <w:szCs w:val="28"/>
              </w:rPr>
              <w:t>инвестиционным проектам, значительно меньше, чем требуемый объем инвестиций по критериям, которым должны соответствовать масштабные инвестиционные проекты, не связанные со строительством жилья, в соответствии с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w:t>
            </w:r>
            <w:r w:rsidR="004D4745">
              <w:rPr>
                <w:sz w:val="24"/>
                <w:szCs w:val="28"/>
              </w:rPr>
              <w:t> </w:t>
            </w:r>
            <w:r w:rsidR="00BE7733">
              <w:rPr>
                <w:sz w:val="24"/>
                <w:szCs w:val="28"/>
              </w:rPr>
              <w:t>размещения (реализации) которых предоставляются земельные участки в</w:t>
            </w:r>
            <w:r w:rsidR="004D4745">
              <w:rPr>
                <w:sz w:val="24"/>
                <w:szCs w:val="28"/>
              </w:rPr>
              <w:t> </w:t>
            </w:r>
            <w:r w:rsidR="00BE7733">
              <w:rPr>
                <w:sz w:val="24"/>
                <w:szCs w:val="28"/>
              </w:rPr>
              <w:t xml:space="preserve">аренду без проведения торгов» (далее – Закон). </w:t>
            </w:r>
          </w:p>
          <w:p w:rsidR="00745D16" w:rsidRPr="00745D16" w:rsidRDefault="00745D16" w:rsidP="00796D1A">
            <w:pPr>
              <w:pStyle w:val="ConsPlusNormal"/>
              <w:contextualSpacing/>
              <w:rPr>
                <w:sz w:val="24"/>
                <w:szCs w:val="28"/>
              </w:rPr>
            </w:pPr>
          </w:p>
        </w:tc>
        <w:tc>
          <w:tcPr>
            <w:tcW w:w="4534" w:type="dxa"/>
          </w:tcPr>
          <w:p w:rsidR="00745D16" w:rsidRPr="00745D16" w:rsidRDefault="001A6DCA" w:rsidP="004D4745">
            <w:pPr>
              <w:pStyle w:val="ConsPlusNormal"/>
              <w:contextualSpacing/>
              <w:rPr>
                <w:sz w:val="24"/>
                <w:szCs w:val="28"/>
              </w:rPr>
            </w:pPr>
            <w:r>
              <w:rPr>
                <w:sz w:val="24"/>
                <w:szCs w:val="28"/>
              </w:rPr>
              <w:t xml:space="preserve">Невозможность привлечения </w:t>
            </w:r>
            <w:r w:rsidR="00E01A4D">
              <w:rPr>
                <w:sz w:val="24"/>
                <w:szCs w:val="28"/>
              </w:rPr>
              <w:t xml:space="preserve">управляющими компаниями индустриальных (промышленных) парков и промышленных технопарков </w:t>
            </w:r>
            <w:r>
              <w:rPr>
                <w:sz w:val="24"/>
                <w:szCs w:val="28"/>
              </w:rPr>
              <w:t xml:space="preserve">новых резидентов </w:t>
            </w:r>
            <w:r w:rsidR="00E01A4D">
              <w:rPr>
                <w:sz w:val="24"/>
                <w:szCs w:val="28"/>
              </w:rPr>
              <w:t>для реализации ими проектов по созданию новых производств, что ведет к замедлению инвестиционной активности субъектов предпринимательской деятельности.</w:t>
            </w:r>
          </w:p>
        </w:tc>
      </w:tr>
    </w:tbl>
    <w:p w:rsidR="00745D16" w:rsidRPr="00745D16" w:rsidRDefault="00745D16" w:rsidP="00745D16">
      <w:pPr>
        <w:pStyle w:val="ConsPlusNormal"/>
        <w:contextualSpacing/>
        <w:jc w:val="both"/>
        <w:rPr>
          <w:sz w:val="24"/>
          <w:szCs w:val="28"/>
        </w:rPr>
      </w:pPr>
    </w:p>
    <w:p w:rsidR="00745D16" w:rsidRDefault="00745D16" w:rsidP="00745D16">
      <w:pPr>
        <w:pStyle w:val="ConsPlusNormal"/>
        <w:contextualSpacing/>
        <w:jc w:val="both"/>
        <w:rPr>
          <w:sz w:val="24"/>
          <w:szCs w:val="28"/>
        </w:rPr>
      </w:pPr>
      <w:r w:rsidRPr="00745D16">
        <w:rPr>
          <w:sz w:val="24"/>
          <w:szCs w:val="28"/>
        </w:rPr>
        <w:t>2.1.</w:t>
      </w:r>
      <w:r w:rsidR="004D4745">
        <w:rPr>
          <w:sz w:val="24"/>
          <w:szCs w:val="28"/>
        </w:rPr>
        <w:t> </w:t>
      </w:r>
      <w:r w:rsidRPr="00745D16">
        <w:rPr>
          <w:sz w:val="24"/>
          <w:szCs w:val="28"/>
        </w:rPr>
        <w:t>Основные группы субъектов предпринимательской и (или) инвестиционной деятельности, затрагиваемые предлагаемым регулированием:</w:t>
      </w:r>
      <w:r>
        <w:rPr>
          <w:sz w:val="24"/>
          <w:szCs w:val="28"/>
        </w:rPr>
        <w:t xml:space="preserve"> управляющие компании </w:t>
      </w:r>
      <w:r>
        <w:rPr>
          <w:sz w:val="24"/>
          <w:szCs w:val="28"/>
        </w:rPr>
        <w:lastRenderedPageBreak/>
        <w:t>индустриальных (промышленных) парков</w:t>
      </w:r>
      <w:r w:rsidRPr="00745D16">
        <w:rPr>
          <w:sz w:val="24"/>
          <w:szCs w:val="28"/>
        </w:rPr>
        <w:t>.</w:t>
      </w:r>
    </w:p>
    <w:p w:rsidR="00745D16" w:rsidRPr="00745D16" w:rsidRDefault="00745D16" w:rsidP="00745D16">
      <w:pPr>
        <w:pStyle w:val="ConsPlusNormal"/>
        <w:contextualSpacing/>
        <w:jc w:val="both"/>
        <w:rPr>
          <w:sz w:val="24"/>
          <w:szCs w:val="28"/>
        </w:rPr>
      </w:pPr>
    </w:p>
    <w:p w:rsidR="00745D16" w:rsidRPr="00745D16" w:rsidRDefault="00745D16" w:rsidP="00745D16">
      <w:pPr>
        <w:pStyle w:val="ConsPlusNormal"/>
        <w:contextualSpacing/>
        <w:jc w:val="both"/>
        <w:rPr>
          <w:sz w:val="24"/>
          <w:szCs w:val="28"/>
        </w:rPr>
      </w:pPr>
      <w:r w:rsidRPr="00745D16">
        <w:rPr>
          <w:sz w:val="24"/>
          <w:szCs w:val="28"/>
        </w:rPr>
        <w:t>3.</w:t>
      </w:r>
      <w:r w:rsidR="004D4745">
        <w:rPr>
          <w:sz w:val="24"/>
          <w:szCs w:val="28"/>
        </w:rPr>
        <w:t> </w:t>
      </w:r>
      <w:r w:rsidRPr="00745D16">
        <w:rPr>
          <w:sz w:val="24"/>
          <w:szCs w:val="28"/>
        </w:rPr>
        <w:t>Известные разработчику способы решения каждой из указанных проблем:</w:t>
      </w:r>
    </w:p>
    <w:p w:rsidR="00745D16" w:rsidRPr="00745D16" w:rsidRDefault="00745D16" w:rsidP="00745D16">
      <w:pPr>
        <w:pStyle w:val="ConsPlusNormal"/>
        <w:contextualSpacing/>
        <w:jc w:val="both"/>
        <w:rPr>
          <w:sz w:val="24"/>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4536"/>
      </w:tblGrid>
      <w:tr w:rsidR="00745D16" w:rsidRPr="00745D16" w:rsidTr="00E45C1E">
        <w:tc>
          <w:tcPr>
            <w:tcW w:w="4815" w:type="dxa"/>
          </w:tcPr>
          <w:p w:rsidR="00745D16" w:rsidRPr="00745D16" w:rsidRDefault="00745D16" w:rsidP="00745D16">
            <w:pPr>
              <w:pStyle w:val="ConsPlusNormal"/>
              <w:contextualSpacing/>
              <w:jc w:val="center"/>
              <w:rPr>
                <w:sz w:val="24"/>
                <w:szCs w:val="28"/>
              </w:rPr>
            </w:pPr>
            <w:r w:rsidRPr="00745D16">
              <w:rPr>
                <w:sz w:val="24"/>
                <w:szCs w:val="28"/>
              </w:rPr>
              <w:t>Проблема</w:t>
            </w:r>
          </w:p>
        </w:tc>
        <w:tc>
          <w:tcPr>
            <w:tcW w:w="4536" w:type="dxa"/>
          </w:tcPr>
          <w:p w:rsidR="00745D16" w:rsidRPr="00745D16" w:rsidRDefault="00745D16" w:rsidP="00745D16">
            <w:pPr>
              <w:pStyle w:val="ConsPlusNormal"/>
              <w:contextualSpacing/>
              <w:jc w:val="center"/>
              <w:rPr>
                <w:sz w:val="24"/>
                <w:szCs w:val="28"/>
              </w:rPr>
            </w:pPr>
            <w:r w:rsidRPr="00745D16">
              <w:rPr>
                <w:sz w:val="24"/>
                <w:szCs w:val="28"/>
              </w:rPr>
              <w:t>Известные способы решения</w:t>
            </w:r>
          </w:p>
        </w:tc>
      </w:tr>
      <w:tr w:rsidR="00745D16" w:rsidRPr="00745D16" w:rsidTr="00E45C1E">
        <w:tc>
          <w:tcPr>
            <w:tcW w:w="4815" w:type="dxa"/>
          </w:tcPr>
          <w:p w:rsidR="00745D16" w:rsidRPr="00745D16" w:rsidRDefault="002C3354" w:rsidP="00BE7733">
            <w:pPr>
              <w:pStyle w:val="ConsPlusNormal"/>
              <w:contextualSpacing/>
              <w:rPr>
                <w:sz w:val="24"/>
                <w:szCs w:val="28"/>
              </w:rPr>
            </w:pPr>
            <w:r w:rsidRPr="002C3354">
              <w:rPr>
                <w:sz w:val="24"/>
                <w:szCs w:val="28"/>
              </w:rPr>
              <w:t>Невозможность предоставления земельного участка, находящегося в государственной или муниципальной собственности, в аренду без проведения торгов управляющим компаниям индустриальных (промышленных) парков и промышленных технопарков для реализации ими проектов по созданию транспортной и инженерной инфраструктуры указанных парков для будущих резидентов вследствие того, что объем инвестиций по таким инвестиционным проектам, значительно меньше, чем требуемый объем инвестиций по критериям, которым должны соответствовать масштабные инвестиционные проекты, не связанные со строительством жилья, в соответствии с Законом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w:t>
            </w:r>
            <w:bookmarkStart w:id="0" w:name="_GoBack"/>
            <w:bookmarkEnd w:id="0"/>
          </w:p>
        </w:tc>
        <w:tc>
          <w:tcPr>
            <w:tcW w:w="4536" w:type="dxa"/>
          </w:tcPr>
          <w:p w:rsidR="0084597F" w:rsidRDefault="00CD0E98" w:rsidP="00CD0E98">
            <w:pPr>
              <w:pStyle w:val="ConsPlusNormal"/>
              <w:contextualSpacing/>
              <w:rPr>
                <w:sz w:val="24"/>
                <w:szCs w:val="28"/>
              </w:rPr>
            </w:pPr>
            <w:r>
              <w:rPr>
                <w:sz w:val="24"/>
                <w:szCs w:val="28"/>
              </w:rPr>
              <w:t>В</w:t>
            </w:r>
            <w:r w:rsidR="005C2083">
              <w:rPr>
                <w:sz w:val="24"/>
                <w:szCs w:val="28"/>
              </w:rPr>
              <w:t xml:space="preserve">несение изменений в </w:t>
            </w:r>
            <w:r>
              <w:rPr>
                <w:sz w:val="24"/>
                <w:szCs w:val="28"/>
              </w:rPr>
              <w:t xml:space="preserve">Закон </w:t>
            </w:r>
            <w:r w:rsidR="0084597F">
              <w:rPr>
                <w:sz w:val="24"/>
                <w:szCs w:val="28"/>
              </w:rPr>
              <w:t>в части корректировки критериев,</w:t>
            </w:r>
            <w:r w:rsidRPr="00CD0E98">
              <w:rPr>
                <w:sz w:val="24"/>
                <w:szCs w:val="28"/>
              </w:rPr>
              <w:t xml:space="preserve"> которым должны соответствовать масштабные инвестиционные проекты, </w:t>
            </w:r>
            <w:r w:rsidR="0084597F" w:rsidRPr="00CD0E98">
              <w:rPr>
                <w:sz w:val="24"/>
                <w:szCs w:val="28"/>
              </w:rPr>
              <w:t>предполагающи</w:t>
            </w:r>
            <w:r w:rsidR="0084597F">
              <w:rPr>
                <w:sz w:val="24"/>
                <w:szCs w:val="28"/>
              </w:rPr>
              <w:t>е</w:t>
            </w:r>
            <w:r w:rsidR="0084597F" w:rsidRPr="00CD0E98">
              <w:rPr>
                <w:sz w:val="24"/>
                <w:szCs w:val="28"/>
              </w:rPr>
              <w:t xml:space="preserve"> </w:t>
            </w:r>
            <w:r w:rsidR="0084597F">
              <w:rPr>
                <w:sz w:val="24"/>
                <w:szCs w:val="28"/>
              </w:rPr>
              <w:t xml:space="preserve">модернизацию, </w:t>
            </w:r>
            <w:r w:rsidR="0084597F" w:rsidRPr="00CD0E98">
              <w:rPr>
                <w:sz w:val="24"/>
                <w:szCs w:val="28"/>
              </w:rPr>
              <w:t xml:space="preserve">создание </w:t>
            </w:r>
            <w:r w:rsidR="0084597F">
              <w:rPr>
                <w:sz w:val="24"/>
                <w:szCs w:val="28"/>
              </w:rPr>
              <w:t xml:space="preserve">или расширение </w:t>
            </w:r>
            <w:r w:rsidR="0084597F" w:rsidRPr="00CD0E98">
              <w:rPr>
                <w:sz w:val="24"/>
                <w:szCs w:val="28"/>
              </w:rPr>
              <w:t>индустриальных (промышленных) парков</w:t>
            </w:r>
            <w:r w:rsidR="00A11B97">
              <w:rPr>
                <w:sz w:val="24"/>
                <w:szCs w:val="28"/>
              </w:rPr>
              <w:t xml:space="preserve"> или промышленных технопарков</w:t>
            </w:r>
            <w:r w:rsidR="0084597F">
              <w:rPr>
                <w:sz w:val="24"/>
                <w:szCs w:val="28"/>
              </w:rPr>
              <w:t>, в целях</w:t>
            </w:r>
            <w:r w:rsidRPr="00CD0E98">
              <w:rPr>
                <w:sz w:val="24"/>
                <w:szCs w:val="28"/>
              </w:rPr>
              <w:t xml:space="preserve"> снижения общего объема инвестиций, документально подтверж</w:t>
            </w:r>
            <w:r w:rsidR="0084597F">
              <w:rPr>
                <w:sz w:val="24"/>
                <w:szCs w:val="28"/>
              </w:rPr>
              <w:t>денных инвестором (управляющей компанией индустриального (промышленного) парка).</w:t>
            </w:r>
          </w:p>
          <w:p w:rsidR="00CD0E98" w:rsidRPr="00745D16" w:rsidRDefault="00CD0E98" w:rsidP="00CD0E98">
            <w:pPr>
              <w:pStyle w:val="ConsPlusNormal"/>
              <w:contextualSpacing/>
              <w:rPr>
                <w:sz w:val="24"/>
                <w:szCs w:val="28"/>
              </w:rPr>
            </w:pPr>
          </w:p>
        </w:tc>
      </w:tr>
    </w:tbl>
    <w:p w:rsidR="00745D16" w:rsidRPr="00745D16" w:rsidRDefault="00745D16" w:rsidP="00745D16">
      <w:pPr>
        <w:pStyle w:val="ConsPlusNormal"/>
        <w:contextualSpacing/>
        <w:jc w:val="both"/>
        <w:rPr>
          <w:sz w:val="24"/>
          <w:szCs w:val="28"/>
        </w:rPr>
      </w:pPr>
    </w:p>
    <w:p w:rsidR="00745D16" w:rsidRPr="00745D16" w:rsidRDefault="00745D16" w:rsidP="00745D16">
      <w:pPr>
        <w:pStyle w:val="ConsPlusNormal"/>
        <w:contextualSpacing/>
        <w:jc w:val="both"/>
        <w:rPr>
          <w:sz w:val="24"/>
          <w:szCs w:val="28"/>
        </w:rPr>
      </w:pPr>
      <w:r w:rsidRPr="00745D16">
        <w:rPr>
          <w:sz w:val="24"/>
          <w:szCs w:val="28"/>
        </w:rPr>
        <w:t>4.</w:t>
      </w:r>
      <w:r w:rsidR="004D4745">
        <w:rPr>
          <w:sz w:val="24"/>
          <w:szCs w:val="28"/>
        </w:rPr>
        <w:t> </w:t>
      </w:r>
      <w:r w:rsidRPr="00745D16">
        <w:rPr>
          <w:sz w:val="24"/>
          <w:szCs w:val="28"/>
        </w:rPr>
        <w:t>Адреса для направления предложений и замечаний по выявленным проблемам и способам их решения:</w:t>
      </w:r>
    </w:p>
    <w:p w:rsidR="00745D16" w:rsidRPr="00745D16" w:rsidRDefault="00745D16" w:rsidP="00745D16">
      <w:pPr>
        <w:pStyle w:val="ConsPlusNormal"/>
        <w:contextualSpacing/>
        <w:jc w:val="both"/>
        <w:rPr>
          <w:sz w:val="24"/>
          <w:szCs w:val="28"/>
        </w:rPr>
      </w:pPr>
      <w:r w:rsidRPr="00745D16">
        <w:rPr>
          <w:sz w:val="24"/>
          <w:szCs w:val="28"/>
        </w:rPr>
        <w:t>- адрес почтовый: 630</w:t>
      </w:r>
      <w:r w:rsidR="005C2083">
        <w:rPr>
          <w:sz w:val="24"/>
          <w:szCs w:val="28"/>
        </w:rPr>
        <w:t>007</w:t>
      </w:r>
      <w:r w:rsidRPr="00745D16">
        <w:rPr>
          <w:sz w:val="24"/>
          <w:szCs w:val="28"/>
        </w:rPr>
        <w:t>, г. Новосибирск,</w:t>
      </w:r>
      <w:r w:rsidR="005C2083">
        <w:rPr>
          <w:sz w:val="24"/>
          <w:szCs w:val="28"/>
        </w:rPr>
        <w:t xml:space="preserve"> Красный проспект, д. 18</w:t>
      </w:r>
      <w:r w:rsidRPr="00745D16">
        <w:rPr>
          <w:sz w:val="24"/>
          <w:szCs w:val="28"/>
        </w:rPr>
        <w:t>;</w:t>
      </w:r>
    </w:p>
    <w:p w:rsidR="00745D16" w:rsidRPr="00745D16" w:rsidRDefault="00745D16" w:rsidP="00745D16">
      <w:pPr>
        <w:pStyle w:val="ConsPlusNormal"/>
        <w:contextualSpacing/>
        <w:jc w:val="both"/>
        <w:rPr>
          <w:sz w:val="24"/>
          <w:szCs w:val="28"/>
        </w:rPr>
      </w:pPr>
      <w:r w:rsidRPr="00745D16">
        <w:rPr>
          <w:sz w:val="24"/>
          <w:szCs w:val="28"/>
        </w:rPr>
        <w:t xml:space="preserve">- адрес электронной почты: </w:t>
      </w:r>
      <w:proofErr w:type="spellStart"/>
      <w:r w:rsidR="00740E6E">
        <w:rPr>
          <w:sz w:val="24"/>
          <w:szCs w:val="28"/>
          <w:lang w:val="en-US"/>
        </w:rPr>
        <w:t>bks</w:t>
      </w:r>
      <w:proofErr w:type="spellEnd"/>
      <w:r w:rsidR="005C2083" w:rsidRPr="005C2083">
        <w:rPr>
          <w:sz w:val="24"/>
          <w:szCs w:val="28"/>
        </w:rPr>
        <w:t>@</w:t>
      </w:r>
      <w:proofErr w:type="spellStart"/>
      <w:r w:rsidR="005C2083">
        <w:rPr>
          <w:sz w:val="24"/>
          <w:szCs w:val="28"/>
          <w:lang w:val="en-US"/>
        </w:rPr>
        <w:t>nso</w:t>
      </w:r>
      <w:proofErr w:type="spellEnd"/>
      <w:r w:rsidR="005C2083" w:rsidRPr="005C2083">
        <w:rPr>
          <w:sz w:val="24"/>
          <w:szCs w:val="28"/>
        </w:rPr>
        <w:t>.</w:t>
      </w:r>
      <w:proofErr w:type="spellStart"/>
      <w:r w:rsidR="005C2083">
        <w:rPr>
          <w:sz w:val="24"/>
          <w:szCs w:val="28"/>
          <w:lang w:val="en-US"/>
        </w:rPr>
        <w:t>ru</w:t>
      </w:r>
      <w:proofErr w:type="spellEnd"/>
      <w:r w:rsidRPr="00745D16">
        <w:rPr>
          <w:sz w:val="24"/>
          <w:szCs w:val="28"/>
        </w:rPr>
        <w:t>.</w:t>
      </w:r>
    </w:p>
    <w:p w:rsidR="00745D16" w:rsidRDefault="00745D16" w:rsidP="00745D16">
      <w:pPr>
        <w:pStyle w:val="ConsPlusNormal"/>
        <w:contextualSpacing/>
        <w:jc w:val="both"/>
        <w:rPr>
          <w:sz w:val="24"/>
          <w:szCs w:val="28"/>
        </w:rPr>
      </w:pPr>
      <w:r w:rsidRPr="00745D16">
        <w:rPr>
          <w:sz w:val="24"/>
          <w:szCs w:val="28"/>
        </w:rPr>
        <w:t>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уведомление.</w:t>
      </w:r>
    </w:p>
    <w:p w:rsidR="00E45C1E" w:rsidRPr="00745D16" w:rsidRDefault="00E45C1E" w:rsidP="00745D16">
      <w:pPr>
        <w:pStyle w:val="ConsPlusNormal"/>
        <w:contextualSpacing/>
        <w:jc w:val="both"/>
        <w:rPr>
          <w:sz w:val="24"/>
          <w:szCs w:val="28"/>
        </w:rPr>
      </w:pPr>
    </w:p>
    <w:p w:rsidR="00745D16" w:rsidRPr="00745D16" w:rsidRDefault="00745D16" w:rsidP="00745D16">
      <w:pPr>
        <w:pStyle w:val="ConsPlusNormal"/>
        <w:contextualSpacing/>
        <w:jc w:val="both"/>
        <w:rPr>
          <w:sz w:val="24"/>
          <w:szCs w:val="28"/>
        </w:rPr>
      </w:pPr>
      <w:r w:rsidRPr="00745D16">
        <w:rPr>
          <w:sz w:val="24"/>
          <w:szCs w:val="28"/>
        </w:rPr>
        <w:t>5.</w:t>
      </w:r>
      <w:r w:rsidR="004D4745">
        <w:rPr>
          <w:sz w:val="24"/>
          <w:szCs w:val="28"/>
        </w:rPr>
        <w:t> </w:t>
      </w:r>
      <w:r w:rsidRPr="00745D16">
        <w:rPr>
          <w:sz w:val="24"/>
          <w:szCs w:val="28"/>
        </w:rPr>
        <w:t xml:space="preserve">Срок проведения публичных консультаций, в течение которого принимаются предложения и замечания в связи с размещением уведомления, </w:t>
      </w:r>
      <w:r w:rsidR="0084597F">
        <w:rPr>
          <w:sz w:val="24"/>
          <w:szCs w:val="28"/>
        </w:rPr>
        <w:t>–</w:t>
      </w:r>
      <w:r w:rsidRPr="00745D16">
        <w:rPr>
          <w:sz w:val="24"/>
          <w:szCs w:val="28"/>
        </w:rPr>
        <w:t xml:space="preserve"> с </w:t>
      </w:r>
      <w:r w:rsidR="005C2083" w:rsidRPr="005C2083">
        <w:rPr>
          <w:sz w:val="24"/>
          <w:szCs w:val="28"/>
        </w:rPr>
        <w:t>1</w:t>
      </w:r>
      <w:r w:rsidR="007E74AA" w:rsidRPr="007E74AA">
        <w:rPr>
          <w:sz w:val="24"/>
          <w:szCs w:val="28"/>
        </w:rPr>
        <w:t>2</w:t>
      </w:r>
      <w:r w:rsidR="005C2083" w:rsidRPr="005C2083">
        <w:rPr>
          <w:sz w:val="24"/>
          <w:szCs w:val="28"/>
        </w:rPr>
        <w:t xml:space="preserve"> </w:t>
      </w:r>
      <w:r w:rsidR="0084597F">
        <w:rPr>
          <w:sz w:val="24"/>
          <w:szCs w:val="28"/>
        </w:rPr>
        <w:t>февраля</w:t>
      </w:r>
      <w:r w:rsidR="005C2083">
        <w:rPr>
          <w:sz w:val="24"/>
          <w:szCs w:val="28"/>
        </w:rPr>
        <w:t xml:space="preserve"> 2020 года</w:t>
      </w:r>
      <w:r w:rsidRPr="00745D16">
        <w:rPr>
          <w:sz w:val="24"/>
          <w:szCs w:val="28"/>
        </w:rPr>
        <w:t xml:space="preserve"> по</w:t>
      </w:r>
      <w:r w:rsidR="005C2083">
        <w:rPr>
          <w:sz w:val="24"/>
          <w:szCs w:val="28"/>
        </w:rPr>
        <w:t> </w:t>
      </w:r>
      <w:r w:rsidR="007E74AA" w:rsidRPr="007E74AA">
        <w:rPr>
          <w:sz w:val="24"/>
          <w:szCs w:val="28"/>
        </w:rPr>
        <w:t>20</w:t>
      </w:r>
      <w:r w:rsidR="005C2083">
        <w:rPr>
          <w:sz w:val="24"/>
          <w:szCs w:val="28"/>
        </w:rPr>
        <w:t> </w:t>
      </w:r>
      <w:r w:rsidR="0084597F">
        <w:rPr>
          <w:sz w:val="24"/>
          <w:szCs w:val="28"/>
        </w:rPr>
        <w:t>февраля</w:t>
      </w:r>
      <w:r w:rsidR="005C2083">
        <w:rPr>
          <w:sz w:val="24"/>
          <w:szCs w:val="28"/>
        </w:rPr>
        <w:t xml:space="preserve"> 2020 года</w:t>
      </w:r>
      <w:r w:rsidRPr="00745D16">
        <w:rPr>
          <w:sz w:val="24"/>
          <w:szCs w:val="28"/>
        </w:rPr>
        <w:t>.</w:t>
      </w:r>
    </w:p>
    <w:sectPr w:rsidR="00745D16" w:rsidRPr="00745D16" w:rsidSect="00745D16">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16"/>
    <w:rsid w:val="001A6DCA"/>
    <w:rsid w:val="00264851"/>
    <w:rsid w:val="002C3354"/>
    <w:rsid w:val="00301DB4"/>
    <w:rsid w:val="004D4745"/>
    <w:rsid w:val="005A2A48"/>
    <w:rsid w:val="005C2083"/>
    <w:rsid w:val="00740E6E"/>
    <w:rsid w:val="00745D16"/>
    <w:rsid w:val="00796D1A"/>
    <w:rsid w:val="007E74AA"/>
    <w:rsid w:val="0084597F"/>
    <w:rsid w:val="00A11B97"/>
    <w:rsid w:val="00B624A9"/>
    <w:rsid w:val="00BE7733"/>
    <w:rsid w:val="00CD0E98"/>
    <w:rsid w:val="00CF3A67"/>
    <w:rsid w:val="00D8508D"/>
    <w:rsid w:val="00DA4E5A"/>
    <w:rsid w:val="00E01A4D"/>
    <w:rsid w:val="00E4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834A"/>
  <w15:chartTrackingRefBased/>
  <w15:docId w15:val="{27660F55-3C0B-4E57-AB82-6B8C684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
    <w:qFormat/>
    <w:rsid w:val="00301DB4"/>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D16"/>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Кристина Германовна</dc:creator>
  <cp:keywords/>
  <dc:description/>
  <cp:lastModifiedBy>Александрова Кристина Германовна</cp:lastModifiedBy>
  <cp:revision>7</cp:revision>
  <dcterms:created xsi:type="dcterms:W3CDTF">2020-02-10T08:27:00Z</dcterms:created>
  <dcterms:modified xsi:type="dcterms:W3CDTF">2020-02-11T07:10:00Z</dcterms:modified>
</cp:coreProperties>
</file>