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1E9" w:rsidRDefault="00B841E9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B841E9" w:rsidRDefault="00B841E9">
      <w:pPr>
        <w:pStyle w:val="ConsPlusNormal"/>
        <w:outlineLvl w:val="0"/>
      </w:pPr>
    </w:p>
    <w:p w:rsidR="00B841E9" w:rsidRDefault="00B841E9">
      <w:pPr>
        <w:pStyle w:val="ConsPlusTitle"/>
        <w:jc w:val="center"/>
        <w:outlineLvl w:val="0"/>
      </w:pPr>
      <w:r>
        <w:t>ПРАВИТЕЛЬСТВО НОВОСИБИРСКОЙ ОБЛАСТИ</w:t>
      </w:r>
    </w:p>
    <w:p w:rsidR="00B841E9" w:rsidRDefault="00B841E9">
      <w:pPr>
        <w:pStyle w:val="ConsPlusTitle"/>
        <w:jc w:val="center"/>
      </w:pPr>
    </w:p>
    <w:p w:rsidR="00B841E9" w:rsidRDefault="00B841E9">
      <w:pPr>
        <w:pStyle w:val="ConsPlusTitle"/>
        <w:jc w:val="center"/>
      </w:pPr>
      <w:r>
        <w:t>ПОСТАНОВЛЕНИЕ</w:t>
      </w:r>
    </w:p>
    <w:p w:rsidR="00B841E9" w:rsidRDefault="00B841E9">
      <w:pPr>
        <w:pStyle w:val="ConsPlusTitle"/>
        <w:jc w:val="center"/>
      </w:pPr>
      <w:r>
        <w:t>от 20 сентября 2016 г. N 291-п</w:t>
      </w:r>
    </w:p>
    <w:p w:rsidR="00B841E9" w:rsidRDefault="00B841E9">
      <w:pPr>
        <w:pStyle w:val="ConsPlusTitle"/>
        <w:jc w:val="center"/>
      </w:pPr>
    </w:p>
    <w:p w:rsidR="00B841E9" w:rsidRDefault="00B841E9">
      <w:pPr>
        <w:pStyle w:val="ConsPlusTitle"/>
        <w:jc w:val="center"/>
      </w:pPr>
      <w:r>
        <w:t>О РАЗМЕРЕ КВОТЫ РАБОЧИХ МЕСТ ДЛЯ ДЕТЕЙ,</w:t>
      </w:r>
    </w:p>
    <w:p w:rsidR="00B841E9" w:rsidRDefault="00B841E9">
      <w:pPr>
        <w:pStyle w:val="ConsPlusTitle"/>
        <w:jc w:val="center"/>
      </w:pPr>
      <w:r>
        <w:t>ИЩУЩИХ РАБОТУ, И ПОРЯДКЕ ЕЕ УСТАНОВЛЕНИЯ</w:t>
      </w:r>
    </w:p>
    <w:p w:rsidR="00B841E9" w:rsidRDefault="00B841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41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5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6" w:history="1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 xml:space="preserve">В соответствии с Федеральным </w:t>
      </w:r>
      <w:hyperlink r:id="rId7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</w:t>
      </w:r>
      <w:hyperlink r:id="rId8" w:history="1">
        <w:r>
          <w:rPr>
            <w:color w:val="0000FF"/>
          </w:rPr>
          <w:t>Законом</w:t>
        </w:r>
      </w:hyperlink>
      <w:r>
        <w:t xml:space="preserve"> Новосибирской области от 12.05.2003 N 111-ОЗ "О защите прав детей в Новосибирской области" Правительство Новосибирской области постановляет: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1. Установить работодателям, осуществляющим деятельность на территории Новосибирской области, численность работников которых составляет более 100 человек, квоту рабочих мест для детей, ищущих работу, в размере 1 процента от среднесписочной численности работников.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 xml:space="preserve">2. Утвердить прилагаемый </w:t>
      </w:r>
      <w:hyperlink w:anchor="P31" w:history="1">
        <w:r>
          <w:rPr>
            <w:color w:val="0000FF"/>
          </w:rPr>
          <w:t>Порядок</w:t>
        </w:r>
      </w:hyperlink>
      <w:r>
        <w:t xml:space="preserve"> установления квоты рабочих мест для детей, ищущих работу.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9" w:history="1">
        <w:r>
          <w:rPr>
            <w:color w:val="0000FF"/>
          </w:rPr>
          <w:t>постановление</w:t>
        </w:r>
      </w:hyperlink>
      <w:r>
        <w:t xml:space="preserve"> администрации Новосибирской области от 12.11.2007 N 164-па "О квотировании рабочих мест для трудоустройства детей, ищущих работу".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4. Контроль за исполнением постановления возложить на заместителя Губернатора Новосибирской области Нелюбова С.А.</w:t>
      </w:r>
    </w:p>
    <w:p w:rsidR="00B841E9" w:rsidRDefault="00B841E9">
      <w:pPr>
        <w:pStyle w:val="ConsPlusNormal"/>
        <w:jc w:val="both"/>
      </w:pPr>
      <w:r>
        <w:t xml:space="preserve">(п. 4 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24.03.2020 N 82-п)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right"/>
      </w:pPr>
      <w:r>
        <w:t>Губернатор Новосибирской области</w:t>
      </w:r>
    </w:p>
    <w:p w:rsidR="00B841E9" w:rsidRDefault="00B841E9">
      <w:pPr>
        <w:pStyle w:val="ConsPlusNormal"/>
        <w:jc w:val="right"/>
      </w:pPr>
      <w:r>
        <w:t>В.Ф.ГОРОДЕЦКИЙ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right"/>
        <w:outlineLvl w:val="0"/>
      </w:pPr>
      <w:r>
        <w:t>Утвержден</w:t>
      </w:r>
    </w:p>
    <w:p w:rsidR="00B841E9" w:rsidRDefault="00B841E9">
      <w:pPr>
        <w:pStyle w:val="ConsPlusNormal"/>
        <w:jc w:val="right"/>
      </w:pPr>
      <w:r>
        <w:t>постановлением</w:t>
      </w:r>
    </w:p>
    <w:p w:rsidR="00B841E9" w:rsidRDefault="00B841E9">
      <w:pPr>
        <w:pStyle w:val="ConsPlusNormal"/>
        <w:jc w:val="right"/>
      </w:pPr>
      <w:r>
        <w:t>Правительства Новосибирской области</w:t>
      </w:r>
    </w:p>
    <w:p w:rsidR="00B841E9" w:rsidRDefault="00B841E9">
      <w:pPr>
        <w:pStyle w:val="ConsPlusNormal"/>
        <w:jc w:val="right"/>
      </w:pPr>
      <w:r>
        <w:t>от 20.09.2016 N 291-п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Title"/>
        <w:jc w:val="center"/>
      </w:pPr>
      <w:bookmarkStart w:id="0" w:name="P31"/>
      <w:bookmarkEnd w:id="0"/>
      <w:r>
        <w:t>ПОРЯДОК</w:t>
      </w:r>
    </w:p>
    <w:p w:rsidR="00B841E9" w:rsidRDefault="00B841E9">
      <w:pPr>
        <w:pStyle w:val="ConsPlusTitle"/>
        <w:jc w:val="center"/>
      </w:pPr>
      <w:r>
        <w:t>УСТАНОВЛЕНИЯ КВОТЫ РАБОЧИХ МЕСТ ДЛЯ ДЕТЕЙ, ИЩУЩИХ РАБОТУ</w:t>
      </w:r>
    </w:p>
    <w:p w:rsidR="00B841E9" w:rsidRDefault="00B841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41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Новосибирской области</w:t>
            </w:r>
          </w:p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19.06.2018 </w:t>
            </w:r>
            <w:hyperlink r:id="rId11" w:history="1">
              <w:r>
                <w:rPr>
                  <w:color w:val="0000FF"/>
                </w:rPr>
                <w:t>N 265-п</w:t>
              </w:r>
            </w:hyperlink>
            <w:r>
              <w:rPr>
                <w:color w:val="392C69"/>
              </w:rPr>
              <w:t xml:space="preserve">, от 24.03.2020 </w:t>
            </w:r>
            <w:hyperlink r:id="rId12" w:history="1">
              <w:r>
                <w:rPr>
                  <w:color w:val="0000FF"/>
                </w:rPr>
                <w:t>N 82-п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Title"/>
        <w:jc w:val="center"/>
        <w:outlineLvl w:val="1"/>
      </w:pPr>
      <w:r>
        <w:t>I. Общие положения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 xml:space="preserve">1. Порядок установления квоты рабочих мест для детей, ищущих работу (далее - Порядок), разработан в соответствии с Федеральным </w:t>
      </w:r>
      <w:hyperlink r:id="rId13" w:history="1">
        <w:r>
          <w:rPr>
            <w:color w:val="0000FF"/>
          </w:rPr>
          <w:t>законом</w:t>
        </w:r>
      </w:hyperlink>
      <w:r>
        <w:t xml:space="preserve"> от 24.07.1998 N 124-ФЗ "Об основных гарантиях прав ребенка в Российской Федерации", </w:t>
      </w:r>
      <w:hyperlink r:id="rId14" w:history="1">
        <w:r>
          <w:rPr>
            <w:color w:val="0000FF"/>
          </w:rPr>
          <w:t>Законом</w:t>
        </w:r>
      </w:hyperlink>
      <w:r>
        <w:t xml:space="preserve"> Новосибирской области от 12.05.2003 N 111-ОЗ "О защите прав детей в Новосибирской области".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2. Порядок определяет механизм установления квоты рабочих мест для детей в возрасте от 14 до 18 лет, ищущих работу (далее - дети).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3. Термины, используемые в Порядке: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1) квота рабочих мест для детей, ищущих работу, - минимальное количество рабочих мест (в процентах от среднесписочной численности работников), которые работодатель создает или выделяет для трудоустройства детей, включая количество рабочих мест, на которых уже работают дети;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2) работодатели - физические лица либо юридические лица (организации), вступившие в трудовые отношения с работником.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В случаях, предусмотренных федеральными законами, в качестве работодателя может выступать иной субъект, наделенный правом заключать трудовые договоры.</w:t>
      </w:r>
    </w:p>
    <w:p w:rsidR="00B841E9" w:rsidRDefault="00B841E9">
      <w:pPr>
        <w:pStyle w:val="ConsPlusNormal"/>
        <w:jc w:val="both"/>
      </w:pPr>
      <w:r>
        <w:t xml:space="preserve">(абзац введен </w:t>
      </w:r>
      <w:hyperlink r:id="rId15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19.06.2018 N 265-п)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Title"/>
        <w:jc w:val="center"/>
        <w:outlineLvl w:val="1"/>
      </w:pPr>
      <w:r>
        <w:t>II. Порядок установления квоты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>4. Государственные казенные учреждения Новосибирской области центры занятости населения (далее - центры занятости населения) ежегодно информируют работодателей об установлении квоты рабочих мест для детей, ищущих работу, посредством размещения информации в средствах массовой информации, на Интерактивном портале службы занятости населения Новосибирской области (адрес в сети Интернет http://nszn.nso.ru) не позднее 15 декабря года, предшествующего году, на который устанавливается квота.</w:t>
      </w:r>
    </w:p>
    <w:p w:rsidR="00B841E9" w:rsidRDefault="00B841E9">
      <w:pPr>
        <w:pStyle w:val="ConsPlusNormal"/>
        <w:jc w:val="both"/>
      </w:pPr>
      <w:r>
        <w:t xml:space="preserve">(п. 4 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19.06.2018 N 265-п)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5. Освобождаются от соблюдения установленной квоты для приема на работу детей, ищущих работу: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1) работодатели, находящиеся в стадии ликвидации или банкротства;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2) работодатели на период простоя (временной приостановки работы по причинам экономического, технологического, технического или организационного характера);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3) органы государственной власти, государственные органы, органы местного самоуправления.</w:t>
      </w:r>
    </w:p>
    <w:p w:rsidR="00B841E9" w:rsidRDefault="00B841E9">
      <w:pPr>
        <w:pStyle w:val="ConsPlusNormal"/>
        <w:jc w:val="both"/>
      </w:pPr>
      <w:r>
        <w:t xml:space="preserve">(п. 5 в ред. </w:t>
      </w:r>
      <w:hyperlink r:id="rId17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24.03.2020 N 82-п)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5.1. Работодатели, имеющие обособленные подразделения (филиалы, представительства) на территории Новосибирской области, исчисляют квоту рабочих мест для детей, ищущих работу, исходя из среднесписочной численности работников с учетом обособленных подразделений (филиалов, представительств).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 xml:space="preserve">В случае если руководитель обособленного подразделения (филиала, представительства) наделен полномочиями приема и увольнения работников, указанное обособленное подразделение (филиал, представительство) самостоятельно исчисляет квоту рабочих мест для детей, ищущих работу, от среднесписочной численности работников данного обособленного подразделения (филиала, представительства). В этом случае работодатель исчисляет квоту рабочих мест для детей, ищущих работу, исходя из среднесписочной численности работников без учета </w:t>
      </w:r>
      <w:r>
        <w:lastRenderedPageBreak/>
        <w:t>обособленного подразделения (филиала, представительства).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Работодатели, имеющие обособленные подразделения (филиалы, представительства), расположенные в других субъектах Российской Федерации, исчисляют квоту рабочих мест для детей, ищущих работу, исходя из среднесписочной численности работников без учета обособленных подразделений (филиалов, представительств).</w:t>
      </w:r>
    </w:p>
    <w:p w:rsidR="00B841E9" w:rsidRDefault="00B841E9">
      <w:pPr>
        <w:pStyle w:val="ConsPlusNormal"/>
        <w:jc w:val="both"/>
      </w:pPr>
      <w:r>
        <w:t xml:space="preserve">(п. 5.1 введен </w:t>
      </w:r>
      <w:hyperlink r:id="rId18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19.06.2018 N 265-п)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6. Работодатели: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1) самостоятельно рассчитывают квоту рабочих мест для детей, ищущих работу, в соответствии с установленной величиной квоты.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Количество рабочих мест с учетом установленной квоты рабочих мест для детей, ищущих работу, рассчитывается по правилам математического округления, а именно: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если первый знак после запятой больше или равен 5, целая часть числа увеличивается на единицу;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если первый знак после запятой меньше 5, целая часть числа не изменяется.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При исчислении квоты рабочих мест для детей, ищущих работу, в среднесписочную численность работников не включаются работники, условия труда которых отнесены к вредным и (или) опасным условиям труда по результатам специальной оценки условий труда;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2) ежегодно определяют квотируемые рабочие места для приема на работу детей в соответствии с установленной величиной квоты рабочих мест для детей, ищущих работу.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 xml:space="preserve">Квота рабочих мест для детей, ищущих работу, не может распространяться на рабочие места, где труд детей запрещен </w:t>
      </w:r>
      <w:hyperlink r:id="rId19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25.02.2000 N 163 "Об утверждении перечня тяжелых работ и работ с вредными или опасными условиями труда, при выполнении которых запрещается применение труда лиц моложе восемнадцати лет", а также на рабочие места, условия труда на которых не соответствуют нормам и требованиям законодательства Российской Федерации;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3) принимают локальный нормативный акт, содержащий сведения о созданных или выделенных рабочих местах для детей, ищущих работу, включая сведения о наименовании должности, рабочего места, созданных или выделенных в пределах установленной квоты;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4) в соответствии с установленной квотой рабочих мест для детей, ищущих работу, создают или выделяют рабочие места для трудоустройства детей;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5) представляют в центр занятости населения по месту нахождения копию локального нормативного акта, содержащего сведения о выделенных рабочих местах для детей, ищущих работу;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6) создают необходимые условия труда для детей;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7) обеспечивают детям предоставление льгот, установленных законодательством Российской Федерации.</w:t>
      </w:r>
    </w:p>
    <w:p w:rsidR="00B841E9" w:rsidRDefault="00B841E9">
      <w:pPr>
        <w:pStyle w:val="ConsPlusNormal"/>
        <w:jc w:val="both"/>
      </w:pPr>
      <w:r>
        <w:t xml:space="preserve">(п. 6 в ред. </w:t>
      </w:r>
      <w:hyperlink r:id="rId20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24.03.2020 N 82-п)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Title"/>
        <w:jc w:val="center"/>
        <w:outlineLvl w:val="1"/>
      </w:pPr>
      <w:r>
        <w:t>III. Трудоустройство в счет установленной квоты</w:t>
      </w:r>
    </w:p>
    <w:p w:rsidR="00B841E9" w:rsidRDefault="00B841E9">
      <w:pPr>
        <w:pStyle w:val="ConsPlusTitle"/>
        <w:jc w:val="center"/>
      </w:pPr>
      <w:r>
        <w:t>рабочих мест для детей, ищущих работу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 xml:space="preserve">7. Работодатели, которым установлена квота рабочих мест для детей, ищущих работу, </w:t>
      </w:r>
      <w:r>
        <w:lastRenderedPageBreak/>
        <w:t xml:space="preserve">ежемесячно представляют в центр занятости населения по месту нахождения информацию о наличии вакантных рабочих мест (должностей) в счет установленной квоты рабочих мест для детей, ищущих работу, в соответствии с формой согласно </w:t>
      </w:r>
      <w:hyperlink r:id="rId21" w:history="1">
        <w:r>
          <w:rPr>
            <w:color w:val="0000FF"/>
          </w:rPr>
          <w:t>приложению N 1</w:t>
        </w:r>
      </w:hyperlink>
      <w:r>
        <w:t xml:space="preserve"> к Порядку 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населения, утвержденному постановлением Правительства Новосибирской области от 15.12.2014 N 499-п "О Порядке представления работодателями информации о наличии свободных рабочих мест и вакантных должностей в государственные казенные учреждения Новосибирской области центры занятости населения".</w:t>
      </w:r>
    </w:p>
    <w:p w:rsidR="00B841E9" w:rsidRDefault="00B841E9">
      <w:pPr>
        <w:pStyle w:val="ConsPlusNormal"/>
        <w:jc w:val="both"/>
      </w:pPr>
      <w:r>
        <w:t xml:space="preserve">(п. 7 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19.06.2018 N 265-п)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8. Центры занятости населения при предоставлении государственной услуги содействия в поиске подходящей работы, государственной услуги по организации временного трудоустройства несовершеннолетних граждан в возрасте от 14 до 18 лет в свободное от учебы время выдают детям направления для трудоустройства в счет установленной квоты рабочих мест для детей, ищущих работу.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9. Дети имеют право на трудоустройство в счет установленной квоты рабочих мест для детей, ищущих работу, как путем прямого обращения к работодателю, так и по направлению центров занятости населения.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10. При приеме на работу ребенка, направленного центром занятости населения, работодатель в пятидневный срок возвращает в центр занятости населения направление с указанием дня приема его на работу.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11. В случае отказа в приеме на работу ребенку, направленному центром занятости населения, или отказа ребенка от трудоустройства работодатель делает в направлении центра занятости населения отметку о дне явки ребенка и причине отказа и возвращает направление ребенку.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12. Выполнением квоты рабочих мест для детей, ищущих работу, считается трудоустройство работодателем детей, подтвержденное заключенными трудовыми договорами.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 xml:space="preserve">13. Работодатели, которым установлена квота рабочих мест для детей, ищущих работу, ежемесячно представляют в центр занятости населения по месту нахождения </w:t>
      </w:r>
      <w:hyperlink w:anchor="P119" w:history="1">
        <w:r>
          <w:rPr>
            <w:color w:val="0000FF"/>
          </w:rPr>
          <w:t>информацию</w:t>
        </w:r>
      </w:hyperlink>
      <w:r>
        <w:t xml:space="preserve"> о выполнении квоты рабочих мест для детей, ищущих работу, в соответствии с формой согласно приложению N 2 к Порядку.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Информацию о выполнении установленной квоты работодатели представляют посредством почтовой связи, с использованием средств факсимильной связи или в электронной форме (с последующим подтверждением на бумажном носителе), или через личный кабинет работодателя на Интерактивном портале службы занятости населения Новосибирской области (адрес в сети Интернет http://nszn.nso.ru) с использованием квалифицированной электронной подписи.</w:t>
      </w:r>
    </w:p>
    <w:p w:rsidR="00B841E9" w:rsidRDefault="00B841E9">
      <w:pPr>
        <w:pStyle w:val="ConsPlusNormal"/>
        <w:jc w:val="both"/>
      </w:pPr>
      <w:r>
        <w:t xml:space="preserve">(абзац введен </w:t>
      </w:r>
      <w:hyperlink r:id="rId23" w:history="1">
        <w:r>
          <w:rPr>
            <w:color w:val="0000FF"/>
          </w:rPr>
          <w:t>постановлением</w:t>
        </w:r>
      </w:hyperlink>
      <w:r>
        <w:t xml:space="preserve"> Правительства Новосибирской области от 24.03.2020 N 82-п)</w:t>
      </w:r>
    </w:p>
    <w:p w:rsidR="00B841E9" w:rsidRDefault="00B841E9">
      <w:pPr>
        <w:pStyle w:val="ConsPlusNormal"/>
        <w:jc w:val="both"/>
      </w:pPr>
      <w:r>
        <w:t xml:space="preserve">(п. 13 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19.06.2018 N 265-п)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14. Контроль за выполнением квоты рабочих мест для детей, ищущих работу, осуществляет министерство труда и социального развития Новосибирской области.</w:t>
      </w:r>
    </w:p>
    <w:p w:rsidR="00B841E9" w:rsidRDefault="00B841E9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19.06.2018 N 265-п)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15. Работодатели, нарушающие Порядок, несут ответственность, предусмотренную законодательством Новосибирской области.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right"/>
        <w:outlineLvl w:val="1"/>
      </w:pPr>
      <w:r>
        <w:t>Приложение N 1</w:t>
      </w:r>
    </w:p>
    <w:p w:rsidR="00B841E9" w:rsidRDefault="00B841E9">
      <w:pPr>
        <w:pStyle w:val="ConsPlusNormal"/>
        <w:jc w:val="right"/>
      </w:pPr>
      <w:r>
        <w:t>к Порядку</w:t>
      </w:r>
    </w:p>
    <w:p w:rsidR="00B841E9" w:rsidRDefault="00B841E9">
      <w:pPr>
        <w:pStyle w:val="ConsPlusNormal"/>
        <w:jc w:val="right"/>
      </w:pPr>
      <w:r>
        <w:t>установления квоты рабочих</w:t>
      </w:r>
    </w:p>
    <w:p w:rsidR="00B841E9" w:rsidRDefault="00B841E9">
      <w:pPr>
        <w:pStyle w:val="ConsPlusNormal"/>
        <w:jc w:val="right"/>
      </w:pPr>
      <w:r>
        <w:t>мест для детей, ищущих работу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center"/>
      </w:pPr>
      <w:r>
        <w:t>Сведения о потребности в работниках, наличии свободных</w:t>
      </w:r>
    </w:p>
    <w:p w:rsidR="00B841E9" w:rsidRDefault="00B841E9">
      <w:pPr>
        <w:pStyle w:val="ConsPlusNormal"/>
        <w:jc w:val="center"/>
      </w:pPr>
      <w:r>
        <w:t>рабочих мест (вакантных должностей)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 xml:space="preserve">Утратили силу. - </w:t>
      </w:r>
      <w:hyperlink r:id="rId26" w:history="1">
        <w:r>
          <w:rPr>
            <w:color w:val="0000FF"/>
          </w:rPr>
          <w:t>Постановление</w:t>
        </w:r>
      </w:hyperlink>
      <w:r>
        <w:t xml:space="preserve"> Правительства Новосибирской области от 19.06.2018 N 265-п.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right"/>
        <w:outlineLvl w:val="1"/>
      </w:pPr>
      <w:r>
        <w:t>Приложение N 2</w:t>
      </w:r>
    </w:p>
    <w:p w:rsidR="00B841E9" w:rsidRDefault="00B841E9">
      <w:pPr>
        <w:pStyle w:val="ConsPlusNormal"/>
        <w:jc w:val="right"/>
      </w:pPr>
      <w:r>
        <w:t>к Порядку</w:t>
      </w:r>
    </w:p>
    <w:p w:rsidR="00B841E9" w:rsidRDefault="00B841E9">
      <w:pPr>
        <w:pStyle w:val="ConsPlusNormal"/>
        <w:jc w:val="right"/>
      </w:pPr>
      <w:r>
        <w:t>установления квоты рабочих</w:t>
      </w:r>
    </w:p>
    <w:p w:rsidR="00B841E9" w:rsidRDefault="00B841E9">
      <w:pPr>
        <w:pStyle w:val="ConsPlusNormal"/>
        <w:jc w:val="right"/>
      </w:pPr>
      <w:r>
        <w:t>мест для детей, ищущих работу</w:t>
      </w:r>
    </w:p>
    <w:p w:rsidR="00B841E9" w:rsidRDefault="00B841E9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4A0" w:firstRow="1" w:lastRow="0" w:firstColumn="1" w:lastColumn="0" w:noHBand="0" w:noVBand="1"/>
      </w:tblPr>
      <w:tblGrid>
        <w:gridCol w:w="9354"/>
      </w:tblGrid>
      <w:tr w:rsidR="00B841E9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2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Новосибирской области</w:t>
            </w:r>
          </w:p>
          <w:p w:rsidR="00B841E9" w:rsidRDefault="00B841E9">
            <w:pPr>
              <w:pStyle w:val="ConsPlusNormal"/>
              <w:jc w:val="center"/>
            </w:pPr>
            <w:r>
              <w:rPr>
                <w:color w:val="392C69"/>
              </w:rPr>
              <w:t>от 19.06.2018 N 265-п)</w:t>
            </w:r>
          </w:p>
        </w:tc>
      </w:tr>
    </w:tbl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center"/>
      </w:pPr>
      <w:bookmarkStart w:id="1" w:name="P119"/>
      <w:bookmarkEnd w:id="1"/>
      <w:r>
        <w:t>ИНФОРМАЦИЯ</w:t>
      </w:r>
    </w:p>
    <w:p w:rsidR="00B841E9" w:rsidRDefault="00B841E9">
      <w:pPr>
        <w:pStyle w:val="ConsPlusNormal"/>
        <w:jc w:val="center"/>
      </w:pPr>
      <w:r>
        <w:t>о созданных или выделенных рабочих местах</w:t>
      </w:r>
    </w:p>
    <w:p w:rsidR="00B841E9" w:rsidRDefault="00B841E9">
      <w:pPr>
        <w:pStyle w:val="ConsPlusNormal"/>
        <w:jc w:val="center"/>
      </w:pPr>
      <w:r>
        <w:t>для трудоустройства детей в соответствии с установленной</w:t>
      </w:r>
    </w:p>
    <w:p w:rsidR="00B841E9" w:rsidRDefault="00B841E9">
      <w:pPr>
        <w:pStyle w:val="ConsPlusNormal"/>
        <w:jc w:val="center"/>
      </w:pPr>
      <w:r>
        <w:t>квотой рабочих мест для детей, ищущих работу, о выполнении</w:t>
      </w:r>
    </w:p>
    <w:p w:rsidR="00B841E9" w:rsidRDefault="00B841E9">
      <w:pPr>
        <w:pStyle w:val="ConsPlusNormal"/>
        <w:jc w:val="center"/>
      </w:pPr>
      <w:r>
        <w:t>квоты рабочих мест для детей, ищущих работу, локальном</w:t>
      </w:r>
    </w:p>
    <w:p w:rsidR="00B841E9" w:rsidRDefault="00B841E9">
      <w:pPr>
        <w:pStyle w:val="ConsPlusNormal"/>
        <w:jc w:val="center"/>
      </w:pPr>
      <w:r>
        <w:t>нормативном акте, содержащем сведения о созданных или</w:t>
      </w:r>
    </w:p>
    <w:p w:rsidR="00B841E9" w:rsidRDefault="00B841E9">
      <w:pPr>
        <w:pStyle w:val="ConsPlusNormal"/>
        <w:jc w:val="center"/>
      </w:pPr>
      <w:r>
        <w:t>выделенных рабочих местах для трудоустройства детей,</w:t>
      </w:r>
    </w:p>
    <w:p w:rsidR="00B841E9" w:rsidRDefault="00B841E9">
      <w:pPr>
        <w:pStyle w:val="ConsPlusNormal"/>
        <w:jc w:val="center"/>
      </w:pPr>
      <w:r>
        <w:t>за январь - __________ 20___ г.</w:t>
      </w:r>
    </w:p>
    <w:p w:rsidR="00B841E9" w:rsidRDefault="00B841E9">
      <w:pPr>
        <w:pStyle w:val="ConsPlusNormal"/>
        <w:jc w:val="center"/>
      </w:pPr>
      <w:r>
        <w:t>(нарастающим итогом считаются строки 6 и 7)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jc w:val="right"/>
      </w:pPr>
      <w:r>
        <w:t>Периодичность: ежемесячная</w:t>
      </w:r>
    </w:p>
    <w:p w:rsidR="00B841E9" w:rsidRDefault="00B841E9">
      <w:pPr>
        <w:pStyle w:val="ConsPlusNormal"/>
        <w:jc w:val="right"/>
      </w:pPr>
      <w:r>
        <w:t>Срок представления: до 5 числа месяца, следующего за отчетным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sectPr w:rsidR="00B841E9" w:rsidSect="00A0408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483"/>
        <w:gridCol w:w="6122"/>
      </w:tblGrid>
      <w:tr w:rsidR="00B841E9">
        <w:tc>
          <w:tcPr>
            <w:tcW w:w="7483" w:type="dxa"/>
          </w:tcPr>
          <w:p w:rsidR="00B841E9" w:rsidRDefault="00B841E9">
            <w:pPr>
              <w:pStyle w:val="ConsPlusNormal"/>
            </w:pPr>
            <w:r>
              <w:lastRenderedPageBreak/>
              <w:t>Наименование организации, представляющей отчет</w:t>
            </w:r>
          </w:p>
        </w:tc>
        <w:tc>
          <w:tcPr>
            <w:tcW w:w="6122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7483" w:type="dxa"/>
          </w:tcPr>
          <w:p w:rsidR="00B841E9" w:rsidRDefault="00B841E9">
            <w:pPr>
              <w:pStyle w:val="ConsPlusNormal"/>
            </w:pPr>
            <w:r>
              <w:t>ИНН</w:t>
            </w:r>
          </w:p>
        </w:tc>
        <w:tc>
          <w:tcPr>
            <w:tcW w:w="6122" w:type="dxa"/>
          </w:tcPr>
          <w:p w:rsidR="00B841E9" w:rsidRDefault="00B841E9">
            <w:pPr>
              <w:pStyle w:val="ConsPlusNormal"/>
            </w:pPr>
          </w:p>
        </w:tc>
      </w:tr>
    </w:tbl>
    <w:p w:rsidR="00B841E9" w:rsidRDefault="00B841E9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3"/>
        <w:gridCol w:w="10885"/>
        <w:gridCol w:w="2097"/>
      </w:tblGrid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  <w:jc w:val="center"/>
            </w:pPr>
            <w:r>
              <w:t>Всего</w:t>
            </w: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Численность работников организации на 01.01.20___,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Среднесписочная численность работников, всего,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из них занятых на тяжелых работах и работах с вредными или опасными условиями труда,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Среднесписочная численность работников для установления квоты,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Количество рабочих мест, созданных или выделенных в счет квоты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Численность детей, принятых в счет квоты, за отчетный период, всего (с учетом принятых на рабочие места сверх установленной квоты),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в том числе по направлению центра занятости населения,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Численность граждан, работающих в организации на конец отчетного периода, всего,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  <w:tr w:rsidR="00B841E9">
        <w:tc>
          <w:tcPr>
            <w:tcW w:w="623" w:type="dxa"/>
          </w:tcPr>
          <w:p w:rsidR="00B841E9" w:rsidRDefault="00B841E9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0885" w:type="dxa"/>
          </w:tcPr>
          <w:p w:rsidR="00B841E9" w:rsidRDefault="00B841E9">
            <w:pPr>
              <w:pStyle w:val="ConsPlusNormal"/>
            </w:pPr>
            <w:r>
              <w:t>в том числе детей (с учетом работающих сверх установленной квоты), чел.</w:t>
            </w:r>
          </w:p>
        </w:tc>
        <w:tc>
          <w:tcPr>
            <w:tcW w:w="2097" w:type="dxa"/>
          </w:tcPr>
          <w:p w:rsidR="00B841E9" w:rsidRDefault="00B841E9">
            <w:pPr>
              <w:pStyle w:val="ConsPlusNormal"/>
            </w:pPr>
          </w:p>
        </w:tc>
      </w:tr>
    </w:tbl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>Информация о локальном нормативном акте, содержащем сведения о созданных или выделенных рабочих местах для трудоустройства детей:</w:t>
      </w:r>
    </w:p>
    <w:p w:rsidR="00B841E9" w:rsidRDefault="00B841E9">
      <w:pPr>
        <w:pStyle w:val="ConsPlusNormal"/>
        <w:spacing w:before="220"/>
        <w:ind w:firstLine="540"/>
        <w:jc w:val="both"/>
      </w:pPr>
      <w:r>
        <w:t>Приказ (распоряжение) от ____ N _____ (наименование).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  <w:r>
        <w:t>М.П. (при наличии) Руководитель __________________ (____________________)</w:t>
      </w: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ind w:firstLine="540"/>
        <w:jc w:val="both"/>
      </w:pPr>
    </w:p>
    <w:p w:rsidR="00B841E9" w:rsidRDefault="00B841E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503B8" w:rsidRDefault="00B841E9">
      <w:bookmarkStart w:id="2" w:name="_GoBack"/>
      <w:bookmarkEnd w:id="2"/>
    </w:p>
    <w:sectPr w:rsidR="008503B8" w:rsidSect="007945A5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41E9"/>
    <w:rsid w:val="003E26EE"/>
    <w:rsid w:val="007D3A7B"/>
    <w:rsid w:val="00914C23"/>
    <w:rsid w:val="00B84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CD4F3-EA90-4CDB-AD08-08A8EA050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4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41E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41E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BE102D6D5A7CE683AF1EC5E3943FF2F46537FE592D1DB011312118B05237B585A65414FA22619C3D8FE43A4DBF5D1429B0CE1F3EAC95E130ED57BD1TATFH" TargetMode="External"/><Relationship Id="rId13" Type="http://schemas.openxmlformats.org/officeDocument/2006/relationships/hyperlink" Target="consultantplus://offline/ref=CBE102D6D5A7CE683AF1F2532F2FA1264C5D29E196D3D8504C4F17DC5A737D0D1A25471AE16214CADDF515FC98AB8811D847ECF9F3D55E19T1T0H" TargetMode="External"/><Relationship Id="rId18" Type="http://schemas.openxmlformats.org/officeDocument/2006/relationships/hyperlink" Target="consultantplus://offline/ref=CBE102D6D5A7CE683AF1EC5E3943FF2F46537FE592D2D307191F118B05237B585A65414FA22619C3D8FE41ACDFF5D1429B0CE1F3EAC95E130ED57BD1TATFH" TargetMode="External"/><Relationship Id="rId26" Type="http://schemas.openxmlformats.org/officeDocument/2006/relationships/hyperlink" Target="consultantplus://offline/ref=CBE102D6D5A7CE683AF1EC5E3943FF2F46537FE592D2D307191F118B05237B585A65414FA22619C3D8FE41AFD9F5D1429B0CE1F3EAC95E130ED57BD1TATFH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CBE102D6D5A7CE683AF1EC5E3943FF2F46537FE592D1D20E1113118B05237B585A65414FA22619C3D8FE41A5DEF5D1429B0CE1F3EAC95E130ED57BD1TATFH" TargetMode="External"/><Relationship Id="rId7" Type="http://schemas.openxmlformats.org/officeDocument/2006/relationships/hyperlink" Target="consultantplus://offline/ref=CBE102D6D5A7CE683AF1F2532F2FA1264C5D29E196D3D8504C4F17DC5A737D0D1A25471AE16214CADDF515FC98AB8811D847ECF9F3D55E19T1T0H" TargetMode="External"/><Relationship Id="rId12" Type="http://schemas.openxmlformats.org/officeDocument/2006/relationships/hyperlink" Target="consultantplus://offline/ref=CBE102D6D5A7CE683AF1EC5E3943FF2F46537FE592D1D404131C118B05237B585A65414FA22619C3D8FE41ADD4F5D1429B0CE1F3EAC95E130ED57BD1TATFH" TargetMode="External"/><Relationship Id="rId17" Type="http://schemas.openxmlformats.org/officeDocument/2006/relationships/hyperlink" Target="consultantplus://offline/ref=CBE102D6D5A7CE683AF1EC5E3943FF2F46537FE592D1D404131C118B05237B585A65414FA22619C3D8FE41ADD5F5D1429B0CE1F3EAC95E130ED57BD1TATFH" TargetMode="External"/><Relationship Id="rId25" Type="http://schemas.openxmlformats.org/officeDocument/2006/relationships/hyperlink" Target="consultantplus://offline/ref=CBE102D6D5A7CE683AF1EC5E3943FF2F46537FE592D2D307191F118B05237B585A65414FA22619C3D8FE41AFD8F5D1429B0CE1F3EAC95E130ED57BD1TATFH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CBE102D6D5A7CE683AF1EC5E3943FF2F46537FE592D2D307191F118B05237B585A65414FA22619C3D8FE41ACDDF5D1429B0CE1F3EAC95E130ED57BD1TATFH" TargetMode="External"/><Relationship Id="rId20" Type="http://schemas.openxmlformats.org/officeDocument/2006/relationships/hyperlink" Target="consultantplus://offline/ref=CBE102D6D5A7CE683AF1EC5E3943FF2F46537FE592D1D404131C118B05237B585A65414FA22619C3D8FE41ACD8F5D1429B0CE1F3EAC95E130ED57BD1TATFH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BE102D6D5A7CE683AF1EC5E3943FF2F46537FE592D1D404131C118B05237B585A65414FA22619C3D8FE41ADD9F5D1429B0CE1F3EAC95E130ED57BD1TATFH" TargetMode="External"/><Relationship Id="rId11" Type="http://schemas.openxmlformats.org/officeDocument/2006/relationships/hyperlink" Target="consultantplus://offline/ref=CBE102D6D5A7CE683AF1EC5E3943FF2F46537FE592D2D307191F118B05237B585A65414FA22619C3D8FE41ADD4F5D1429B0CE1F3EAC95E130ED57BD1TATFH" TargetMode="External"/><Relationship Id="rId24" Type="http://schemas.openxmlformats.org/officeDocument/2006/relationships/hyperlink" Target="consultantplus://offline/ref=CBE102D6D5A7CE683AF1EC5E3943FF2F46537FE592D2D307191F118B05237B585A65414FA22619C3D8FE41AFDEF5D1429B0CE1F3EAC95E130ED57BD1TATFH" TargetMode="External"/><Relationship Id="rId5" Type="http://schemas.openxmlformats.org/officeDocument/2006/relationships/hyperlink" Target="consultantplus://offline/ref=CBE102D6D5A7CE683AF1EC5E3943FF2F46537FE592D2D307191F118B05237B585A65414FA22619C3D8FE41ADD9F5D1429B0CE1F3EAC95E130ED57BD1TATFH" TargetMode="External"/><Relationship Id="rId15" Type="http://schemas.openxmlformats.org/officeDocument/2006/relationships/hyperlink" Target="consultantplus://offline/ref=CBE102D6D5A7CE683AF1EC5E3943FF2F46537FE592D2D307191F118B05237B585A65414FA22619C3D8FE41ADD5F5D1429B0CE1F3EAC95E130ED57BD1TATFH" TargetMode="External"/><Relationship Id="rId23" Type="http://schemas.openxmlformats.org/officeDocument/2006/relationships/hyperlink" Target="consultantplus://offline/ref=CBE102D6D5A7CE683AF1EC5E3943FF2F46537FE592D1D404131C118B05237B585A65414FA22619C3D8FE41AFD4F5D1429B0CE1F3EAC95E130ED57BD1TATFH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CBE102D6D5A7CE683AF1EC5E3943FF2F46537FE592D1D404131C118B05237B585A65414FA22619C3D8FE41ADDAF5D1429B0CE1F3EAC95E130ED57BD1TATFH" TargetMode="External"/><Relationship Id="rId19" Type="http://schemas.openxmlformats.org/officeDocument/2006/relationships/hyperlink" Target="consultantplus://offline/ref=CBE102D6D5A7CE683AF1F2532F2FA1264E5924EC94D5D8504C4F17DC5A737D0D08251F16E3650AC2D0E043ADDETFTE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CBE102D6D5A7CE683AF1EC5E3943FF2F46537FE591D6D70417104C810D7A775A5D6A1E4AA53719C0DFE041A5C2FC8511TDTFH" TargetMode="External"/><Relationship Id="rId14" Type="http://schemas.openxmlformats.org/officeDocument/2006/relationships/hyperlink" Target="consultantplus://offline/ref=CBE102D6D5A7CE683AF1EC5E3943FF2F46537FE592D1DB011312118B05237B585A65414FA22619C3D8FE43A4DBF5D1429B0CE1F3EAC95E130ED57BD1TATFH" TargetMode="External"/><Relationship Id="rId22" Type="http://schemas.openxmlformats.org/officeDocument/2006/relationships/hyperlink" Target="consultantplus://offline/ref=CBE102D6D5A7CE683AF1EC5E3943FF2F46537FE592D2D307191F118B05237B585A65414FA22619C3D8FE41AFDCF5D1429B0CE1F3EAC95E130ED57BD1TATFH" TargetMode="External"/><Relationship Id="rId27" Type="http://schemas.openxmlformats.org/officeDocument/2006/relationships/hyperlink" Target="consultantplus://offline/ref=CBE102D6D5A7CE683AF1EC5E3943FF2F46537FE592D2D307191F118B05237B585A65414FA22619C3D8FE41AFDAF5D1429B0CE1F3EAC95E130ED57BD1TATF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2494</Words>
  <Characters>14218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16679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Гарифулина Ольга Николаевна</dc:creator>
  <cp:keywords/>
  <dc:description/>
  <cp:lastModifiedBy>Гарифулина Ольга Николаевна</cp:lastModifiedBy>
  <cp:revision>1</cp:revision>
  <dcterms:created xsi:type="dcterms:W3CDTF">2020-08-27T07:19:00Z</dcterms:created>
  <dcterms:modified xsi:type="dcterms:W3CDTF">2020-08-27T07:19:00Z</dcterms:modified>
</cp:coreProperties>
</file>