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FA" w:rsidRDefault="002E00FA">
      <w:pPr>
        <w:pStyle w:val="ConsPlusTitlePage"/>
      </w:pPr>
      <w:r>
        <w:t xml:space="preserve">Документ предоставлен </w:t>
      </w:r>
      <w:hyperlink r:id="rId4">
        <w:r>
          <w:rPr>
            <w:color w:val="0000FF"/>
          </w:rPr>
          <w:t>КонсультантПлюс</w:t>
        </w:r>
      </w:hyperlink>
      <w:r>
        <w:br/>
      </w:r>
    </w:p>
    <w:p w:rsidR="002E00FA" w:rsidRDefault="002E00FA">
      <w:pPr>
        <w:pStyle w:val="ConsPlusNormal"/>
        <w:ind w:firstLine="540"/>
        <w:jc w:val="both"/>
        <w:outlineLvl w:val="0"/>
      </w:pPr>
    </w:p>
    <w:p w:rsidR="002E00FA" w:rsidRDefault="002E00FA">
      <w:pPr>
        <w:pStyle w:val="ConsPlusTitle"/>
        <w:jc w:val="center"/>
        <w:outlineLvl w:val="0"/>
      </w:pPr>
      <w:r>
        <w:t>МИНИСТЕРСТВО ПРОМЫШЛЕННОСТИ, ТОРГОВЛИ И РАЗВИТИЯ</w:t>
      </w:r>
    </w:p>
    <w:p w:rsidR="002E00FA" w:rsidRDefault="002E00FA">
      <w:pPr>
        <w:pStyle w:val="ConsPlusTitle"/>
        <w:jc w:val="center"/>
      </w:pPr>
      <w:r>
        <w:t>ПРЕДПРИНИМАТЕЛЬСТВА НОВОСИБИРСКОЙ ОБЛАСТИ</w:t>
      </w:r>
    </w:p>
    <w:p w:rsidR="002E00FA" w:rsidRDefault="002E00FA">
      <w:pPr>
        <w:pStyle w:val="ConsPlusTitle"/>
        <w:jc w:val="center"/>
      </w:pPr>
    </w:p>
    <w:p w:rsidR="002E00FA" w:rsidRDefault="002E00FA">
      <w:pPr>
        <w:pStyle w:val="ConsPlusTitle"/>
        <w:jc w:val="center"/>
      </w:pPr>
      <w:r>
        <w:t>ПРИКАЗ</w:t>
      </w:r>
    </w:p>
    <w:p w:rsidR="002E00FA" w:rsidRDefault="002E00FA">
      <w:pPr>
        <w:pStyle w:val="ConsPlusTitle"/>
        <w:jc w:val="center"/>
      </w:pPr>
      <w:r>
        <w:t>от 27 января 2022 г. N 29</w:t>
      </w:r>
    </w:p>
    <w:p w:rsidR="002E00FA" w:rsidRDefault="002E00FA">
      <w:pPr>
        <w:pStyle w:val="ConsPlusTitle"/>
        <w:jc w:val="center"/>
      </w:pPr>
    </w:p>
    <w:p w:rsidR="002E00FA" w:rsidRDefault="002E00FA">
      <w:pPr>
        <w:pStyle w:val="ConsPlusTitle"/>
        <w:jc w:val="center"/>
      </w:pPr>
      <w:r>
        <w:t>О ПЛАНЕ РЕАЛИЗАЦИИ МЕРОПРИЯТИЙ ГОСУДАРСТВЕННОЙ ПРОГРАММЫ</w:t>
      </w:r>
    </w:p>
    <w:p w:rsidR="002E00FA" w:rsidRDefault="002E00FA">
      <w:pPr>
        <w:pStyle w:val="ConsPlusTitle"/>
        <w:jc w:val="center"/>
      </w:pPr>
      <w:r>
        <w:t>НОВОСИБИРСКОЙ ОБЛАСТИ "РАЗВИТИЕ ПРОМЫШЛЕННОСТИ И ПОВЫШЕНИЕ</w:t>
      </w:r>
    </w:p>
    <w:p w:rsidR="002E00FA" w:rsidRDefault="002E00FA">
      <w:pPr>
        <w:pStyle w:val="ConsPlusTitle"/>
        <w:jc w:val="center"/>
      </w:pPr>
      <w:r>
        <w:t>ЕЕ КОНКУРЕНТОСПОСОБНОСТИ В НОВОСИБИРСКОЙ ОБЛАСТИ"</w:t>
      </w:r>
    </w:p>
    <w:p w:rsidR="002E00FA" w:rsidRDefault="002E00FA">
      <w:pPr>
        <w:pStyle w:val="ConsPlusTitle"/>
        <w:jc w:val="center"/>
      </w:pPr>
      <w:r>
        <w:t>НА ОЧЕРЕДНОЙ 2022 ГОД И ПЛАНОВЫЙ ПЕРИОД 2023 И 2024 ГОДОВ</w:t>
      </w:r>
    </w:p>
    <w:p w:rsidR="002E00FA" w:rsidRDefault="002E0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0FA" w:rsidRDefault="002E0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0FA" w:rsidRDefault="002E0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0FA" w:rsidRDefault="002E00FA">
            <w:pPr>
              <w:pStyle w:val="ConsPlusNormal"/>
              <w:jc w:val="center"/>
            </w:pPr>
            <w:r>
              <w:rPr>
                <w:color w:val="392C69"/>
              </w:rPr>
              <w:t>Список изменяющих документов</w:t>
            </w:r>
          </w:p>
          <w:p w:rsidR="002E00FA" w:rsidRDefault="002E00FA">
            <w:pPr>
              <w:pStyle w:val="ConsPlusNormal"/>
              <w:jc w:val="center"/>
            </w:pPr>
            <w:r>
              <w:rPr>
                <w:color w:val="392C69"/>
              </w:rPr>
              <w:t>(в ред. приказов Минпромторга Новосибирской области</w:t>
            </w:r>
          </w:p>
          <w:p w:rsidR="002E00FA" w:rsidRDefault="002E00FA">
            <w:pPr>
              <w:pStyle w:val="ConsPlusNormal"/>
              <w:jc w:val="center"/>
            </w:pPr>
            <w:r>
              <w:rPr>
                <w:color w:val="392C69"/>
              </w:rPr>
              <w:t xml:space="preserve">от 08.07.2022 </w:t>
            </w:r>
            <w:hyperlink r:id="rId5">
              <w:r>
                <w:rPr>
                  <w:color w:val="0000FF"/>
                </w:rPr>
                <w:t>N 217</w:t>
              </w:r>
            </w:hyperlink>
            <w:r>
              <w:rPr>
                <w:color w:val="392C69"/>
              </w:rPr>
              <w:t xml:space="preserve">, от 06.09.2022 </w:t>
            </w:r>
            <w:hyperlink r:id="rId6">
              <w:r>
                <w:rPr>
                  <w:color w:val="0000FF"/>
                </w:rPr>
                <w:t>N 284</w:t>
              </w:r>
            </w:hyperlink>
            <w:r>
              <w:rPr>
                <w:color w:val="392C69"/>
              </w:rPr>
              <w:t xml:space="preserve">, от 14.12.2022 </w:t>
            </w:r>
            <w:hyperlink r:id="rId7">
              <w:r>
                <w:rPr>
                  <w:color w:val="0000FF"/>
                </w:rPr>
                <w:t>N 382</w:t>
              </w:r>
            </w:hyperlink>
            <w:r>
              <w:rPr>
                <w:color w:val="392C69"/>
              </w:rPr>
              <w:t>,</w:t>
            </w:r>
          </w:p>
          <w:p w:rsidR="002E00FA" w:rsidRDefault="002E00FA">
            <w:pPr>
              <w:pStyle w:val="ConsPlusNormal"/>
              <w:jc w:val="center"/>
            </w:pPr>
            <w:r>
              <w:rPr>
                <w:color w:val="392C69"/>
              </w:rPr>
              <w:t xml:space="preserve">от 30.12.2022 </w:t>
            </w:r>
            <w:hyperlink r:id="rId8">
              <w:r>
                <w:rPr>
                  <w:color w:val="0000FF"/>
                </w:rPr>
                <w:t>N 400</w:t>
              </w:r>
            </w:hyperlink>
            <w:r>
              <w:rPr>
                <w:color w:val="392C69"/>
              </w:rPr>
              <w:t xml:space="preserve">, от 23.03.2023 </w:t>
            </w:r>
            <w:hyperlink r:id="rId9">
              <w:r>
                <w:rPr>
                  <w:color w:val="0000FF"/>
                </w:rPr>
                <w:t>N 86-НПА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0FA" w:rsidRDefault="002E00FA">
            <w:pPr>
              <w:pStyle w:val="ConsPlusNormal"/>
            </w:pPr>
          </w:p>
        </w:tc>
      </w:tr>
    </w:tbl>
    <w:p w:rsidR="002E00FA" w:rsidRDefault="002E00FA">
      <w:pPr>
        <w:pStyle w:val="ConsPlusNormal"/>
        <w:ind w:firstLine="540"/>
        <w:jc w:val="both"/>
      </w:pPr>
    </w:p>
    <w:p w:rsidR="002E00FA" w:rsidRDefault="002E00FA">
      <w:pPr>
        <w:pStyle w:val="ConsPlusNormal"/>
        <w:ind w:firstLine="540"/>
        <w:jc w:val="both"/>
      </w:pPr>
      <w:r>
        <w:t xml:space="preserve">В целях реализации мероприятий государственной </w:t>
      </w:r>
      <w:hyperlink r:id="rId10">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приказываю:</w:t>
      </w:r>
    </w:p>
    <w:p w:rsidR="002E00FA" w:rsidRDefault="002E00FA">
      <w:pPr>
        <w:pStyle w:val="ConsPlusNormal"/>
        <w:spacing w:before="220"/>
        <w:ind w:firstLine="540"/>
        <w:jc w:val="both"/>
      </w:pPr>
      <w:r>
        <w:t xml:space="preserve">1. Утвердить прилагаемый </w:t>
      </w:r>
      <w:hyperlink w:anchor="P38">
        <w:r>
          <w:rPr>
            <w:color w:val="0000FF"/>
          </w:rPr>
          <w:t>план</w:t>
        </w:r>
      </w:hyperlink>
      <w:r>
        <w:t xml:space="preserve">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на очередной 2022 год и плановый период 2023 и 2024 годов.</w:t>
      </w:r>
    </w:p>
    <w:p w:rsidR="002E00FA" w:rsidRDefault="002E00FA">
      <w:pPr>
        <w:pStyle w:val="ConsPlusNormal"/>
        <w:spacing w:before="220"/>
        <w:ind w:firstLine="540"/>
        <w:jc w:val="both"/>
      </w:pPr>
      <w:r>
        <w:t>2. Признать утратившими силу:</w:t>
      </w:r>
    </w:p>
    <w:p w:rsidR="002E00FA" w:rsidRDefault="002E00FA">
      <w:pPr>
        <w:pStyle w:val="ConsPlusNormal"/>
        <w:spacing w:before="220"/>
        <w:ind w:firstLine="540"/>
        <w:jc w:val="both"/>
      </w:pPr>
      <w:r>
        <w:t xml:space="preserve">1) </w:t>
      </w:r>
      <w:hyperlink r:id="rId11">
        <w:r>
          <w:rPr>
            <w:color w:val="0000FF"/>
          </w:rPr>
          <w:t>приказ</w:t>
        </w:r>
      </w:hyperlink>
      <w:r>
        <w:t xml:space="preserve"> министерства промышленности, торговли и развития предпринимательства Новосибирской области от 20.01.2021 N 11 "О плане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на очередной 2021 год и плановый период 2022 и 2023 годов";</w:t>
      </w:r>
    </w:p>
    <w:p w:rsidR="002E00FA" w:rsidRDefault="002E00FA">
      <w:pPr>
        <w:pStyle w:val="ConsPlusNormal"/>
        <w:spacing w:before="220"/>
        <w:ind w:firstLine="540"/>
        <w:jc w:val="both"/>
      </w:pPr>
      <w:r>
        <w:t xml:space="preserve">2) </w:t>
      </w:r>
      <w:hyperlink r:id="rId12">
        <w:r>
          <w:rPr>
            <w:color w:val="0000FF"/>
          </w:rPr>
          <w:t>приказ</w:t>
        </w:r>
      </w:hyperlink>
      <w:r>
        <w:t xml:space="preserve"> министерства промышленности, торговли и развития предпринимательства Новосибирской области от 26.07.2021 N 212 "О внесении изменений в приказ министерства промышленности, торговли и развития предпринимательства Новосибирской области от 20.01.2021 N 11";</w:t>
      </w:r>
    </w:p>
    <w:p w:rsidR="002E00FA" w:rsidRDefault="002E00FA">
      <w:pPr>
        <w:pStyle w:val="ConsPlusNormal"/>
        <w:spacing w:before="220"/>
        <w:ind w:firstLine="540"/>
        <w:jc w:val="both"/>
      </w:pPr>
      <w:r>
        <w:t xml:space="preserve">3) </w:t>
      </w:r>
      <w:hyperlink r:id="rId13">
        <w:r>
          <w:rPr>
            <w:color w:val="0000FF"/>
          </w:rPr>
          <w:t>приказ</w:t>
        </w:r>
      </w:hyperlink>
      <w:r>
        <w:t xml:space="preserve"> министерства промышленности, торговли и развития предпринимательства Новосибирской области от 22.10.2021 N 307 "О внесении изменений в приказ министерства промышленности, торговли и развития предпринимательства Новосибирской области от 20.01.2021 N 11".</w:t>
      </w:r>
    </w:p>
    <w:p w:rsidR="002E00FA" w:rsidRDefault="002E00FA">
      <w:pPr>
        <w:pStyle w:val="ConsPlusNormal"/>
        <w:spacing w:before="220"/>
        <w:ind w:firstLine="540"/>
        <w:jc w:val="both"/>
      </w:pPr>
      <w:r>
        <w:t>3. Контроль за исполнением настоящего приказа оставляю за собой.</w:t>
      </w:r>
    </w:p>
    <w:p w:rsidR="002E00FA" w:rsidRDefault="002E00FA">
      <w:pPr>
        <w:pStyle w:val="ConsPlusNormal"/>
        <w:ind w:firstLine="540"/>
        <w:jc w:val="both"/>
      </w:pPr>
    </w:p>
    <w:p w:rsidR="002E00FA" w:rsidRDefault="002E00FA">
      <w:pPr>
        <w:pStyle w:val="ConsPlusNormal"/>
        <w:jc w:val="right"/>
      </w:pPr>
      <w:r>
        <w:t>И.о. министра</w:t>
      </w:r>
    </w:p>
    <w:p w:rsidR="002E00FA" w:rsidRDefault="002E00FA">
      <w:pPr>
        <w:pStyle w:val="ConsPlusNormal"/>
        <w:jc w:val="right"/>
      </w:pPr>
      <w:r>
        <w:t>В.В.ВАСИЛЬЕВ</w:t>
      </w:r>
    </w:p>
    <w:p w:rsidR="002E00FA" w:rsidRDefault="002E00FA">
      <w:pPr>
        <w:pStyle w:val="ConsPlusNormal"/>
        <w:ind w:firstLine="540"/>
        <w:jc w:val="both"/>
      </w:pPr>
    </w:p>
    <w:p w:rsidR="002E00FA" w:rsidRDefault="002E00FA">
      <w:pPr>
        <w:pStyle w:val="ConsPlusNormal"/>
        <w:ind w:firstLine="540"/>
        <w:jc w:val="both"/>
      </w:pPr>
    </w:p>
    <w:p w:rsidR="002E00FA" w:rsidRDefault="002E00FA">
      <w:pPr>
        <w:pStyle w:val="ConsPlusNormal"/>
        <w:ind w:firstLine="540"/>
        <w:jc w:val="both"/>
      </w:pPr>
    </w:p>
    <w:p w:rsidR="002E00FA" w:rsidRDefault="002E00FA">
      <w:pPr>
        <w:pStyle w:val="ConsPlusNormal"/>
        <w:ind w:firstLine="540"/>
        <w:jc w:val="both"/>
      </w:pPr>
    </w:p>
    <w:p w:rsidR="002E00FA" w:rsidRDefault="002E00FA">
      <w:pPr>
        <w:pStyle w:val="ConsPlusNormal"/>
        <w:ind w:firstLine="540"/>
        <w:jc w:val="both"/>
      </w:pPr>
    </w:p>
    <w:p w:rsidR="002E00FA" w:rsidRDefault="002E00FA">
      <w:pPr>
        <w:pStyle w:val="ConsPlusNormal"/>
        <w:jc w:val="right"/>
        <w:outlineLvl w:val="0"/>
      </w:pPr>
      <w:r>
        <w:t>Утвержден</w:t>
      </w:r>
    </w:p>
    <w:p w:rsidR="002E00FA" w:rsidRDefault="002E00FA">
      <w:pPr>
        <w:pStyle w:val="ConsPlusNormal"/>
        <w:jc w:val="right"/>
      </w:pPr>
      <w:r>
        <w:t>приказом</w:t>
      </w:r>
    </w:p>
    <w:p w:rsidR="002E00FA" w:rsidRDefault="002E00FA">
      <w:pPr>
        <w:pStyle w:val="ConsPlusNormal"/>
        <w:jc w:val="right"/>
      </w:pPr>
      <w:r>
        <w:t>министерства промышленности, торговли</w:t>
      </w:r>
    </w:p>
    <w:p w:rsidR="002E00FA" w:rsidRDefault="002E00FA">
      <w:pPr>
        <w:pStyle w:val="ConsPlusNormal"/>
        <w:jc w:val="right"/>
      </w:pPr>
      <w:r>
        <w:t>и развития предпринимательства</w:t>
      </w:r>
    </w:p>
    <w:p w:rsidR="002E00FA" w:rsidRDefault="002E00FA">
      <w:pPr>
        <w:pStyle w:val="ConsPlusNormal"/>
        <w:jc w:val="right"/>
      </w:pPr>
      <w:r>
        <w:t>Новосибирской области</w:t>
      </w:r>
    </w:p>
    <w:p w:rsidR="002E00FA" w:rsidRDefault="002E00FA">
      <w:pPr>
        <w:pStyle w:val="ConsPlusNormal"/>
        <w:jc w:val="right"/>
      </w:pPr>
      <w:r>
        <w:t>от 27.01.2022 N 29</w:t>
      </w:r>
    </w:p>
    <w:p w:rsidR="002E00FA" w:rsidRDefault="002E00FA">
      <w:pPr>
        <w:pStyle w:val="ConsPlusNormal"/>
        <w:ind w:firstLine="540"/>
        <w:jc w:val="both"/>
      </w:pPr>
    </w:p>
    <w:p w:rsidR="002E00FA" w:rsidRDefault="002E00FA">
      <w:pPr>
        <w:pStyle w:val="ConsPlusTitle"/>
        <w:jc w:val="center"/>
      </w:pPr>
      <w:bookmarkStart w:id="0" w:name="P38"/>
      <w:bookmarkEnd w:id="0"/>
      <w:r>
        <w:t>ПЛАН</w:t>
      </w:r>
    </w:p>
    <w:p w:rsidR="002E00FA" w:rsidRDefault="002E00FA">
      <w:pPr>
        <w:pStyle w:val="ConsPlusTitle"/>
        <w:jc w:val="center"/>
      </w:pPr>
      <w:r>
        <w:t>РЕАЛИЗАЦИИ МЕРОПРИЯТИЙ ГОСУДАРСТВЕННОЙ ПРОГРАММЫ</w:t>
      </w:r>
    </w:p>
    <w:p w:rsidR="002E00FA" w:rsidRDefault="002E00FA">
      <w:pPr>
        <w:pStyle w:val="ConsPlusTitle"/>
        <w:jc w:val="center"/>
      </w:pPr>
      <w:r>
        <w:t>НОВОСИБИРСКОЙ ОБЛАСТИ "РАЗВИТИЕ ПРОМЫШЛЕННОСТИ И ПОВЫШЕНИЕ</w:t>
      </w:r>
    </w:p>
    <w:p w:rsidR="002E00FA" w:rsidRDefault="002E00FA">
      <w:pPr>
        <w:pStyle w:val="ConsPlusTitle"/>
        <w:jc w:val="center"/>
      </w:pPr>
      <w:r>
        <w:t>ЕЕ КОНКУРЕНТОСПОСОБНОСТИ В НОВОСИБИРСКОЙ ОБЛАСТИ"</w:t>
      </w:r>
    </w:p>
    <w:p w:rsidR="002E00FA" w:rsidRDefault="002E00FA">
      <w:pPr>
        <w:pStyle w:val="ConsPlusTitle"/>
        <w:jc w:val="center"/>
      </w:pPr>
      <w:r>
        <w:t>НА ОЧЕРЕДНОЙ 2022 ГОД И ПЛАНОВЫЙ ПЕРИОД 2023 И 2024 ГОДОВ</w:t>
      </w:r>
    </w:p>
    <w:p w:rsidR="002E00FA" w:rsidRDefault="002E00FA">
      <w:pPr>
        <w:pStyle w:val="ConsPlusTitle"/>
        <w:jc w:val="center"/>
      </w:pPr>
      <w:r>
        <w:t>(НА ОСНОВАНИИ ГОСУДАРСТВЕННОЙ ПРОГРАММЫ В РЕДАКЦИИ</w:t>
      </w:r>
    </w:p>
    <w:p w:rsidR="002E00FA" w:rsidRDefault="002E00FA">
      <w:pPr>
        <w:pStyle w:val="ConsPlusTitle"/>
        <w:jc w:val="center"/>
      </w:pPr>
      <w:r>
        <w:t>ПОСТАНОВЛЕНИЯ ПРАВИТЕЛЬСТВА НОВОСИБИРСКОЙ</w:t>
      </w:r>
    </w:p>
    <w:p w:rsidR="002E00FA" w:rsidRDefault="002E00FA">
      <w:pPr>
        <w:pStyle w:val="ConsPlusTitle"/>
        <w:jc w:val="center"/>
      </w:pPr>
      <w:r>
        <w:t>ОБЛАСТИ ОТ 25.01.2022 N 19-П)</w:t>
      </w:r>
    </w:p>
    <w:p w:rsidR="002E00FA" w:rsidRDefault="002E0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0FA" w:rsidRDefault="002E0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0FA" w:rsidRDefault="002E0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0FA" w:rsidRDefault="002E00FA">
            <w:pPr>
              <w:pStyle w:val="ConsPlusNormal"/>
              <w:jc w:val="center"/>
            </w:pPr>
            <w:r>
              <w:rPr>
                <w:color w:val="392C69"/>
              </w:rPr>
              <w:t>Список изменяющих документов</w:t>
            </w:r>
          </w:p>
          <w:p w:rsidR="002E00FA" w:rsidRDefault="002E00FA">
            <w:pPr>
              <w:pStyle w:val="ConsPlusNormal"/>
              <w:jc w:val="center"/>
            </w:pPr>
            <w:r>
              <w:rPr>
                <w:color w:val="392C69"/>
              </w:rPr>
              <w:t>(в ред. приказов Минпромторга Новосибирской области</w:t>
            </w:r>
          </w:p>
          <w:p w:rsidR="002E00FA" w:rsidRDefault="002E00FA">
            <w:pPr>
              <w:pStyle w:val="ConsPlusNormal"/>
              <w:jc w:val="center"/>
            </w:pPr>
            <w:r>
              <w:rPr>
                <w:color w:val="392C69"/>
              </w:rPr>
              <w:t xml:space="preserve">от 08.07.2022 </w:t>
            </w:r>
            <w:hyperlink r:id="rId14">
              <w:r>
                <w:rPr>
                  <w:color w:val="0000FF"/>
                </w:rPr>
                <w:t>N 217</w:t>
              </w:r>
            </w:hyperlink>
            <w:r>
              <w:rPr>
                <w:color w:val="392C69"/>
              </w:rPr>
              <w:t xml:space="preserve">, от 06.09.2022 </w:t>
            </w:r>
            <w:hyperlink r:id="rId15">
              <w:r>
                <w:rPr>
                  <w:color w:val="0000FF"/>
                </w:rPr>
                <w:t>N 284</w:t>
              </w:r>
            </w:hyperlink>
            <w:r>
              <w:rPr>
                <w:color w:val="392C69"/>
              </w:rPr>
              <w:t xml:space="preserve">, от 14.12.2022 </w:t>
            </w:r>
            <w:hyperlink r:id="rId16">
              <w:r>
                <w:rPr>
                  <w:color w:val="0000FF"/>
                </w:rPr>
                <w:t>N 382</w:t>
              </w:r>
            </w:hyperlink>
            <w:r>
              <w:rPr>
                <w:color w:val="392C69"/>
              </w:rPr>
              <w:t>,</w:t>
            </w:r>
          </w:p>
          <w:p w:rsidR="002E00FA" w:rsidRDefault="002E00FA">
            <w:pPr>
              <w:pStyle w:val="ConsPlusNormal"/>
              <w:jc w:val="center"/>
            </w:pPr>
            <w:r>
              <w:rPr>
                <w:color w:val="392C69"/>
              </w:rPr>
              <w:t xml:space="preserve">от 30.12.2022 </w:t>
            </w:r>
            <w:hyperlink r:id="rId17">
              <w:r>
                <w:rPr>
                  <w:color w:val="0000FF"/>
                </w:rPr>
                <w:t>N 400</w:t>
              </w:r>
            </w:hyperlink>
            <w:r>
              <w:rPr>
                <w:color w:val="392C69"/>
              </w:rPr>
              <w:t xml:space="preserve">, от 23.03.2023 </w:t>
            </w:r>
            <w:hyperlink r:id="rId18">
              <w:r>
                <w:rPr>
                  <w:color w:val="0000FF"/>
                </w:rPr>
                <w:t>N 86-НПА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0FA" w:rsidRDefault="002E00FA">
            <w:pPr>
              <w:pStyle w:val="ConsPlusNormal"/>
            </w:pPr>
          </w:p>
        </w:tc>
      </w:tr>
    </w:tbl>
    <w:p w:rsidR="002E00FA" w:rsidRDefault="002E00FA">
      <w:pPr>
        <w:pStyle w:val="ConsPlusNormal"/>
        <w:ind w:firstLine="540"/>
        <w:jc w:val="both"/>
      </w:pPr>
    </w:p>
    <w:p w:rsidR="002E00FA" w:rsidRDefault="002E00FA">
      <w:pPr>
        <w:pStyle w:val="ConsPlusNormal"/>
        <w:jc w:val="right"/>
        <w:outlineLvl w:val="1"/>
      </w:pPr>
      <w:r>
        <w:t>Таблица N 1</w:t>
      </w:r>
    </w:p>
    <w:p w:rsidR="002E00FA" w:rsidRDefault="002E00FA">
      <w:pPr>
        <w:pStyle w:val="ConsPlusNormal"/>
        <w:ind w:firstLine="540"/>
        <w:jc w:val="both"/>
      </w:pPr>
    </w:p>
    <w:p w:rsidR="002E00FA" w:rsidRDefault="002E00FA">
      <w:pPr>
        <w:pStyle w:val="ConsPlusTitle"/>
        <w:jc w:val="center"/>
      </w:pPr>
      <w:r>
        <w:t>Целевые индикаторы</w:t>
      </w:r>
    </w:p>
    <w:p w:rsidR="002E00FA" w:rsidRDefault="002E00FA">
      <w:pPr>
        <w:pStyle w:val="ConsPlusTitle"/>
        <w:jc w:val="center"/>
      </w:pPr>
      <w:r>
        <w:t>государственной программы Новосибирской области "Развитие</w:t>
      </w:r>
    </w:p>
    <w:p w:rsidR="002E00FA" w:rsidRDefault="002E00FA">
      <w:pPr>
        <w:pStyle w:val="ConsPlusTitle"/>
        <w:jc w:val="center"/>
      </w:pPr>
      <w:r>
        <w:t>промышленности и повышение ее конкурентоспособности</w:t>
      </w:r>
    </w:p>
    <w:p w:rsidR="002E00FA" w:rsidRDefault="002E00FA">
      <w:pPr>
        <w:pStyle w:val="ConsPlusTitle"/>
        <w:jc w:val="center"/>
      </w:pPr>
      <w:r>
        <w:t>в Новосибирской области" на очередной 2022 год</w:t>
      </w:r>
    </w:p>
    <w:p w:rsidR="002E00FA" w:rsidRDefault="002E00FA">
      <w:pPr>
        <w:pStyle w:val="ConsPlusTitle"/>
        <w:jc w:val="center"/>
      </w:pPr>
      <w:r>
        <w:t>и плановый период 2023 и 2024 годов</w:t>
      </w:r>
    </w:p>
    <w:p w:rsidR="002E00FA" w:rsidRDefault="002E00FA">
      <w:pPr>
        <w:pStyle w:val="ConsPlusNormal"/>
        <w:jc w:val="center"/>
      </w:pPr>
      <w:r>
        <w:t xml:space="preserve">(в ред. </w:t>
      </w:r>
      <w:hyperlink r:id="rId19">
        <w:r>
          <w:rPr>
            <w:color w:val="0000FF"/>
          </w:rPr>
          <w:t>приказа</w:t>
        </w:r>
      </w:hyperlink>
      <w:r>
        <w:t xml:space="preserve"> Минпромторга Новосибирской области</w:t>
      </w:r>
    </w:p>
    <w:p w:rsidR="002E00FA" w:rsidRDefault="002E00FA">
      <w:pPr>
        <w:pStyle w:val="ConsPlusNormal"/>
        <w:jc w:val="center"/>
      </w:pPr>
      <w:r>
        <w:t>от 06.09.2022 N 284)</w:t>
      </w:r>
    </w:p>
    <w:p w:rsidR="002E00FA" w:rsidRDefault="002E00FA">
      <w:pPr>
        <w:pStyle w:val="ConsPlusNormal"/>
        <w:ind w:firstLine="540"/>
        <w:jc w:val="both"/>
      </w:pPr>
    </w:p>
    <w:p w:rsidR="002E00FA" w:rsidRDefault="002E00FA">
      <w:pPr>
        <w:pStyle w:val="ConsPlusNormal"/>
        <w:sectPr w:rsidR="002E00FA" w:rsidSect="0046186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551"/>
        <w:gridCol w:w="624"/>
        <w:gridCol w:w="1020"/>
        <w:gridCol w:w="1134"/>
        <w:gridCol w:w="1020"/>
        <w:gridCol w:w="1020"/>
        <w:gridCol w:w="1020"/>
        <w:gridCol w:w="1134"/>
        <w:gridCol w:w="1134"/>
        <w:gridCol w:w="1134"/>
        <w:gridCol w:w="1701"/>
      </w:tblGrid>
      <w:tr w:rsidR="002E00FA">
        <w:tc>
          <w:tcPr>
            <w:tcW w:w="2098" w:type="dxa"/>
            <w:vMerge w:val="restart"/>
            <w:vAlign w:val="center"/>
          </w:tcPr>
          <w:p w:rsidR="002E00FA" w:rsidRDefault="002E00FA">
            <w:pPr>
              <w:pStyle w:val="ConsPlusNormal"/>
              <w:jc w:val="center"/>
            </w:pPr>
            <w:r>
              <w:lastRenderedPageBreak/>
              <w:t>Цель/задачи, требующие решения для достижения цели</w:t>
            </w:r>
          </w:p>
        </w:tc>
        <w:tc>
          <w:tcPr>
            <w:tcW w:w="2551" w:type="dxa"/>
            <w:vMerge w:val="restart"/>
            <w:vAlign w:val="center"/>
          </w:tcPr>
          <w:p w:rsidR="002E00FA" w:rsidRDefault="002E00FA">
            <w:pPr>
              <w:pStyle w:val="ConsPlusNormal"/>
              <w:jc w:val="center"/>
            </w:pPr>
            <w:r>
              <w:t>Наименование целевого индикатора</w:t>
            </w:r>
          </w:p>
        </w:tc>
        <w:tc>
          <w:tcPr>
            <w:tcW w:w="624" w:type="dxa"/>
            <w:vMerge w:val="restart"/>
            <w:vAlign w:val="center"/>
          </w:tcPr>
          <w:p w:rsidR="002E00FA" w:rsidRDefault="002E00FA">
            <w:pPr>
              <w:pStyle w:val="ConsPlusNormal"/>
              <w:jc w:val="center"/>
            </w:pPr>
            <w:r>
              <w:t>Ед. измерения</w:t>
            </w:r>
          </w:p>
        </w:tc>
        <w:tc>
          <w:tcPr>
            <w:tcW w:w="1020" w:type="dxa"/>
            <w:vMerge w:val="restart"/>
            <w:vAlign w:val="center"/>
          </w:tcPr>
          <w:p w:rsidR="002E00FA" w:rsidRDefault="002E00FA">
            <w:pPr>
              <w:pStyle w:val="ConsPlusNormal"/>
              <w:jc w:val="center"/>
            </w:pPr>
            <w:r>
              <w:t>Значение весового коэффициента целевого индикатора</w:t>
            </w:r>
          </w:p>
        </w:tc>
        <w:tc>
          <w:tcPr>
            <w:tcW w:w="7596" w:type="dxa"/>
            <w:gridSpan w:val="7"/>
            <w:vAlign w:val="center"/>
          </w:tcPr>
          <w:p w:rsidR="002E00FA" w:rsidRDefault="002E00FA">
            <w:pPr>
              <w:pStyle w:val="ConsPlusNormal"/>
              <w:jc w:val="center"/>
            </w:pPr>
            <w:r>
              <w:t>Значение целевого индикатора</w:t>
            </w:r>
          </w:p>
        </w:tc>
        <w:tc>
          <w:tcPr>
            <w:tcW w:w="1701" w:type="dxa"/>
            <w:vMerge w:val="restart"/>
            <w:vAlign w:val="center"/>
          </w:tcPr>
          <w:p w:rsidR="002E00FA" w:rsidRDefault="002E00FA">
            <w:pPr>
              <w:pStyle w:val="ConsPlusNormal"/>
              <w:jc w:val="center"/>
            </w:pPr>
            <w:r>
              <w:t>Примечание</w:t>
            </w:r>
          </w:p>
        </w:tc>
      </w:tr>
      <w:tr w:rsidR="002E00FA">
        <w:tc>
          <w:tcPr>
            <w:tcW w:w="2098" w:type="dxa"/>
            <w:vMerge/>
          </w:tcPr>
          <w:p w:rsidR="002E00FA" w:rsidRDefault="002E00FA">
            <w:pPr>
              <w:pStyle w:val="ConsPlusNormal"/>
            </w:pPr>
          </w:p>
        </w:tc>
        <w:tc>
          <w:tcPr>
            <w:tcW w:w="2551" w:type="dxa"/>
            <w:vMerge/>
          </w:tcPr>
          <w:p w:rsidR="002E00FA" w:rsidRDefault="002E00FA">
            <w:pPr>
              <w:pStyle w:val="ConsPlusNormal"/>
            </w:pPr>
          </w:p>
        </w:tc>
        <w:tc>
          <w:tcPr>
            <w:tcW w:w="624" w:type="dxa"/>
            <w:vMerge/>
          </w:tcPr>
          <w:p w:rsidR="002E00FA" w:rsidRDefault="002E00FA">
            <w:pPr>
              <w:pStyle w:val="ConsPlusNormal"/>
            </w:pPr>
          </w:p>
        </w:tc>
        <w:tc>
          <w:tcPr>
            <w:tcW w:w="1020" w:type="dxa"/>
            <w:vMerge/>
          </w:tcPr>
          <w:p w:rsidR="002E00FA" w:rsidRDefault="002E00FA">
            <w:pPr>
              <w:pStyle w:val="ConsPlusNormal"/>
            </w:pPr>
          </w:p>
        </w:tc>
        <w:tc>
          <w:tcPr>
            <w:tcW w:w="1134" w:type="dxa"/>
            <w:vMerge w:val="restart"/>
            <w:vAlign w:val="center"/>
          </w:tcPr>
          <w:p w:rsidR="002E00FA" w:rsidRDefault="002E00FA">
            <w:pPr>
              <w:pStyle w:val="ConsPlusNormal"/>
              <w:jc w:val="center"/>
            </w:pPr>
            <w:r>
              <w:t>На очередной финансовый 2022 год</w:t>
            </w:r>
          </w:p>
        </w:tc>
        <w:tc>
          <w:tcPr>
            <w:tcW w:w="4194" w:type="dxa"/>
            <w:gridSpan w:val="4"/>
            <w:vAlign w:val="center"/>
          </w:tcPr>
          <w:p w:rsidR="002E00FA" w:rsidRDefault="002E00FA">
            <w:pPr>
              <w:pStyle w:val="ConsPlusNormal"/>
              <w:jc w:val="center"/>
            </w:pPr>
            <w:r>
              <w:t>На 2022 год, в том числе поквартально</w:t>
            </w:r>
          </w:p>
        </w:tc>
        <w:tc>
          <w:tcPr>
            <w:tcW w:w="1134" w:type="dxa"/>
            <w:vMerge w:val="restart"/>
            <w:vAlign w:val="center"/>
          </w:tcPr>
          <w:p w:rsidR="002E00FA" w:rsidRDefault="002E00FA">
            <w:pPr>
              <w:pStyle w:val="ConsPlusNormal"/>
              <w:jc w:val="center"/>
            </w:pPr>
            <w:r>
              <w:t>2023 год</w:t>
            </w:r>
          </w:p>
        </w:tc>
        <w:tc>
          <w:tcPr>
            <w:tcW w:w="1134" w:type="dxa"/>
            <w:vMerge w:val="restart"/>
            <w:vAlign w:val="center"/>
          </w:tcPr>
          <w:p w:rsidR="002E00FA" w:rsidRDefault="002E00FA">
            <w:pPr>
              <w:pStyle w:val="ConsPlusNormal"/>
              <w:jc w:val="center"/>
            </w:pPr>
            <w:r>
              <w:t>2024 год</w:t>
            </w:r>
          </w:p>
        </w:tc>
        <w:tc>
          <w:tcPr>
            <w:tcW w:w="1701" w:type="dxa"/>
            <w:vMerge/>
          </w:tcPr>
          <w:p w:rsidR="002E00FA" w:rsidRDefault="002E00FA">
            <w:pPr>
              <w:pStyle w:val="ConsPlusNormal"/>
            </w:pPr>
          </w:p>
        </w:tc>
      </w:tr>
      <w:tr w:rsidR="002E00FA">
        <w:tc>
          <w:tcPr>
            <w:tcW w:w="2098" w:type="dxa"/>
            <w:vMerge/>
          </w:tcPr>
          <w:p w:rsidR="002E00FA" w:rsidRDefault="002E00FA">
            <w:pPr>
              <w:pStyle w:val="ConsPlusNormal"/>
            </w:pPr>
          </w:p>
        </w:tc>
        <w:tc>
          <w:tcPr>
            <w:tcW w:w="2551" w:type="dxa"/>
            <w:vMerge/>
          </w:tcPr>
          <w:p w:rsidR="002E00FA" w:rsidRDefault="002E00FA">
            <w:pPr>
              <w:pStyle w:val="ConsPlusNormal"/>
            </w:pPr>
          </w:p>
        </w:tc>
        <w:tc>
          <w:tcPr>
            <w:tcW w:w="624" w:type="dxa"/>
            <w:vMerge/>
          </w:tcPr>
          <w:p w:rsidR="002E00FA" w:rsidRDefault="002E00FA">
            <w:pPr>
              <w:pStyle w:val="ConsPlusNormal"/>
            </w:pPr>
          </w:p>
        </w:tc>
        <w:tc>
          <w:tcPr>
            <w:tcW w:w="1020" w:type="dxa"/>
            <w:vMerge/>
          </w:tcPr>
          <w:p w:rsidR="002E00FA" w:rsidRDefault="002E00FA">
            <w:pPr>
              <w:pStyle w:val="ConsPlusNormal"/>
            </w:pPr>
          </w:p>
        </w:tc>
        <w:tc>
          <w:tcPr>
            <w:tcW w:w="1134" w:type="dxa"/>
            <w:vMerge/>
          </w:tcPr>
          <w:p w:rsidR="002E00FA" w:rsidRDefault="002E00FA">
            <w:pPr>
              <w:pStyle w:val="ConsPlusNormal"/>
            </w:pPr>
          </w:p>
        </w:tc>
        <w:tc>
          <w:tcPr>
            <w:tcW w:w="1020" w:type="dxa"/>
            <w:vAlign w:val="center"/>
          </w:tcPr>
          <w:p w:rsidR="002E00FA" w:rsidRDefault="002E00FA">
            <w:pPr>
              <w:pStyle w:val="ConsPlusNormal"/>
              <w:jc w:val="center"/>
            </w:pPr>
            <w:r>
              <w:t>1 кв.</w:t>
            </w:r>
          </w:p>
        </w:tc>
        <w:tc>
          <w:tcPr>
            <w:tcW w:w="1020" w:type="dxa"/>
            <w:vAlign w:val="center"/>
          </w:tcPr>
          <w:p w:rsidR="002E00FA" w:rsidRDefault="002E00FA">
            <w:pPr>
              <w:pStyle w:val="ConsPlusNormal"/>
              <w:jc w:val="center"/>
            </w:pPr>
            <w:r>
              <w:t>2 кв.</w:t>
            </w:r>
          </w:p>
        </w:tc>
        <w:tc>
          <w:tcPr>
            <w:tcW w:w="1020" w:type="dxa"/>
            <w:vAlign w:val="center"/>
          </w:tcPr>
          <w:p w:rsidR="002E00FA" w:rsidRDefault="002E00FA">
            <w:pPr>
              <w:pStyle w:val="ConsPlusNormal"/>
              <w:jc w:val="center"/>
            </w:pPr>
            <w:r>
              <w:t>3 кв.</w:t>
            </w:r>
          </w:p>
        </w:tc>
        <w:tc>
          <w:tcPr>
            <w:tcW w:w="1134" w:type="dxa"/>
            <w:vAlign w:val="center"/>
          </w:tcPr>
          <w:p w:rsidR="002E00FA" w:rsidRDefault="002E00FA">
            <w:pPr>
              <w:pStyle w:val="ConsPlusNormal"/>
              <w:jc w:val="center"/>
            </w:pPr>
            <w:r>
              <w:t>4 кв.</w:t>
            </w:r>
          </w:p>
        </w:tc>
        <w:tc>
          <w:tcPr>
            <w:tcW w:w="1134" w:type="dxa"/>
            <w:vMerge/>
          </w:tcPr>
          <w:p w:rsidR="002E00FA" w:rsidRDefault="002E00FA">
            <w:pPr>
              <w:pStyle w:val="ConsPlusNormal"/>
            </w:pPr>
          </w:p>
        </w:tc>
        <w:tc>
          <w:tcPr>
            <w:tcW w:w="1134" w:type="dxa"/>
            <w:vMerge/>
          </w:tcPr>
          <w:p w:rsidR="002E00FA" w:rsidRDefault="002E00FA">
            <w:pPr>
              <w:pStyle w:val="ConsPlusNormal"/>
            </w:pPr>
          </w:p>
        </w:tc>
        <w:tc>
          <w:tcPr>
            <w:tcW w:w="1701" w:type="dxa"/>
            <w:vMerge/>
          </w:tcPr>
          <w:p w:rsidR="002E00FA" w:rsidRDefault="002E00FA">
            <w:pPr>
              <w:pStyle w:val="ConsPlusNormal"/>
            </w:pPr>
          </w:p>
        </w:tc>
      </w:tr>
      <w:tr w:rsidR="002E00FA">
        <w:tc>
          <w:tcPr>
            <w:tcW w:w="2098" w:type="dxa"/>
            <w:vAlign w:val="center"/>
          </w:tcPr>
          <w:p w:rsidR="002E00FA" w:rsidRDefault="002E00FA">
            <w:pPr>
              <w:pStyle w:val="ConsPlusNormal"/>
              <w:jc w:val="center"/>
            </w:pPr>
            <w:r>
              <w:t>1</w:t>
            </w:r>
          </w:p>
        </w:tc>
        <w:tc>
          <w:tcPr>
            <w:tcW w:w="2551" w:type="dxa"/>
            <w:vAlign w:val="center"/>
          </w:tcPr>
          <w:p w:rsidR="002E00FA" w:rsidRDefault="002E00FA">
            <w:pPr>
              <w:pStyle w:val="ConsPlusNormal"/>
              <w:jc w:val="center"/>
            </w:pPr>
            <w:r>
              <w:t>2</w:t>
            </w:r>
          </w:p>
        </w:tc>
        <w:tc>
          <w:tcPr>
            <w:tcW w:w="624" w:type="dxa"/>
            <w:vAlign w:val="center"/>
          </w:tcPr>
          <w:p w:rsidR="002E00FA" w:rsidRDefault="002E00FA">
            <w:pPr>
              <w:pStyle w:val="ConsPlusNormal"/>
              <w:jc w:val="center"/>
            </w:pPr>
            <w:r>
              <w:t>3</w:t>
            </w:r>
          </w:p>
        </w:tc>
        <w:tc>
          <w:tcPr>
            <w:tcW w:w="1020" w:type="dxa"/>
            <w:vAlign w:val="center"/>
          </w:tcPr>
          <w:p w:rsidR="002E00FA" w:rsidRDefault="002E00FA">
            <w:pPr>
              <w:pStyle w:val="ConsPlusNormal"/>
              <w:jc w:val="center"/>
            </w:pPr>
            <w:r>
              <w:t>4</w:t>
            </w:r>
          </w:p>
        </w:tc>
        <w:tc>
          <w:tcPr>
            <w:tcW w:w="1134" w:type="dxa"/>
            <w:vAlign w:val="center"/>
          </w:tcPr>
          <w:p w:rsidR="002E00FA" w:rsidRDefault="002E00FA">
            <w:pPr>
              <w:pStyle w:val="ConsPlusNormal"/>
              <w:jc w:val="center"/>
            </w:pPr>
            <w:r>
              <w:t>5</w:t>
            </w:r>
          </w:p>
        </w:tc>
        <w:tc>
          <w:tcPr>
            <w:tcW w:w="1020" w:type="dxa"/>
            <w:vAlign w:val="center"/>
          </w:tcPr>
          <w:p w:rsidR="002E00FA" w:rsidRDefault="002E00FA">
            <w:pPr>
              <w:pStyle w:val="ConsPlusNormal"/>
              <w:jc w:val="center"/>
            </w:pPr>
            <w:r>
              <w:t>6</w:t>
            </w:r>
          </w:p>
        </w:tc>
        <w:tc>
          <w:tcPr>
            <w:tcW w:w="1020" w:type="dxa"/>
            <w:vAlign w:val="center"/>
          </w:tcPr>
          <w:p w:rsidR="002E00FA" w:rsidRDefault="002E00FA">
            <w:pPr>
              <w:pStyle w:val="ConsPlusNormal"/>
              <w:jc w:val="center"/>
            </w:pPr>
            <w:r>
              <w:t>7</w:t>
            </w:r>
          </w:p>
        </w:tc>
        <w:tc>
          <w:tcPr>
            <w:tcW w:w="1020" w:type="dxa"/>
            <w:vAlign w:val="center"/>
          </w:tcPr>
          <w:p w:rsidR="002E00FA" w:rsidRDefault="002E00FA">
            <w:pPr>
              <w:pStyle w:val="ConsPlusNormal"/>
              <w:jc w:val="center"/>
            </w:pPr>
            <w:r>
              <w:t>8</w:t>
            </w:r>
          </w:p>
        </w:tc>
        <w:tc>
          <w:tcPr>
            <w:tcW w:w="1134" w:type="dxa"/>
            <w:vAlign w:val="center"/>
          </w:tcPr>
          <w:p w:rsidR="002E00FA" w:rsidRDefault="002E00FA">
            <w:pPr>
              <w:pStyle w:val="ConsPlusNormal"/>
              <w:jc w:val="center"/>
            </w:pPr>
            <w:r>
              <w:t>9</w:t>
            </w:r>
          </w:p>
        </w:tc>
        <w:tc>
          <w:tcPr>
            <w:tcW w:w="1134" w:type="dxa"/>
            <w:vAlign w:val="center"/>
          </w:tcPr>
          <w:p w:rsidR="002E00FA" w:rsidRDefault="002E00FA">
            <w:pPr>
              <w:pStyle w:val="ConsPlusNormal"/>
              <w:jc w:val="center"/>
            </w:pPr>
            <w:r>
              <w:t>10</w:t>
            </w:r>
          </w:p>
        </w:tc>
        <w:tc>
          <w:tcPr>
            <w:tcW w:w="1134" w:type="dxa"/>
            <w:vAlign w:val="center"/>
          </w:tcPr>
          <w:p w:rsidR="002E00FA" w:rsidRDefault="002E00FA">
            <w:pPr>
              <w:pStyle w:val="ConsPlusNormal"/>
              <w:jc w:val="center"/>
            </w:pPr>
            <w:r>
              <w:t>11</w:t>
            </w:r>
          </w:p>
        </w:tc>
        <w:tc>
          <w:tcPr>
            <w:tcW w:w="1701" w:type="dxa"/>
            <w:vAlign w:val="center"/>
          </w:tcPr>
          <w:p w:rsidR="002E00FA" w:rsidRDefault="002E00FA">
            <w:pPr>
              <w:pStyle w:val="ConsPlusNormal"/>
              <w:jc w:val="center"/>
            </w:pPr>
            <w:r>
              <w:t>12</w:t>
            </w:r>
          </w:p>
        </w:tc>
      </w:tr>
      <w:tr w:rsidR="002E00FA">
        <w:tc>
          <w:tcPr>
            <w:tcW w:w="15590" w:type="dxa"/>
            <w:gridSpan w:val="12"/>
            <w:vAlign w:val="center"/>
          </w:tcPr>
          <w:p w:rsidR="002E00FA" w:rsidRDefault="002E00FA">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2E00FA">
        <w:tc>
          <w:tcPr>
            <w:tcW w:w="2098" w:type="dxa"/>
            <w:vMerge w:val="restart"/>
            <w:tcBorders>
              <w:bottom w:val="nil"/>
            </w:tcBorders>
          </w:tcPr>
          <w:p w:rsidR="002E00FA" w:rsidRDefault="002E00FA">
            <w:pPr>
              <w:pStyle w:val="ConsPlusNormal"/>
              <w:jc w:val="both"/>
            </w:pPr>
            <w:r>
              <w:t>Цель 1:</w:t>
            </w:r>
          </w:p>
          <w:p w:rsidR="002E00FA" w:rsidRDefault="002E00FA">
            <w:pPr>
              <w:pStyle w:val="ConsPlusNormal"/>
              <w:jc w:val="both"/>
            </w:pPr>
            <w:r>
              <w:t>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2551" w:type="dxa"/>
          </w:tcPr>
          <w:p w:rsidR="002E00FA" w:rsidRDefault="002E00FA">
            <w:pPr>
              <w:pStyle w:val="ConsPlusNormal"/>
            </w:pPr>
            <w:r>
              <w:t>1. Целевой индикатор:</w:t>
            </w:r>
          </w:p>
          <w:p w:rsidR="002E00FA" w:rsidRDefault="002E00FA">
            <w:pPr>
              <w:pStyle w:val="ConsPlusNormal"/>
            </w:pPr>
            <w:r>
              <w:t>индекс промышленного производства по виду экономической деятельности "Обрабатывающие производства"</w:t>
            </w:r>
          </w:p>
        </w:tc>
        <w:tc>
          <w:tcPr>
            <w:tcW w:w="624" w:type="dxa"/>
            <w:vAlign w:val="center"/>
          </w:tcPr>
          <w:p w:rsidR="002E00FA" w:rsidRDefault="002E00FA">
            <w:pPr>
              <w:pStyle w:val="ConsPlusNormal"/>
              <w:jc w:val="center"/>
            </w:pPr>
            <w:r>
              <w:t>% к предыдущему году</w:t>
            </w:r>
          </w:p>
        </w:tc>
        <w:tc>
          <w:tcPr>
            <w:tcW w:w="1020" w:type="dxa"/>
            <w:vAlign w:val="center"/>
          </w:tcPr>
          <w:p w:rsidR="002E00FA" w:rsidRDefault="002E00FA">
            <w:pPr>
              <w:pStyle w:val="ConsPlusNormal"/>
              <w:jc w:val="center"/>
            </w:pPr>
            <w:r>
              <w:t>0,2</w:t>
            </w:r>
          </w:p>
        </w:tc>
        <w:tc>
          <w:tcPr>
            <w:tcW w:w="1134" w:type="dxa"/>
            <w:vAlign w:val="center"/>
          </w:tcPr>
          <w:p w:rsidR="002E00FA" w:rsidRDefault="002E00FA">
            <w:pPr>
              <w:pStyle w:val="ConsPlusNormal"/>
              <w:jc w:val="center"/>
            </w:pPr>
            <w:r>
              <w:t>99,0</w:t>
            </w:r>
          </w:p>
        </w:tc>
        <w:tc>
          <w:tcPr>
            <w:tcW w:w="1020" w:type="dxa"/>
            <w:vAlign w:val="center"/>
          </w:tcPr>
          <w:p w:rsidR="002E00FA" w:rsidRDefault="002E00FA">
            <w:pPr>
              <w:pStyle w:val="ConsPlusNormal"/>
              <w:jc w:val="center"/>
            </w:pPr>
            <w:r>
              <w:t>102,3</w:t>
            </w:r>
          </w:p>
        </w:tc>
        <w:tc>
          <w:tcPr>
            <w:tcW w:w="1020" w:type="dxa"/>
            <w:vAlign w:val="center"/>
          </w:tcPr>
          <w:p w:rsidR="002E00FA" w:rsidRDefault="002E00FA">
            <w:pPr>
              <w:pStyle w:val="ConsPlusNormal"/>
              <w:jc w:val="center"/>
            </w:pPr>
            <w:r>
              <w:t>102,3</w:t>
            </w:r>
          </w:p>
        </w:tc>
        <w:tc>
          <w:tcPr>
            <w:tcW w:w="1020" w:type="dxa"/>
            <w:vAlign w:val="center"/>
          </w:tcPr>
          <w:p w:rsidR="002E00FA" w:rsidRDefault="002E00FA">
            <w:pPr>
              <w:pStyle w:val="ConsPlusNormal"/>
              <w:jc w:val="center"/>
            </w:pPr>
            <w:r>
              <w:t>102,3</w:t>
            </w:r>
          </w:p>
        </w:tc>
        <w:tc>
          <w:tcPr>
            <w:tcW w:w="1134" w:type="dxa"/>
            <w:vAlign w:val="center"/>
          </w:tcPr>
          <w:p w:rsidR="002E00FA" w:rsidRDefault="002E00FA">
            <w:pPr>
              <w:pStyle w:val="ConsPlusNormal"/>
              <w:jc w:val="center"/>
            </w:pPr>
            <w:r>
              <w:t>99,0</w:t>
            </w:r>
          </w:p>
        </w:tc>
        <w:tc>
          <w:tcPr>
            <w:tcW w:w="1134" w:type="dxa"/>
            <w:vAlign w:val="center"/>
          </w:tcPr>
          <w:p w:rsidR="002E00FA" w:rsidRDefault="002E00FA">
            <w:pPr>
              <w:pStyle w:val="ConsPlusNormal"/>
              <w:jc w:val="center"/>
            </w:pPr>
            <w:r>
              <w:t>102,4</w:t>
            </w:r>
          </w:p>
        </w:tc>
        <w:tc>
          <w:tcPr>
            <w:tcW w:w="1134" w:type="dxa"/>
            <w:vAlign w:val="center"/>
          </w:tcPr>
          <w:p w:rsidR="002E00FA" w:rsidRDefault="002E00FA">
            <w:pPr>
              <w:pStyle w:val="ConsPlusNormal"/>
              <w:jc w:val="center"/>
            </w:pPr>
            <w:r>
              <w:t>102,9</w:t>
            </w:r>
          </w:p>
        </w:tc>
        <w:tc>
          <w:tcPr>
            <w:tcW w:w="1701" w:type="dxa"/>
          </w:tcPr>
          <w:p w:rsidR="002E00FA" w:rsidRDefault="002E00FA">
            <w:pPr>
              <w:pStyle w:val="ConsPlusNormal"/>
            </w:pPr>
          </w:p>
        </w:tc>
      </w:tr>
      <w:tr w:rsidR="002E00FA">
        <w:tc>
          <w:tcPr>
            <w:tcW w:w="2098" w:type="dxa"/>
            <w:vMerge/>
            <w:tcBorders>
              <w:bottom w:val="nil"/>
            </w:tcBorders>
          </w:tcPr>
          <w:p w:rsidR="002E00FA" w:rsidRDefault="002E00FA">
            <w:pPr>
              <w:pStyle w:val="ConsPlusNormal"/>
            </w:pPr>
          </w:p>
        </w:tc>
        <w:tc>
          <w:tcPr>
            <w:tcW w:w="2551" w:type="dxa"/>
          </w:tcPr>
          <w:p w:rsidR="002E00FA" w:rsidRDefault="002E00FA">
            <w:pPr>
              <w:pStyle w:val="ConsPlusNormal"/>
            </w:pPr>
            <w:r>
              <w:t>2. Целевой индикатор:</w:t>
            </w:r>
          </w:p>
          <w:p w:rsidR="002E00FA" w:rsidRDefault="002E00FA">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w:t>
            </w:r>
            <w:r>
              <w:lastRenderedPageBreak/>
              <w:t>которых осуществляется с участием Государственного фонда развития промышленности Новосибирской области</w:t>
            </w:r>
          </w:p>
        </w:tc>
        <w:tc>
          <w:tcPr>
            <w:tcW w:w="624" w:type="dxa"/>
            <w:vAlign w:val="center"/>
          </w:tcPr>
          <w:p w:rsidR="002E00FA" w:rsidRDefault="002E00FA">
            <w:pPr>
              <w:pStyle w:val="ConsPlusNormal"/>
              <w:jc w:val="center"/>
            </w:pPr>
            <w:r>
              <w:lastRenderedPageBreak/>
              <w:t>единица</w:t>
            </w:r>
          </w:p>
        </w:tc>
        <w:tc>
          <w:tcPr>
            <w:tcW w:w="1020" w:type="dxa"/>
            <w:vAlign w:val="center"/>
          </w:tcPr>
          <w:p w:rsidR="002E00FA" w:rsidRDefault="002E00FA">
            <w:pPr>
              <w:pStyle w:val="ConsPlusNormal"/>
              <w:jc w:val="center"/>
            </w:pPr>
            <w:r>
              <w:t>0,2</w:t>
            </w:r>
          </w:p>
        </w:tc>
        <w:tc>
          <w:tcPr>
            <w:tcW w:w="1134" w:type="dxa"/>
            <w:vAlign w:val="center"/>
          </w:tcPr>
          <w:p w:rsidR="002E00FA" w:rsidRDefault="002E00FA">
            <w:pPr>
              <w:pStyle w:val="ConsPlusNormal"/>
              <w:jc w:val="center"/>
            </w:pPr>
            <w:r>
              <w:t>6</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6</w:t>
            </w:r>
          </w:p>
        </w:tc>
        <w:tc>
          <w:tcPr>
            <w:tcW w:w="1134" w:type="dxa"/>
            <w:vAlign w:val="center"/>
          </w:tcPr>
          <w:p w:rsidR="002E00FA" w:rsidRDefault="002E00FA">
            <w:pPr>
              <w:pStyle w:val="ConsPlusNormal"/>
              <w:jc w:val="center"/>
            </w:pPr>
            <w:r>
              <w:t>2</w:t>
            </w:r>
          </w:p>
        </w:tc>
        <w:tc>
          <w:tcPr>
            <w:tcW w:w="1134" w:type="dxa"/>
            <w:vAlign w:val="center"/>
          </w:tcPr>
          <w:p w:rsidR="002E00FA" w:rsidRDefault="002E00FA">
            <w:pPr>
              <w:pStyle w:val="ConsPlusNormal"/>
              <w:jc w:val="center"/>
            </w:pPr>
            <w:r>
              <w:t>1</w:t>
            </w:r>
          </w:p>
        </w:tc>
        <w:tc>
          <w:tcPr>
            <w:tcW w:w="1701" w:type="dxa"/>
          </w:tcPr>
          <w:p w:rsidR="002E00FA" w:rsidRDefault="002E00FA">
            <w:pPr>
              <w:pStyle w:val="ConsPlusNormal"/>
              <w:jc w:val="both"/>
            </w:pPr>
            <w:r>
              <w:t xml:space="preserve">Плановое значение целевого индикатора установленного на 2022 год достигается, в том числе за счет средств резервного фонда Правительства Новосибирской области в </w:t>
            </w:r>
            <w:r>
              <w:lastRenderedPageBreak/>
              <w:t>объеме 170 000,0 тыс. рублей</w:t>
            </w:r>
          </w:p>
        </w:tc>
      </w:tr>
      <w:tr w:rsidR="002E00FA">
        <w:tc>
          <w:tcPr>
            <w:tcW w:w="2098" w:type="dxa"/>
            <w:vMerge/>
            <w:tcBorders>
              <w:bottom w:val="nil"/>
            </w:tcBorders>
          </w:tcPr>
          <w:p w:rsidR="002E00FA" w:rsidRDefault="002E00FA">
            <w:pPr>
              <w:pStyle w:val="ConsPlusNormal"/>
            </w:pPr>
          </w:p>
        </w:tc>
        <w:tc>
          <w:tcPr>
            <w:tcW w:w="2551" w:type="dxa"/>
          </w:tcPr>
          <w:p w:rsidR="002E00FA" w:rsidRDefault="002E00FA">
            <w:pPr>
              <w:pStyle w:val="ConsPlusNormal"/>
            </w:pPr>
            <w:r>
              <w:t>3. Целевой индикатор:</w:t>
            </w:r>
          </w:p>
          <w:p w:rsidR="002E00FA" w:rsidRDefault="002E00FA">
            <w:pPr>
              <w:pStyle w:val="ConsPlusNormal"/>
            </w:pPr>
            <w:r>
              <w:t>количество созданных рабочих мест</w:t>
            </w:r>
          </w:p>
        </w:tc>
        <w:tc>
          <w:tcPr>
            <w:tcW w:w="624" w:type="dxa"/>
            <w:vMerge w:val="restart"/>
            <w:vAlign w:val="center"/>
          </w:tcPr>
          <w:p w:rsidR="002E00FA" w:rsidRDefault="002E00FA">
            <w:pPr>
              <w:pStyle w:val="ConsPlusNormal"/>
              <w:jc w:val="center"/>
            </w:pPr>
            <w:r>
              <w:t>единица</w:t>
            </w: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701" w:type="dxa"/>
          </w:tcPr>
          <w:p w:rsidR="002E00FA" w:rsidRDefault="002E00FA">
            <w:pPr>
              <w:pStyle w:val="ConsPlusNormal"/>
              <w:jc w:val="both"/>
            </w:pPr>
            <w:r>
              <w:t>Индикатор является показателем результата предоставления иных межбюджетных трансфертов установленных в соглашении 2021 года (на 2021, 2022, 2023 года), в соглашении 2022 года (на 2022, 2023, 2024 года)</w:t>
            </w:r>
          </w:p>
        </w:tc>
      </w:tr>
      <w:tr w:rsidR="002E00FA">
        <w:tc>
          <w:tcPr>
            <w:tcW w:w="2098" w:type="dxa"/>
            <w:vMerge/>
            <w:tcBorders>
              <w:bottom w:val="nil"/>
            </w:tcBorders>
          </w:tcPr>
          <w:p w:rsidR="002E00FA" w:rsidRDefault="002E00FA">
            <w:pPr>
              <w:pStyle w:val="ConsPlusNormal"/>
            </w:pPr>
          </w:p>
        </w:tc>
        <w:tc>
          <w:tcPr>
            <w:tcW w:w="2551" w:type="dxa"/>
          </w:tcPr>
          <w:p w:rsidR="002E00FA" w:rsidRDefault="002E00FA">
            <w:pPr>
              <w:pStyle w:val="ConsPlusNormal"/>
            </w:pPr>
            <w:r>
              <w:t>накопительным итогом</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88</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88</w:t>
            </w:r>
          </w:p>
        </w:tc>
        <w:tc>
          <w:tcPr>
            <w:tcW w:w="1134" w:type="dxa"/>
            <w:vAlign w:val="center"/>
          </w:tcPr>
          <w:p w:rsidR="002E00FA" w:rsidRDefault="002E00FA">
            <w:pPr>
              <w:pStyle w:val="ConsPlusNormal"/>
              <w:jc w:val="center"/>
            </w:pPr>
            <w:r>
              <w:t>167</w:t>
            </w:r>
          </w:p>
        </w:tc>
        <w:tc>
          <w:tcPr>
            <w:tcW w:w="1134" w:type="dxa"/>
            <w:vAlign w:val="center"/>
          </w:tcPr>
          <w:p w:rsidR="002E00FA" w:rsidRDefault="002E00FA">
            <w:pPr>
              <w:pStyle w:val="ConsPlusNormal"/>
              <w:jc w:val="center"/>
            </w:pPr>
            <w:r>
              <w:t>196</w:t>
            </w:r>
          </w:p>
        </w:tc>
        <w:tc>
          <w:tcPr>
            <w:tcW w:w="1701" w:type="dxa"/>
          </w:tcPr>
          <w:p w:rsidR="002E00FA" w:rsidRDefault="002E00FA">
            <w:pPr>
              <w:pStyle w:val="ConsPlusNormal"/>
            </w:pPr>
          </w:p>
        </w:tc>
      </w:tr>
      <w:tr w:rsidR="002E00FA">
        <w:tc>
          <w:tcPr>
            <w:tcW w:w="2098" w:type="dxa"/>
            <w:vMerge/>
            <w:tcBorders>
              <w:bottom w:val="nil"/>
            </w:tcBorders>
          </w:tcPr>
          <w:p w:rsidR="002E00FA" w:rsidRDefault="002E00FA">
            <w:pPr>
              <w:pStyle w:val="ConsPlusNormal"/>
            </w:pPr>
          </w:p>
        </w:tc>
        <w:tc>
          <w:tcPr>
            <w:tcW w:w="2551" w:type="dxa"/>
          </w:tcPr>
          <w:p w:rsidR="002E00FA" w:rsidRDefault="002E00FA">
            <w:pPr>
              <w:pStyle w:val="ConsPlusNormal"/>
            </w:pPr>
            <w:r>
              <w:t>за отчетный период</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0,06</w:t>
            </w:r>
          </w:p>
        </w:tc>
        <w:tc>
          <w:tcPr>
            <w:tcW w:w="1134" w:type="dxa"/>
            <w:vAlign w:val="center"/>
          </w:tcPr>
          <w:p w:rsidR="002E00FA" w:rsidRDefault="002E00FA">
            <w:pPr>
              <w:pStyle w:val="ConsPlusNormal"/>
              <w:jc w:val="center"/>
            </w:pPr>
            <w:r>
              <w:t>64</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64</w:t>
            </w:r>
          </w:p>
        </w:tc>
        <w:tc>
          <w:tcPr>
            <w:tcW w:w="1134" w:type="dxa"/>
            <w:vAlign w:val="center"/>
          </w:tcPr>
          <w:p w:rsidR="002E00FA" w:rsidRDefault="002E00FA">
            <w:pPr>
              <w:pStyle w:val="ConsPlusNormal"/>
              <w:jc w:val="center"/>
            </w:pPr>
            <w:r>
              <w:t>79</w:t>
            </w:r>
          </w:p>
        </w:tc>
        <w:tc>
          <w:tcPr>
            <w:tcW w:w="1134" w:type="dxa"/>
            <w:vAlign w:val="center"/>
          </w:tcPr>
          <w:p w:rsidR="002E00FA" w:rsidRDefault="002E00FA">
            <w:pPr>
              <w:pStyle w:val="ConsPlusNormal"/>
              <w:jc w:val="center"/>
            </w:pPr>
            <w:r>
              <w:t>29</w:t>
            </w:r>
          </w:p>
        </w:tc>
        <w:tc>
          <w:tcPr>
            <w:tcW w:w="1701" w:type="dxa"/>
          </w:tcPr>
          <w:p w:rsidR="002E00FA" w:rsidRDefault="002E00FA">
            <w:pPr>
              <w:pStyle w:val="ConsPlusNormal"/>
            </w:pPr>
          </w:p>
        </w:tc>
      </w:tr>
      <w:tr w:rsidR="002E00FA">
        <w:tc>
          <w:tcPr>
            <w:tcW w:w="2098" w:type="dxa"/>
            <w:vMerge w:val="restart"/>
            <w:tcBorders>
              <w:top w:val="nil"/>
              <w:bottom w:val="nil"/>
            </w:tcBorders>
          </w:tcPr>
          <w:p w:rsidR="002E00FA" w:rsidRDefault="002E00FA">
            <w:pPr>
              <w:pStyle w:val="ConsPlusNormal"/>
              <w:jc w:val="both"/>
            </w:pPr>
          </w:p>
        </w:tc>
        <w:tc>
          <w:tcPr>
            <w:tcW w:w="2551" w:type="dxa"/>
          </w:tcPr>
          <w:p w:rsidR="002E00FA" w:rsidRDefault="002E00FA">
            <w:pPr>
              <w:pStyle w:val="ConsPlusNormal"/>
            </w:pPr>
            <w:r>
              <w:t>4. Целевой индикатор:</w:t>
            </w:r>
          </w:p>
          <w:p w:rsidR="002E00FA" w:rsidRDefault="002E00FA">
            <w:pPr>
              <w:pStyle w:val="ConsPlusNormal"/>
            </w:pPr>
            <w:r>
              <w:t xml:space="preserve">объем инвестиций в основной капитал по видам экономической деятельности </w:t>
            </w:r>
            <w:hyperlink r:id="rId20">
              <w:r>
                <w:rPr>
                  <w:color w:val="0000FF"/>
                </w:rPr>
                <w:t>раздела</w:t>
              </w:r>
            </w:hyperlink>
            <w:r>
              <w:t xml:space="preserve"> </w:t>
            </w:r>
            <w:r>
              <w:lastRenderedPageBreak/>
              <w:t>"Обрабатывающие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624" w:type="dxa"/>
            <w:vMerge w:val="restart"/>
            <w:vAlign w:val="center"/>
          </w:tcPr>
          <w:p w:rsidR="002E00FA" w:rsidRDefault="002E00FA">
            <w:pPr>
              <w:pStyle w:val="ConsPlusNormal"/>
              <w:jc w:val="center"/>
            </w:pPr>
            <w:r>
              <w:lastRenderedPageBreak/>
              <w:t>млн. рублей</w:t>
            </w: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701" w:type="dxa"/>
          </w:tcPr>
          <w:p w:rsidR="002E00FA" w:rsidRDefault="002E00FA">
            <w:pPr>
              <w:pStyle w:val="ConsPlusNormal"/>
            </w:pPr>
          </w:p>
        </w:tc>
      </w:tr>
      <w:tr w:rsidR="002E00FA">
        <w:tc>
          <w:tcPr>
            <w:tcW w:w="2098" w:type="dxa"/>
            <w:vMerge/>
            <w:tcBorders>
              <w:top w:val="nil"/>
              <w:bottom w:val="nil"/>
            </w:tcBorders>
          </w:tcPr>
          <w:p w:rsidR="002E00FA" w:rsidRDefault="002E00FA">
            <w:pPr>
              <w:pStyle w:val="ConsPlusNormal"/>
            </w:pPr>
          </w:p>
        </w:tc>
        <w:tc>
          <w:tcPr>
            <w:tcW w:w="2551" w:type="dxa"/>
          </w:tcPr>
          <w:p w:rsidR="002E00FA" w:rsidRDefault="002E00FA">
            <w:pPr>
              <w:pStyle w:val="ConsPlusNormal"/>
            </w:pPr>
            <w:r>
              <w:t>накопительным итогом</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397,98</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397,98</w:t>
            </w:r>
          </w:p>
        </w:tc>
        <w:tc>
          <w:tcPr>
            <w:tcW w:w="1134" w:type="dxa"/>
            <w:vAlign w:val="center"/>
          </w:tcPr>
          <w:p w:rsidR="002E00FA" w:rsidRDefault="002E00FA">
            <w:pPr>
              <w:pStyle w:val="ConsPlusNormal"/>
              <w:jc w:val="center"/>
            </w:pPr>
            <w:r>
              <w:t>865,74</w:t>
            </w:r>
          </w:p>
        </w:tc>
        <w:tc>
          <w:tcPr>
            <w:tcW w:w="1134" w:type="dxa"/>
            <w:vAlign w:val="center"/>
          </w:tcPr>
          <w:p w:rsidR="002E00FA" w:rsidRDefault="002E00FA">
            <w:pPr>
              <w:pStyle w:val="ConsPlusNormal"/>
              <w:jc w:val="center"/>
            </w:pPr>
            <w:r>
              <w:t>1213,19</w:t>
            </w:r>
          </w:p>
        </w:tc>
        <w:tc>
          <w:tcPr>
            <w:tcW w:w="1701" w:type="dxa"/>
          </w:tcPr>
          <w:p w:rsidR="002E00FA" w:rsidRDefault="002E00FA">
            <w:pPr>
              <w:pStyle w:val="ConsPlusNormal"/>
            </w:pPr>
          </w:p>
        </w:tc>
      </w:tr>
      <w:tr w:rsidR="002E00FA">
        <w:tc>
          <w:tcPr>
            <w:tcW w:w="2098" w:type="dxa"/>
            <w:vMerge/>
            <w:tcBorders>
              <w:top w:val="nil"/>
              <w:bottom w:val="nil"/>
            </w:tcBorders>
          </w:tcPr>
          <w:p w:rsidR="002E00FA" w:rsidRDefault="002E00FA">
            <w:pPr>
              <w:pStyle w:val="ConsPlusNormal"/>
            </w:pPr>
          </w:p>
        </w:tc>
        <w:tc>
          <w:tcPr>
            <w:tcW w:w="2551" w:type="dxa"/>
          </w:tcPr>
          <w:p w:rsidR="002E00FA" w:rsidRDefault="002E00FA">
            <w:pPr>
              <w:pStyle w:val="ConsPlusNormal"/>
            </w:pPr>
            <w:r>
              <w:t>за отчетный период</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0,03</w:t>
            </w:r>
          </w:p>
        </w:tc>
        <w:tc>
          <w:tcPr>
            <w:tcW w:w="1134" w:type="dxa"/>
            <w:vAlign w:val="center"/>
          </w:tcPr>
          <w:p w:rsidR="002E00FA" w:rsidRDefault="002E00FA">
            <w:pPr>
              <w:pStyle w:val="ConsPlusNormal"/>
              <w:jc w:val="center"/>
            </w:pPr>
            <w:r>
              <w:t>286,98</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286,98</w:t>
            </w:r>
          </w:p>
        </w:tc>
        <w:tc>
          <w:tcPr>
            <w:tcW w:w="1134" w:type="dxa"/>
            <w:vAlign w:val="center"/>
          </w:tcPr>
          <w:p w:rsidR="002E00FA" w:rsidRDefault="002E00FA">
            <w:pPr>
              <w:pStyle w:val="ConsPlusNormal"/>
              <w:jc w:val="center"/>
            </w:pPr>
            <w:r>
              <w:t>467,76</w:t>
            </w:r>
          </w:p>
        </w:tc>
        <w:tc>
          <w:tcPr>
            <w:tcW w:w="1134" w:type="dxa"/>
            <w:vAlign w:val="center"/>
          </w:tcPr>
          <w:p w:rsidR="002E00FA" w:rsidRDefault="002E00FA">
            <w:pPr>
              <w:pStyle w:val="ConsPlusNormal"/>
              <w:jc w:val="center"/>
            </w:pPr>
            <w:r>
              <w:t>347,45</w:t>
            </w:r>
          </w:p>
        </w:tc>
        <w:tc>
          <w:tcPr>
            <w:tcW w:w="1701" w:type="dxa"/>
          </w:tcPr>
          <w:p w:rsidR="002E00FA" w:rsidRDefault="002E00FA">
            <w:pPr>
              <w:pStyle w:val="ConsPlusNormal"/>
            </w:pPr>
          </w:p>
        </w:tc>
      </w:tr>
      <w:tr w:rsidR="002E00FA">
        <w:tc>
          <w:tcPr>
            <w:tcW w:w="2098" w:type="dxa"/>
            <w:vMerge/>
            <w:tcBorders>
              <w:top w:val="nil"/>
              <w:bottom w:val="nil"/>
            </w:tcBorders>
          </w:tcPr>
          <w:p w:rsidR="002E00FA" w:rsidRDefault="002E00FA">
            <w:pPr>
              <w:pStyle w:val="ConsPlusNormal"/>
            </w:pPr>
          </w:p>
        </w:tc>
        <w:tc>
          <w:tcPr>
            <w:tcW w:w="2551" w:type="dxa"/>
          </w:tcPr>
          <w:p w:rsidR="002E00FA" w:rsidRDefault="002E00FA">
            <w:pPr>
              <w:pStyle w:val="ConsPlusNormal"/>
            </w:pPr>
            <w:r>
              <w:t>5. Целевой индикатор:</w:t>
            </w:r>
          </w:p>
          <w:p w:rsidR="002E00FA" w:rsidRDefault="002E00FA">
            <w:pPr>
              <w:pStyle w:val="ConsPlusNormal"/>
            </w:pPr>
            <w: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hyperlink r:id="rId21">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w:t>
            </w:r>
            <w:r>
              <w:lastRenderedPageBreak/>
              <w:t>ведения Минпромторга России</w:t>
            </w:r>
          </w:p>
        </w:tc>
        <w:tc>
          <w:tcPr>
            <w:tcW w:w="624" w:type="dxa"/>
            <w:vMerge w:val="restart"/>
            <w:vAlign w:val="center"/>
          </w:tcPr>
          <w:p w:rsidR="002E00FA" w:rsidRDefault="002E00FA">
            <w:pPr>
              <w:pStyle w:val="ConsPlusNormal"/>
              <w:jc w:val="center"/>
            </w:pPr>
            <w:r>
              <w:lastRenderedPageBreak/>
              <w:t>млн. рублей</w:t>
            </w: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02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701" w:type="dxa"/>
          </w:tcPr>
          <w:p w:rsidR="002E00FA" w:rsidRDefault="002E00FA">
            <w:pPr>
              <w:pStyle w:val="ConsPlusNormal"/>
            </w:pPr>
          </w:p>
        </w:tc>
      </w:tr>
      <w:tr w:rsidR="002E00FA">
        <w:tc>
          <w:tcPr>
            <w:tcW w:w="2098" w:type="dxa"/>
            <w:vMerge/>
            <w:tcBorders>
              <w:top w:val="nil"/>
              <w:bottom w:val="nil"/>
            </w:tcBorders>
          </w:tcPr>
          <w:p w:rsidR="002E00FA" w:rsidRDefault="002E00FA">
            <w:pPr>
              <w:pStyle w:val="ConsPlusNormal"/>
            </w:pPr>
          </w:p>
        </w:tc>
        <w:tc>
          <w:tcPr>
            <w:tcW w:w="2551" w:type="dxa"/>
          </w:tcPr>
          <w:p w:rsidR="002E00FA" w:rsidRDefault="002E00FA">
            <w:pPr>
              <w:pStyle w:val="ConsPlusNormal"/>
            </w:pPr>
            <w:r>
              <w:t>накопительным итогом</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24 097,33</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24 097,33</w:t>
            </w:r>
          </w:p>
        </w:tc>
        <w:tc>
          <w:tcPr>
            <w:tcW w:w="1134" w:type="dxa"/>
            <w:vAlign w:val="center"/>
          </w:tcPr>
          <w:p w:rsidR="002E00FA" w:rsidRDefault="002E00FA">
            <w:pPr>
              <w:pStyle w:val="ConsPlusNormal"/>
              <w:jc w:val="center"/>
            </w:pPr>
            <w:r>
              <w:t>53 072,51</w:t>
            </w:r>
          </w:p>
        </w:tc>
        <w:tc>
          <w:tcPr>
            <w:tcW w:w="1134" w:type="dxa"/>
            <w:vAlign w:val="center"/>
          </w:tcPr>
          <w:p w:rsidR="002E00FA" w:rsidRDefault="002E00FA">
            <w:pPr>
              <w:pStyle w:val="ConsPlusNormal"/>
              <w:jc w:val="center"/>
            </w:pPr>
            <w:r>
              <w:t>75 917,15</w:t>
            </w:r>
          </w:p>
        </w:tc>
        <w:tc>
          <w:tcPr>
            <w:tcW w:w="1701" w:type="dxa"/>
          </w:tcPr>
          <w:p w:rsidR="002E00FA" w:rsidRDefault="002E00FA">
            <w:pPr>
              <w:pStyle w:val="ConsPlusNormal"/>
            </w:pPr>
          </w:p>
        </w:tc>
      </w:tr>
      <w:tr w:rsidR="002E00FA">
        <w:tc>
          <w:tcPr>
            <w:tcW w:w="2098" w:type="dxa"/>
            <w:vMerge/>
            <w:tcBorders>
              <w:top w:val="nil"/>
              <w:bottom w:val="nil"/>
            </w:tcBorders>
          </w:tcPr>
          <w:p w:rsidR="002E00FA" w:rsidRDefault="002E00FA">
            <w:pPr>
              <w:pStyle w:val="ConsPlusNormal"/>
            </w:pPr>
          </w:p>
        </w:tc>
        <w:tc>
          <w:tcPr>
            <w:tcW w:w="2551" w:type="dxa"/>
          </w:tcPr>
          <w:p w:rsidR="002E00FA" w:rsidRDefault="002E00FA">
            <w:pPr>
              <w:pStyle w:val="ConsPlusNormal"/>
            </w:pPr>
            <w:r>
              <w:t>за отчетный период</w:t>
            </w:r>
          </w:p>
        </w:tc>
        <w:tc>
          <w:tcPr>
            <w:tcW w:w="624" w:type="dxa"/>
            <w:vMerge/>
          </w:tcPr>
          <w:p w:rsidR="002E00FA" w:rsidRDefault="002E00FA">
            <w:pPr>
              <w:pStyle w:val="ConsPlusNormal"/>
            </w:pPr>
          </w:p>
        </w:tc>
        <w:tc>
          <w:tcPr>
            <w:tcW w:w="1020" w:type="dxa"/>
            <w:vAlign w:val="center"/>
          </w:tcPr>
          <w:p w:rsidR="002E00FA" w:rsidRDefault="002E00FA">
            <w:pPr>
              <w:pStyle w:val="ConsPlusNormal"/>
              <w:jc w:val="center"/>
            </w:pPr>
            <w:r>
              <w:t>0,03</w:t>
            </w:r>
          </w:p>
        </w:tc>
        <w:tc>
          <w:tcPr>
            <w:tcW w:w="1134" w:type="dxa"/>
            <w:vAlign w:val="center"/>
          </w:tcPr>
          <w:p w:rsidR="002E00FA" w:rsidRDefault="002E00FA">
            <w:pPr>
              <w:pStyle w:val="ConsPlusNormal"/>
              <w:jc w:val="center"/>
            </w:pPr>
            <w:r>
              <w:t>17 552,83</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17 552,83</w:t>
            </w:r>
          </w:p>
        </w:tc>
        <w:tc>
          <w:tcPr>
            <w:tcW w:w="1134" w:type="dxa"/>
            <w:vAlign w:val="center"/>
          </w:tcPr>
          <w:p w:rsidR="002E00FA" w:rsidRDefault="002E00FA">
            <w:pPr>
              <w:pStyle w:val="ConsPlusNormal"/>
              <w:jc w:val="center"/>
            </w:pPr>
            <w:r>
              <w:t>28 975,18</w:t>
            </w:r>
          </w:p>
        </w:tc>
        <w:tc>
          <w:tcPr>
            <w:tcW w:w="1134" w:type="dxa"/>
            <w:vAlign w:val="center"/>
          </w:tcPr>
          <w:p w:rsidR="002E00FA" w:rsidRDefault="002E00FA">
            <w:pPr>
              <w:pStyle w:val="ConsPlusNormal"/>
              <w:jc w:val="center"/>
            </w:pPr>
            <w:r>
              <w:t>22 844,64</w:t>
            </w:r>
          </w:p>
        </w:tc>
        <w:tc>
          <w:tcPr>
            <w:tcW w:w="1701" w:type="dxa"/>
          </w:tcPr>
          <w:p w:rsidR="002E00FA" w:rsidRDefault="002E00FA">
            <w:pPr>
              <w:pStyle w:val="ConsPlusNormal"/>
            </w:pPr>
          </w:p>
        </w:tc>
      </w:tr>
      <w:tr w:rsidR="002E00FA">
        <w:tblPrEx>
          <w:tblBorders>
            <w:insideH w:val="nil"/>
          </w:tblBorders>
        </w:tblPrEx>
        <w:tc>
          <w:tcPr>
            <w:tcW w:w="2098" w:type="dxa"/>
            <w:vMerge/>
            <w:tcBorders>
              <w:top w:val="nil"/>
              <w:bottom w:val="nil"/>
            </w:tcBorders>
          </w:tcPr>
          <w:p w:rsidR="002E00FA" w:rsidRDefault="002E00FA">
            <w:pPr>
              <w:pStyle w:val="ConsPlusNormal"/>
            </w:pPr>
          </w:p>
        </w:tc>
        <w:tc>
          <w:tcPr>
            <w:tcW w:w="2551" w:type="dxa"/>
            <w:tcBorders>
              <w:bottom w:val="nil"/>
            </w:tcBorders>
          </w:tcPr>
          <w:p w:rsidR="002E00FA" w:rsidRDefault="002E00FA">
            <w:pPr>
              <w:pStyle w:val="ConsPlusNormal"/>
            </w:pPr>
            <w:r>
              <w:t>6. Целевой индикатор:</w:t>
            </w:r>
          </w:p>
          <w:p w:rsidR="002E00FA" w:rsidRDefault="002E00FA">
            <w:pPr>
              <w:pStyle w:val="ConsPlusNormal"/>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c>
          <w:tcPr>
            <w:tcW w:w="624" w:type="dxa"/>
            <w:tcBorders>
              <w:bottom w:val="nil"/>
            </w:tcBorders>
            <w:vAlign w:val="center"/>
          </w:tcPr>
          <w:p w:rsidR="002E00FA" w:rsidRDefault="002E00FA">
            <w:pPr>
              <w:pStyle w:val="ConsPlusNormal"/>
              <w:jc w:val="center"/>
            </w:pPr>
            <w:r>
              <w:t>млн. рублей</w:t>
            </w:r>
          </w:p>
        </w:tc>
        <w:tc>
          <w:tcPr>
            <w:tcW w:w="1020"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pPr>
          </w:p>
        </w:tc>
        <w:tc>
          <w:tcPr>
            <w:tcW w:w="1020" w:type="dxa"/>
            <w:tcBorders>
              <w:bottom w:val="nil"/>
            </w:tcBorders>
            <w:vAlign w:val="center"/>
          </w:tcPr>
          <w:p w:rsidR="002E00FA" w:rsidRDefault="002E00FA">
            <w:pPr>
              <w:pStyle w:val="ConsPlusNormal"/>
            </w:pPr>
          </w:p>
        </w:tc>
        <w:tc>
          <w:tcPr>
            <w:tcW w:w="1020" w:type="dxa"/>
            <w:tcBorders>
              <w:bottom w:val="nil"/>
            </w:tcBorders>
            <w:vAlign w:val="center"/>
          </w:tcPr>
          <w:p w:rsidR="002E00FA" w:rsidRDefault="002E00FA">
            <w:pPr>
              <w:pStyle w:val="ConsPlusNormal"/>
            </w:pPr>
          </w:p>
        </w:tc>
        <w:tc>
          <w:tcPr>
            <w:tcW w:w="102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105,83</w:t>
            </w:r>
          </w:p>
        </w:tc>
        <w:tc>
          <w:tcPr>
            <w:tcW w:w="1134" w:type="dxa"/>
            <w:tcBorders>
              <w:bottom w:val="nil"/>
            </w:tcBorders>
            <w:vAlign w:val="center"/>
          </w:tcPr>
          <w:p w:rsidR="002E00FA" w:rsidRDefault="002E00FA">
            <w:pPr>
              <w:pStyle w:val="ConsPlusNormal"/>
              <w:jc w:val="center"/>
            </w:pPr>
            <w:r>
              <w:t>211,67</w:t>
            </w:r>
          </w:p>
        </w:tc>
        <w:tc>
          <w:tcPr>
            <w:tcW w:w="1701" w:type="dxa"/>
            <w:tcBorders>
              <w:bottom w:val="nil"/>
            </w:tcBorders>
          </w:tcPr>
          <w:p w:rsidR="002E00FA" w:rsidRDefault="002E00FA">
            <w:pPr>
              <w:pStyle w:val="ConsPlusNormal"/>
              <w:jc w:val="both"/>
            </w:pPr>
            <w:r>
              <w:t>индикатор вводится с 2023 года</w:t>
            </w:r>
          </w:p>
        </w:tc>
      </w:tr>
      <w:tr w:rsidR="002E00FA">
        <w:tblPrEx>
          <w:tblBorders>
            <w:insideH w:val="nil"/>
          </w:tblBorders>
        </w:tblPrEx>
        <w:tc>
          <w:tcPr>
            <w:tcW w:w="15590" w:type="dxa"/>
            <w:gridSpan w:val="12"/>
            <w:tcBorders>
              <w:top w:val="nil"/>
            </w:tcBorders>
          </w:tcPr>
          <w:p w:rsidR="002E00FA" w:rsidRDefault="002E00FA">
            <w:pPr>
              <w:pStyle w:val="ConsPlusNormal"/>
              <w:jc w:val="both"/>
            </w:pPr>
            <w:r>
              <w:t xml:space="preserve">(в ред. </w:t>
            </w:r>
            <w:hyperlink r:id="rId22">
              <w:r>
                <w:rPr>
                  <w:color w:val="0000FF"/>
                </w:rPr>
                <w:t>приказа</w:t>
              </w:r>
            </w:hyperlink>
            <w:r>
              <w:t xml:space="preserve"> Минпромторга Новосибирской области от 30.12.2022 N 400)</w:t>
            </w:r>
          </w:p>
        </w:tc>
      </w:tr>
      <w:tr w:rsidR="002E00FA">
        <w:tc>
          <w:tcPr>
            <w:tcW w:w="2098" w:type="dxa"/>
          </w:tcPr>
          <w:p w:rsidR="002E00FA" w:rsidRDefault="002E00FA">
            <w:pPr>
              <w:pStyle w:val="ConsPlusNormal"/>
              <w:jc w:val="both"/>
            </w:pPr>
            <w:r>
              <w:t>Задача 1:</w:t>
            </w:r>
          </w:p>
          <w:p w:rsidR="002E00FA" w:rsidRDefault="002E00FA">
            <w:pPr>
              <w:pStyle w:val="ConsPlusNormal"/>
              <w:jc w:val="both"/>
            </w:pPr>
            <w:r>
              <w:t>содействие развитию производственно-</w:t>
            </w:r>
            <w:r>
              <w:lastRenderedPageBreak/>
              <w:t>технологического потенциала промышленных организаций Новосибирской области</w:t>
            </w:r>
          </w:p>
        </w:tc>
        <w:tc>
          <w:tcPr>
            <w:tcW w:w="2551" w:type="dxa"/>
          </w:tcPr>
          <w:p w:rsidR="002E00FA" w:rsidRDefault="002E00FA">
            <w:pPr>
              <w:pStyle w:val="ConsPlusNormal"/>
            </w:pPr>
            <w:r>
              <w:lastRenderedPageBreak/>
              <w:t>7. Целевой индикатор:</w:t>
            </w:r>
          </w:p>
          <w:p w:rsidR="002E00FA" w:rsidRDefault="002E00FA">
            <w:pPr>
              <w:pStyle w:val="ConsPlusNormal"/>
            </w:pPr>
            <w:r>
              <w:t xml:space="preserve">темп роста производительности (выработки) на одного </w:t>
            </w:r>
            <w:r>
              <w:lastRenderedPageBreak/>
              <w:t>работающего, определенной по выручке, по кругу промышленных организаций, получивших государственную поддержку</w:t>
            </w:r>
          </w:p>
        </w:tc>
        <w:tc>
          <w:tcPr>
            <w:tcW w:w="624" w:type="dxa"/>
            <w:vAlign w:val="center"/>
          </w:tcPr>
          <w:p w:rsidR="002E00FA" w:rsidRDefault="002E00FA">
            <w:pPr>
              <w:pStyle w:val="ConsPlusNormal"/>
              <w:jc w:val="center"/>
            </w:pPr>
            <w:r>
              <w:lastRenderedPageBreak/>
              <w:t>% к предыдущем</w:t>
            </w:r>
            <w:r>
              <w:lastRenderedPageBreak/>
              <w:t>у году</w:t>
            </w:r>
          </w:p>
        </w:tc>
        <w:tc>
          <w:tcPr>
            <w:tcW w:w="1020" w:type="dxa"/>
            <w:vAlign w:val="center"/>
          </w:tcPr>
          <w:p w:rsidR="002E00FA" w:rsidRDefault="002E00FA">
            <w:pPr>
              <w:pStyle w:val="ConsPlusNormal"/>
              <w:jc w:val="center"/>
            </w:pPr>
            <w:r>
              <w:lastRenderedPageBreak/>
              <w:t>0,14</w:t>
            </w:r>
          </w:p>
        </w:tc>
        <w:tc>
          <w:tcPr>
            <w:tcW w:w="1134" w:type="dxa"/>
            <w:vAlign w:val="center"/>
          </w:tcPr>
          <w:p w:rsidR="002E00FA" w:rsidRDefault="002E00FA">
            <w:pPr>
              <w:pStyle w:val="ConsPlusNormal"/>
              <w:jc w:val="center"/>
            </w:pPr>
            <w:r>
              <w:t>106,0</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106,0</w:t>
            </w:r>
          </w:p>
        </w:tc>
        <w:tc>
          <w:tcPr>
            <w:tcW w:w="1134" w:type="dxa"/>
            <w:vAlign w:val="center"/>
          </w:tcPr>
          <w:p w:rsidR="002E00FA" w:rsidRDefault="002E00FA">
            <w:pPr>
              <w:pStyle w:val="ConsPlusNormal"/>
              <w:jc w:val="center"/>
            </w:pPr>
            <w:r>
              <w:t>106,0</w:t>
            </w:r>
          </w:p>
        </w:tc>
        <w:tc>
          <w:tcPr>
            <w:tcW w:w="1701" w:type="dxa"/>
          </w:tcPr>
          <w:p w:rsidR="002E00FA" w:rsidRDefault="002E00FA">
            <w:pPr>
              <w:pStyle w:val="ConsPlusNormal"/>
            </w:pPr>
          </w:p>
        </w:tc>
      </w:tr>
      <w:tr w:rsidR="002E00FA">
        <w:tc>
          <w:tcPr>
            <w:tcW w:w="2098" w:type="dxa"/>
          </w:tcPr>
          <w:p w:rsidR="002E00FA" w:rsidRDefault="002E00FA">
            <w:pPr>
              <w:pStyle w:val="ConsPlusNormal"/>
              <w:jc w:val="both"/>
            </w:pPr>
            <w:r>
              <w:t>Задача 2:</w:t>
            </w:r>
          </w:p>
          <w:p w:rsidR="002E00FA" w:rsidRDefault="002E00FA">
            <w:pPr>
              <w:pStyle w:val="ConsPlusNormal"/>
              <w:jc w:val="both"/>
            </w:pPr>
            <w:r>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2551" w:type="dxa"/>
          </w:tcPr>
          <w:p w:rsidR="002E00FA" w:rsidRDefault="002E00FA">
            <w:pPr>
              <w:pStyle w:val="ConsPlusNormal"/>
            </w:pPr>
            <w:r>
              <w:t>8. Целевой индикатор:</w:t>
            </w:r>
          </w:p>
          <w:p w:rsidR="002E00FA" w:rsidRDefault="002E00FA">
            <w:pPr>
              <w:pStyle w:val="ConsPlusNormal"/>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624" w:type="dxa"/>
            <w:vAlign w:val="center"/>
          </w:tcPr>
          <w:p w:rsidR="002E00FA" w:rsidRDefault="002E00FA">
            <w:pPr>
              <w:pStyle w:val="ConsPlusNormal"/>
              <w:jc w:val="center"/>
            </w:pPr>
            <w:r>
              <w:t>% к предыдущему году</w:t>
            </w:r>
          </w:p>
        </w:tc>
        <w:tc>
          <w:tcPr>
            <w:tcW w:w="1020" w:type="dxa"/>
            <w:vAlign w:val="center"/>
          </w:tcPr>
          <w:p w:rsidR="002E00FA" w:rsidRDefault="002E00FA">
            <w:pPr>
              <w:pStyle w:val="ConsPlusNormal"/>
              <w:jc w:val="center"/>
            </w:pPr>
            <w:r>
              <w:t>0,13</w:t>
            </w:r>
          </w:p>
        </w:tc>
        <w:tc>
          <w:tcPr>
            <w:tcW w:w="1134" w:type="dxa"/>
            <w:vAlign w:val="center"/>
          </w:tcPr>
          <w:p w:rsidR="002E00FA" w:rsidRDefault="002E00FA">
            <w:pPr>
              <w:pStyle w:val="ConsPlusNormal"/>
              <w:jc w:val="center"/>
            </w:pPr>
            <w:r>
              <w:t>110,0</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110,0</w:t>
            </w:r>
          </w:p>
        </w:tc>
        <w:tc>
          <w:tcPr>
            <w:tcW w:w="1134" w:type="dxa"/>
            <w:vAlign w:val="center"/>
          </w:tcPr>
          <w:p w:rsidR="002E00FA" w:rsidRDefault="002E00FA">
            <w:pPr>
              <w:pStyle w:val="ConsPlusNormal"/>
              <w:jc w:val="center"/>
            </w:pPr>
            <w:r>
              <w:t>110,0</w:t>
            </w:r>
          </w:p>
        </w:tc>
        <w:tc>
          <w:tcPr>
            <w:tcW w:w="1701" w:type="dxa"/>
          </w:tcPr>
          <w:p w:rsidR="002E00FA" w:rsidRDefault="002E00FA">
            <w:pPr>
              <w:pStyle w:val="ConsPlusNormal"/>
            </w:pPr>
          </w:p>
        </w:tc>
      </w:tr>
      <w:tr w:rsidR="002E00FA">
        <w:tblPrEx>
          <w:tblBorders>
            <w:insideH w:val="nil"/>
          </w:tblBorders>
        </w:tblPrEx>
        <w:tc>
          <w:tcPr>
            <w:tcW w:w="2098" w:type="dxa"/>
            <w:tcBorders>
              <w:bottom w:val="nil"/>
            </w:tcBorders>
          </w:tcPr>
          <w:p w:rsidR="002E00FA" w:rsidRDefault="002E00FA">
            <w:pPr>
              <w:pStyle w:val="ConsPlusNormal"/>
              <w:jc w:val="both"/>
            </w:pPr>
            <w:r>
              <w:t>Задача 3:</w:t>
            </w:r>
          </w:p>
          <w:p w:rsidR="002E00FA" w:rsidRDefault="002E00FA">
            <w:pPr>
              <w:pStyle w:val="ConsPlusNormal"/>
              <w:jc w:val="both"/>
            </w:pPr>
            <w:r>
              <w:t>создание условий для развития организаций медицинской промышленности Новосибирской области</w:t>
            </w:r>
          </w:p>
        </w:tc>
        <w:tc>
          <w:tcPr>
            <w:tcW w:w="2551" w:type="dxa"/>
            <w:tcBorders>
              <w:bottom w:val="nil"/>
            </w:tcBorders>
          </w:tcPr>
          <w:p w:rsidR="002E00FA" w:rsidRDefault="002E00FA">
            <w:pPr>
              <w:pStyle w:val="ConsPlusNormal"/>
            </w:pPr>
            <w:r>
              <w:t>9. Целевой индикатор:</w:t>
            </w:r>
          </w:p>
          <w:p w:rsidR="002E00FA" w:rsidRDefault="002E00FA">
            <w:pPr>
              <w:pStyle w:val="ConsPlusNormal"/>
            </w:pPr>
            <w:r>
              <w:t>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624" w:type="dxa"/>
            <w:tcBorders>
              <w:bottom w:val="nil"/>
            </w:tcBorders>
            <w:vAlign w:val="center"/>
          </w:tcPr>
          <w:p w:rsidR="002E00FA" w:rsidRDefault="002E00FA">
            <w:pPr>
              <w:pStyle w:val="ConsPlusNormal"/>
              <w:jc w:val="center"/>
            </w:pPr>
            <w:r>
              <w:t>% к предыдущему году</w:t>
            </w:r>
          </w:p>
        </w:tc>
        <w:tc>
          <w:tcPr>
            <w:tcW w:w="1020" w:type="dxa"/>
            <w:tcBorders>
              <w:bottom w:val="nil"/>
            </w:tcBorders>
            <w:vAlign w:val="center"/>
          </w:tcPr>
          <w:p w:rsidR="002E00FA" w:rsidRDefault="002E00FA">
            <w:pPr>
              <w:pStyle w:val="ConsPlusNormal"/>
              <w:jc w:val="center"/>
            </w:pPr>
            <w:r>
              <w:t>0,03</w:t>
            </w:r>
          </w:p>
        </w:tc>
        <w:tc>
          <w:tcPr>
            <w:tcW w:w="1134" w:type="dxa"/>
            <w:tcBorders>
              <w:bottom w:val="nil"/>
            </w:tcBorders>
            <w:vAlign w:val="center"/>
          </w:tcPr>
          <w:p w:rsidR="002E00FA" w:rsidRDefault="002E00FA">
            <w:pPr>
              <w:pStyle w:val="ConsPlusNormal"/>
              <w:jc w:val="center"/>
            </w:pPr>
            <w:r>
              <w:t>110,0</w:t>
            </w:r>
          </w:p>
        </w:tc>
        <w:tc>
          <w:tcPr>
            <w:tcW w:w="1020" w:type="dxa"/>
            <w:tcBorders>
              <w:bottom w:val="nil"/>
            </w:tcBorders>
            <w:vAlign w:val="center"/>
          </w:tcPr>
          <w:p w:rsidR="002E00FA" w:rsidRDefault="002E00FA">
            <w:pPr>
              <w:pStyle w:val="ConsPlusNormal"/>
              <w:jc w:val="center"/>
            </w:pPr>
            <w:r>
              <w:t>-</w:t>
            </w:r>
          </w:p>
        </w:tc>
        <w:tc>
          <w:tcPr>
            <w:tcW w:w="1020" w:type="dxa"/>
            <w:tcBorders>
              <w:bottom w:val="nil"/>
            </w:tcBorders>
            <w:vAlign w:val="center"/>
          </w:tcPr>
          <w:p w:rsidR="002E00FA" w:rsidRDefault="002E00FA">
            <w:pPr>
              <w:pStyle w:val="ConsPlusNormal"/>
              <w:jc w:val="center"/>
            </w:pPr>
            <w:r>
              <w:t>-</w:t>
            </w:r>
          </w:p>
        </w:tc>
        <w:tc>
          <w:tcPr>
            <w:tcW w:w="1020"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110,0</w:t>
            </w:r>
          </w:p>
        </w:tc>
        <w:tc>
          <w:tcPr>
            <w:tcW w:w="1134" w:type="dxa"/>
            <w:tcBorders>
              <w:bottom w:val="nil"/>
            </w:tcBorders>
            <w:vAlign w:val="center"/>
          </w:tcPr>
          <w:p w:rsidR="002E00FA" w:rsidRDefault="002E00FA">
            <w:pPr>
              <w:pStyle w:val="ConsPlusNormal"/>
              <w:jc w:val="center"/>
            </w:pPr>
            <w:r>
              <w:t>110,0</w:t>
            </w:r>
          </w:p>
        </w:tc>
        <w:tc>
          <w:tcPr>
            <w:tcW w:w="1701" w:type="dxa"/>
            <w:tcBorders>
              <w:bottom w:val="nil"/>
            </w:tcBorders>
          </w:tcPr>
          <w:p w:rsidR="002E00FA" w:rsidRDefault="002E00FA">
            <w:pPr>
              <w:pStyle w:val="ConsPlusNormal"/>
            </w:pPr>
          </w:p>
        </w:tc>
      </w:tr>
      <w:tr w:rsidR="002E00FA">
        <w:tblPrEx>
          <w:tblBorders>
            <w:insideH w:val="nil"/>
          </w:tblBorders>
        </w:tblPrEx>
        <w:tc>
          <w:tcPr>
            <w:tcW w:w="15590" w:type="dxa"/>
            <w:gridSpan w:val="12"/>
            <w:tcBorders>
              <w:top w:val="nil"/>
            </w:tcBorders>
          </w:tcPr>
          <w:p w:rsidR="002E00FA" w:rsidRDefault="002E00FA">
            <w:pPr>
              <w:pStyle w:val="ConsPlusNormal"/>
              <w:jc w:val="both"/>
            </w:pPr>
            <w:r>
              <w:lastRenderedPageBreak/>
              <w:t xml:space="preserve">(в ред. </w:t>
            </w:r>
            <w:hyperlink r:id="rId23">
              <w:r>
                <w:rPr>
                  <w:color w:val="0000FF"/>
                </w:rPr>
                <w:t>приказа</w:t>
              </w:r>
            </w:hyperlink>
            <w:r>
              <w:t xml:space="preserve"> Минпромторга Новосибирской области от 30.12.2022 N 400)</w:t>
            </w:r>
          </w:p>
        </w:tc>
      </w:tr>
      <w:tr w:rsidR="002E00FA">
        <w:tc>
          <w:tcPr>
            <w:tcW w:w="15590" w:type="dxa"/>
            <w:gridSpan w:val="12"/>
            <w:vAlign w:val="center"/>
          </w:tcPr>
          <w:p w:rsidR="002E00FA" w:rsidRDefault="002E00FA">
            <w:pPr>
              <w:pStyle w:val="ConsPlusNormal"/>
              <w:jc w:val="center"/>
              <w:outlineLvl w:val="3"/>
            </w:pPr>
            <w:r>
              <w:t>Подпрограмма 1 "Техническое перевооружение промышленности Новосибирской области"</w:t>
            </w:r>
          </w:p>
        </w:tc>
      </w:tr>
      <w:tr w:rsidR="002E00FA">
        <w:tc>
          <w:tcPr>
            <w:tcW w:w="2098" w:type="dxa"/>
          </w:tcPr>
          <w:p w:rsidR="002E00FA" w:rsidRDefault="002E00FA">
            <w:pPr>
              <w:pStyle w:val="ConsPlusNormal"/>
              <w:jc w:val="both"/>
            </w:pPr>
            <w:r>
              <w:t>Задача 1 подпрограммы 1:</w:t>
            </w:r>
          </w:p>
          <w:p w:rsidR="002E00FA" w:rsidRDefault="002E00FA">
            <w:pPr>
              <w:pStyle w:val="ConsPlusNormal"/>
              <w:jc w:val="both"/>
            </w:pPr>
            <w: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2551" w:type="dxa"/>
          </w:tcPr>
          <w:p w:rsidR="002E00FA" w:rsidRDefault="002E00FA">
            <w:pPr>
              <w:pStyle w:val="ConsPlusNormal"/>
            </w:pPr>
            <w:r>
              <w:t>10. Целевой индикатор:</w:t>
            </w:r>
          </w:p>
          <w:p w:rsidR="002E00FA" w:rsidRDefault="002E00FA">
            <w:pPr>
              <w:pStyle w:val="ConsPlusNormal"/>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624" w:type="dxa"/>
            <w:vAlign w:val="center"/>
          </w:tcPr>
          <w:p w:rsidR="002E00FA" w:rsidRDefault="002E00FA">
            <w:pPr>
              <w:pStyle w:val="ConsPlusNormal"/>
              <w:jc w:val="center"/>
            </w:pPr>
            <w:r>
              <w:t>единица</w:t>
            </w:r>
          </w:p>
        </w:tc>
        <w:tc>
          <w:tcPr>
            <w:tcW w:w="1020" w:type="dxa"/>
            <w:vAlign w:val="center"/>
          </w:tcPr>
          <w:p w:rsidR="002E00FA" w:rsidRDefault="002E00FA">
            <w:pPr>
              <w:pStyle w:val="ConsPlusNormal"/>
              <w:jc w:val="center"/>
            </w:pPr>
            <w:r>
              <w:t>0,1</w:t>
            </w:r>
          </w:p>
        </w:tc>
        <w:tc>
          <w:tcPr>
            <w:tcW w:w="1134" w:type="dxa"/>
            <w:vAlign w:val="center"/>
          </w:tcPr>
          <w:p w:rsidR="002E00FA" w:rsidRDefault="002E00FA">
            <w:pPr>
              <w:pStyle w:val="ConsPlusNormal"/>
              <w:jc w:val="center"/>
            </w:pPr>
            <w:r>
              <w:t>22</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22</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33</w:t>
            </w:r>
          </w:p>
        </w:tc>
        <w:tc>
          <w:tcPr>
            <w:tcW w:w="1134" w:type="dxa"/>
            <w:vAlign w:val="center"/>
          </w:tcPr>
          <w:p w:rsidR="002E00FA" w:rsidRDefault="002E00FA">
            <w:pPr>
              <w:pStyle w:val="ConsPlusNormal"/>
              <w:jc w:val="center"/>
            </w:pPr>
            <w:r>
              <w:t>7</w:t>
            </w:r>
          </w:p>
        </w:tc>
        <w:tc>
          <w:tcPr>
            <w:tcW w:w="1701" w:type="dxa"/>
          </w:tcPr>
          <w:p w:rsidR="002E00FA" w:rsidRDefault="002E00FA">
            <w:pPr>
              <w:pStyle w:val="ConsPlusNormal"/>
            </w:pPr>
          </w:p>
        </w:tc>
      </w:tr>
      <w:tr w:rsidR="002E00FA">
        <w:tc>
          <w:tcPr>
            <w:tcW w:w="15590" w:type="dxa"/>
            <w:gridSpan w:val="12"/>
            <w:vAlign w:val="center"/>
          </w:tcPr>
          <w:p w:rsidR="002E00FA" w:rsidRDefault="002E00FA">
            <w:pPr>
              <w:pStyle w:val="ConsPlusNormal"/>
              <w:jc w:val="center"/>
              <w:outlineLvl w:val="3"/>
            </w:pPr>
            <w:r>
              <w:t>Подпрограмма 2 "Государственная поддержка научно-производственных центров в Новосибирской области"</w:t>
            </w:r>
          </w:p>
        </w:tc>
      </w:tr>
      <w:tr w:rsidR="002E00FA">
        <w:tblPrEx>
          <w:tblBorders>
            <w:insideH w:val="nil"/>
          </w:tblBorders>
        </w:tblPrEx>
        <w:tc>
          <w:tcPr>
            <w:tcW w:w="2098" w:type="dxa"/>
            <w:tcBorders>
              <w:bottom w:val="nil"/>
            </w:tcBorders>
          </w:tcPr>
          <w:p w:rsidR="002E00FA" w:rsidRDefault="002E00FA">
            <w:pPr>
              <w:pStyle w:val="ConsPlusNormal"/>
              <w:jc w:val="both"/>
            </w:pPr>
            <w:r>
              <w:t>Задача 1 подпрограммы 2:</w:t>
            </w:r>
          </w:p>
          <w:p w:rsidR="002E00FA" w:rsidRDefault="002E00FA">
            <w:pPr>
              <w:pStyle w:val="ConsPlusNormal"/>
              <w:jc w:val="both"/>
            </w:pPr>
            <w:r>
              <w:t xml:space="preserve">формирование организационных и финансовых условий для проведения научно-производственными </w:t>
            </w:r>
            <w:r>
              <w:lastRenderedPageBreak/>
              <w:t>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2551" w:type="dxa"/>
            <w:tcBorders>
              <w:bottom w:val="nil"/>
            </w:tcBorders>
          </w:tcPr>
          <w:p w:rsidR="002E00FA" w:rsidRDefault="002E00FA">
            <w:pPr>
              <w:pStyle w:val="ConsPlusNormal"/>
            </w:pPr>
            <w:r>
              <w:lastRenderedPageBreak/>
              <w:t>12. Целевой индикатор:</w:t>
            </w:r>
          </w:p>
          <w:p w:rsidR="002E00FA" w:rsidRDefault="002E00FA">
            <w:pPr>
              <w:pStyle w:val="ConsPlusNormal"/>
            </w:pPr>
            <w:r>
              <w:t xml:space="preserve">количество разработанных в рамках реализации мероприятий подпрограммы образцов инновационной высокотехнологичной </w:t>
            </w:r>
            <w:r>
              <w:lastRenderedPageBreak/>
              <w:t>продукции, новых технологий, материалов</w:t>
            </w:r>
          </w:p>
        </w:tc>
        <w:tc>
          <w:tcPr>
            <w:tcW w:w="624" w:type="dxa"/>
            <w:tcBorders>
              <w:bottom w:val="nil"/>
            </w:tcBorders>
            <w:vAlign w:val="center"/>
          </w:tcPr>
          <w:p w:rsidR="002E00FA" w:rsidRDefault="002E00FA">
            <w:pPr>
              <w:pStyle w:val="ConsPlusNormal"/>
              <w:jc w:val="center"/>
            </w:pPr>
            <w:r>
              <w:lastRenderedPageBreak/>
              <w:t>единица</w:t>
            </w:r>
          </w:p>
        </w:tc>
        <w:tc>
          <w:tcPr>
            <w:tcW w:w="1020" w:type="dxa"/>
            <w:tcBorders>
              <w:bottom w:val="nil"/>
            </w:tcBorders>
            <w:vAlign w:val="center"/>
          </w:tcPr>
          <w:p w:rsidR="002E00FA" w:rsidRDefault="002E00FA">
            <w:pPr>
              <w:pStyle w:val="ConsPlusNormal"/>
              <w:jc w:val="center"/>
            </w:pPr>
            <w:r>
              <w:t>0,08</w:t>
            </w:r>
          </w:p>
        </w:tc>
        <w:tc>
          <w:tcPr>
            <w:tcW w:w="1134" w:type="dxa"/>
            <w:tcBorders>
              <w:bottom w:val="nil"/>
            </w:tcBorders>
            <w:vAlign w:val="center"/>
          </w:tcPr>
          <w:p w:rsidR="002E00FA" w:rsidRDefault="002E00FA">
            <w:pPr>
              <w:pStyle w:val="ConsPlusNormal"/>
              <w:jc w:val="center"/>
            </w:pPr>
            <w:r>
              <w:t>20</w:t>
            </w:r>
          </w:p>
        </w:tc>
        <w:tc>
          <w:tcPr>
            <w:tcW w:w="1020" w:type="dxa"/>
            <w:tcBorders>
              <w:bottom w:val="nil"/>
            </w:tcBorders>
            <w:vAlign w:val="center"/>
          </w:tcPr>
          <w:p w:rsidR="002E00FA" w:rsidRDefault="002E00FA">
            <w:pPr>
              <w:pStyle w:val="ConsPlusNormal"/>
              <w:jc w:val="center"/>
            </w:pPr>
            <w:r>
              <w:t>-</w:t>
            </w:r>
          </w:p>
        </w:tc>
        <w:tc>
          <w:tcPr>
            <w:tcW w:w="1020" w:type="dxa"/>
            <w:tcBorders>
              <w:bottom w:val="nil"/>
            </w:tcBorders>
            <w:vAlign w:val="center"/>
          </w:tcPr>
          <w:p w:rsidR="002E00FA" w:rsidRDefault="002E00FA">
            <w:pPr>
              <w:pStyle w:val="ConsPlusNormal"/>
              <w:jc w:val="center"/>
            </w:pPr>
            <w:r>
              <w:t>10</w:t>
            </w:r>
          </w:p>
        </w:tc>
        <w:tc>
          <w:tcPr>
            <w:tcW w:w="1020"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10</w:t>
            </w:r>
          </w:p>
        </w:tc>
        <w:tc>
          <w:tcPr>
            <w:tcW w:w="1134" w:type="dxa"/>
            <w:tcBorders>
              <w:bottom w:val="nil"/>
            </w:tcBorders>
            <w:vAlign w:val="center"/>
          </w:tcPr>
          <w:p w:rsidR="002E00FA" w:rsidRDefault="002E00FA">
            <w:pPr>
              <w:pStyle w:val="ConsPlusNormal"/>
              <w:jc w:val="center"/>
            </w:pPr>
            <w:r>
              <w:t>3</w:t>
            </w:r>
          </w:p>
        </w:tc>
        <w:tc>
          <w:tcPr>
            <w:tcW w:w="1134" w:type="dxa"/>
            <w:tcBorders>
              <w:bottom w:val="nil"/>
            </w:tcBorders>
            <w:vAlign w:val="center"/>
          </w:tcPr>
          <w:p w:rsidR="002E00FA" w:rsidRDefault="002E00FA">
            <w:pPr>
              <w:pStyle w:val="ConsPlusNormal"/>
              <w:jc w:val="center"/>
            </w:pPr>
            <w:r>
              <w:t>3</w:t>
            </w:r>
          </w:p>
        </w:tc>
        <w:tc>
          <w:tcPr>
            <w:tcW w:w="1701" w:type="dxa"/>
            <w:tcBorders>
              <w:bottom w:val="nil"/>
            </w:tcBorders>
          </w:tcPr>
          <w:p w:rsidR="002E00FA" w:rsidRDefault="002E00FA">
            <w:pPr>
              <w:pStyle w:val="ConsPlusNormal"/>
              <w:jc w:val="both"/>
            </w:pPr>
            <w:r>
              <w:t xml:space="preserve">Плановое значение целевого индикатора установленного на 2022 год достигается, в том числе за </w:t>
            </w:r>
            <w:r>
              <w:lastRenderedPageBreak/>
              <w:t>счет средств резервного фонда Правительства Новосибирской области в объеме 15 000,0 тыс. рублей</w:t>
            </w:r>
          </w:p>
        </w:tc>
      </w:tr>
      <w:tr w:rsidR="002E00FA">
        <w:tblPrEx>
          <w:tblBorders>
            <w:insideH w:val="nil"/>
          </w:tblBorders>
        </w:tblPrEx>
        <w:tc>
          <w:tcPr>
            <w:tcW w:w="15590" w:type="dxa"/>
            <w:gridSpan w:val="12"/>
            <w:tcBorders>
              <w:top w:val="nil"/>
            </w:tcBorders>
          </w:tcPr>
          <w:p w:rsidR="002E00FA" w:rsidRDefault="002E00FA">
            <w:pPr>
              <w:pStyle w:val="ConsPlusNormal"/>
              <w:jc w:val="both"/>
            </w:pPr>
            <w:r>
              <w:lastRenderedPageBreak/>
              <w:t xml:space="preserve">(в ред. </w:t>
            </w:r>
            <w:hyperlink r:id="rId24">
              <w:r>
                <w:rPr>
                  <w:color w:val="0000FF"/>
                </w:rPr>
                <w:t>приказа</w:t>
              </w:r>
            </w:hyperlink>
            <w:r>
              <w:t xml:space="preserve"> Минпромторга Новосибирской области от 30.12.2022 N 400)</w:t>
            </w:r>
          </w:p>
        </w:tc>
      </w:tr>
      <w:tr w:rsidR="002E00FA">
        <w:tc>
          <w:tcPr>
            <w:tcW w:w="2098" w:type="dxa"/>
          </w:tcPr>
          <w:p w:rsidR="002E00FA" w:rsidRDefault="002E00FA">
            <w:pPr>
              <w:pStyle w:val="ConsPlusNormal"/>
              <w:jc w:val="both"/>
            </w:pPr>
            <w:r>
              <w:t>Задача 2 подпрограммы 2:</w:t>
            </w:r>
          </w:p>
          <w:p w:rsidR="002E00FA" w:rsidRDefault="002E00FA">
            <w:pPr>
              <w:pStyle w:val="ConsPlusNormal"/>
              <w:jc w:val="both"/>
            </w:pPr>
            <w:r>
              <w:t xml:space="preserve">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w:t>
            </w:r>
            <w:r>
              <w:lastRenderedPageBreak/>
              <w:t>промышленных образцов продукции</w:t>
            </w:r>
          </w:p>
        </w:tc>
        <w:tc>
          <w:tcPr>
            <w:tcW w:w="2551" w:type="dxa"/>
          </w:tcPr>
          <w:p w:rsidR="002E00FA" w:rsidRDefault="002E00FA">
            <w:pPr>
              <w:pStyle w:val="ConsPlusNormal"/>
            </w:pPr>
            <w:r>
              <w:lastRenderedPageBreak/>
              <w:t>13. Целевой индикатор:</w:t>
            </w:r>
          </w:p>
          <w:p w:rsidR="002E00FA" w:rsidRDefault="002E00FA">
            <w:pPr>
              <w:pStyle w:val="ConsPlusNormal"/>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c>
          <w:tcPr>
            <w:tcW w:w="624" w:type="dxa"/>
            <w:vAlign w:val="center"/>
          </w:tcPr>
          <w:p w:rsidR="002E00FA" w:rsidRDefault="002E00FA">
            <w:pPr>
              <w:pStyle w:val="ConsPlusNormal"/>
              <w:jc w:val="center"/>
            </w:pPr>
            <w:r>
              <w:t>единица</w:t>
            </w:r>
          </w:p>
        </w:tc>
        <w:tc>
          <w:tcPr>
            <w:tcW w:w="1020" w:type="dxa"/>
            <w:vAlign w:val="center"/>
          </w:tcPr>
          <w:p w:rsidR="002E00FA" w:rsidRDefault="002E00FA">
            <w:pPr>
              <w:pStyle w:val="ConsPlusNormal"/>
              <w:jc w:val="center"/>
            </w:pPr>
            <w:r>
              <w:t>0,00</w:t>
            </w:r>
          </w:p>
        </w:tc>
        <w:tc>
          <w:tcPr>
            <w:tcW w:w="1134" w:type="dxa"/>
            <w:vAlign w:val="center"/>
          </w:tcPr>
          <w:p w:rsidR="002E00FA" w:rsidRDefault="002E00FA">
            <w:pPr>
              <w:pStyle w:val="ConsPlusNormal"/>
              <w:jc w:val="center"/>
            </w:pPr>
            <w:r>
              <w:t>2</w:t>
            </w:r>
          </w:p>
        </w:tc>
        <w:tc>
          <w:tcPr>
            <w:tcW w:w="1020" w:type="dxa"/>
            <w:vAlign w:val="center"/>
          </w:tcPr>
          <w:p w:rsidR="002E00FA" w:rsidRDefault="002E00FA">
            <w:pPr>
              <w:pStyle w:val="ConsPlusNormal"/>
              <w:jc w:val="center"/>
            </w:pPr>
            <w:r>
              <w:t>-</w:t>
            </w:r>
          </w:p>
        </w:tc>
        <w:tc>
          <w:tcPr>
            <w:tcW w:w="1020" w:type="dxa"/>
            <w:vAlign w:val="center"/>
          </w:tcPr>
          <w:p w:rsidR="002E00FA" w:rsidRDefault="002E00FA">
            <w:pPr>
              <w:pStyle w:val="ConsPlusNormal"/>
              <w:jc w:val="center"/>
            </w:pPr>
            <w:r>
              <w:t>2</w:t>
            </w:r>
          </w:p>
        </w:tc>
        <w:tc>
          <w:tcPr>
            <w:tcW w:w="102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701" w:type="dxa"/>
          </w:tcPr>
          <w:p w:rsidR="002E00FA" w:rsidRDefault="002E00FA">
            <w:pPr>
              <w:pStyle w:val="ConsPlusNormal"/>
              <w:jc w:val="both"/>
            </w:pPr>
            <w:r>
              <w:t>Значение целевого индикатора на 2022 год приводится справочно, т.к. достигается за счет средств резервного фонда Правительства Новосибирской области в объеме 4 000,0 тыс. рублей</w:t>
            </w:r>
          </w:p>
        </w:tc>
      </w:tr>
    </w:tbl>
    <w:p w:rsidR="002E00FA" w:rsidRDefault="002E00FA">
      <w:pPr>
        <w:pStyle w:val="ConsPlusNormal"/>
        <w:ind w:firstLine="540"/>
        <w:jc w:val="both"/>
      </w:pPr>
    </w:p>
    <w:p w:rsidR="002E00FA" w:rsidRDefault="002E00FA">
      <w:pPr>
        <w:pStyle w:val="ConsPlusNormal"/>
        <w:jc w:val="right"/>
        <w:outlineLvl w:val="1"/>
      </w:pPr>
      <w:r>
        <w:t>Таблица N 2</w:t>
      </w:r>
    </w:p>
    <w:p w:rsidR="002E00FA" w:rsidRDefault="002E00FA">
      <w:pPr>
        <w:pStyle w:val="ConsPlusNormal"/>
        <w:ind w:firstLine="540"/>
        <w:jc w:val="both"/>
      </w:pPr>
    </w:p>
    <w:p w:rsidR="002E00FA" w:rsidRDefault="002E00FA">
      <w:pPr>
        <w:pStyle w:val="ConsPlusTitle"/>
        <w:jc w:val="center"/>
      </w:pPr>
      <w:r>
        <w:t>Информация</w:t>
      </w:r>
    </w:p>
    <w:p w:rsidR="002E00FA" w:rsidRDefault="002E00FA">
      <w:pPr>
        <w:pStyle w:val="ConsPlusTitle"/>
        <w:jc w:val="center"/>
      </w:pPr>
      <w:r>
        <w:t>о порядке сбора информации для определения (расчета)</w:t>
      </w:r>
    </w:p>
    <w:p w:rsidR="002E00FA" w:rsidRDefault="002E00FA">
      <w:pPr>
        <w:pStyle w:val="ConsPlusTitle"/>
        <w:jc w:val="center"/>
      </w:pPr>
      <w:r>
        <w:t>плановых и фактических значений целевых индикаторов</w:t>
      </w:r>
    </w:p>
    <w:p w:rsidR="002E00FA" w:rsidRDefault="002E00FA">
      <w:pPr>
        <w:pStyle w:val="ConsPlusTitle"/>
        <w:jc w:val="center"/>
      </w:pPr>
      <w:r>
        <w:t>государственной программы "Развитие промышленности</w:t>
      </w:r>
    </w:p>
    <w:p w:rsidR="002E00FA" w:rsidRDefault="002E00FA">
      <w:pPr>
        <w:pStyle w:val="ConsPlusTitle"/>
        <w:jc w:val="center"/>
      </w:pPr>
      <w:r>
        <w:t>и повышение ее конкурентоспособности в Новосибирской</w:t>
      </w:r>
    </w:p>
    <w:p w:rsidR="002E00FA" w:rsidRDefault="002E00FA">
      <w:pPr>
        <w:pStyle w:val="ConsPlusTitle"/>
        <w:jc w:val="center"/>
      </w:pPr>
      <w:r>
        <w:t>области" на очередной 2022 год и плановый</w:t>
      </w:r>
    </w:p>
    <w:p w:rsidR="002E00FA" w:rsidRDefault="002E00FA">
      <w:pPr>
        <w:pStyle w:val="ConsPlusTitle"/>
        <w:jc w:val="center"/>
      </w:pPr>
      <w:r>
        <w:t>период 2023 и 2024 годов</w:t>
      </w:r>
    </w:p>
    <w:p w:rsidR="002E00FA" w:rsidRDefault="002E00FA">
      <w:pPr>
        <w:pStyle w:val="ConsPlusNormal"/>
        <w:jc w:val="center"/>
      </w:pPr>
      <w:r>
        <w:t xml:space="preserve">(в ред. </w:t>
      </w:r>
      <w:hyperlink r:id="rId25">
        <w:r>
          <w:rPr>
            <w:color w:val="0000FF"/>
          </w:rPr>
          <w:t>приказа</w:t>
        </w:r>
      </w:hyperlink>
      <w:r>
        <w:t xml:space="preserve"> Минпромторга Новосибирской области</w:t>
      </w:r>
    </w:p>
    <w:p w:rsidR="002E00FA" w:rsidRDefault="002E00FA">
      <w:pPr>
        <w:pStyle w:val="ConsPlusNormal"/>
        <w:jc w:val="center"/>
      </w:pPr>
      <w:r>
        <w:t>от 06.09.2022 N 284)</w:t>
      </w:r>
    </w:p>
    <w:p w:rsidR="002E00FA" w:rsidRDefault="002E00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94"/>
        <w:gridCol w:w="1077"/>
        <w:gridCol w:w="5726"/>
        <w:gridCol w:w="2948"/>
      </w:tblGrid>
      <w:tr w:rsidR="002E00FA">
        <w:tc>
          <w:tcPr>
            <w:tcW w:w="3061" w:type="dxa"/>
            <w:vAlign w:val="center"/>
          </w:tcPr>
          <w:p w:rsidR="002E00FA" w:rsidRDefault="002E00FA">
            <w:pPr>
              <w:pStyle w:val="ConsPlusNormal"/>
              <w:jc w:val="center"/>
            </w:pPr>
            <w:r>
              <w:t>Наименование целевого индикатора</w:t>
            </w:r>
          </w:p>
        </w:tc>
        <w:tc>
          <w:tcPr>
            <w:tcW w:w="794" w:type="dxa"/>
            <w:vAlign w:val="center"/>
          </w:tcPr>
          <w:p w:rsidR="002E00FA" w:rsidRDefault="002E00FA">
            <w:pPr>
              <w:pStyle w:val="ConsPlusNormal"/>
              <w:jc w:val="center"/>
            </w:pPr>
            <w:r>
              <w:t>Периодичность сбора</w:t>
            </w:r>
          </w:p>
        </w:tc>
        <w:tc>
          <w:tcPr>
            <w:tcW w:w="1077" w:type="dxa"/>
            <w:vAlign w:val="center"/>
          </w:tcPr>
          <w:p w:rsidR="002E00FA" w:rsidRDefault="002E00FA">
            <w:pPr>
              <w:pStyle w:val="ConsPlusNormal"/>
              <w:jc w:val="center"/>
            </w:pPr>
            <w:r>
              <w:t>Вид временной характеристики</w:t>
            </w:r>
          </w:p>
        </w:tc>
        <w:tc>
          <w:tcPr>
            <w:tcW w:w="5726" w:type="dxa"/>
            <w:vAlign w:val="center"/>
          </w:tcPr>
          <w:p w:rsidR="002E00FA" w:rsidRDefault="002E00FA">
            <w:pPr>
              <w:pStyle w:val="ConsPlusNormal"/>
              <w:jc w:val="center"/>
            </w:pPr>
            <w:r>
              <w:t>Методика расчета (плановых и фактических значений)</w:t>
            </w:r>
          </w:p>
        </w:tc>
        <w:tc>
          <w:tcPr>
            <w:tcW w:w="2948" w:type="dxa"/>
            <w:vAlign w:val="center"/>
          </w:tcPr>
          <w:p w:rsidR="002E00FA" w:rsidRDefault="002E00FA">
            <w:pPr>
              <w:pStyle w:val="ConsPlusNormal"/>
              <w:jc w:val="center"/>
            </w:pPr>
            <w:r>
              <w:t>Источник получения данных</w:t>
            </w:r>
          </w:p>
        </w:tc>
      </w:tr>
      <w:tr w:rsidR="002E00FA">
        <w:tc>
          <w:tcPr>
            <w:tcW w:w="3061" w:type="dxa"/>
            <w:vAlign w:val="center"/>
          </w:tcPr>
          <w:p w:rsidR="002E00FA" w:rsidRDefault="002E00FA">
            <w:pPr>
              <w:pStyle w:val="ConsPlusNormal"/>
              <w:jc w:val="center"/>
            </w:pPr>
            <w:r>
              <w:t>1</w:t>
            </w:r>
          </w:p>
        </w:tc>
        <w:tc>
          <w:tcPr>
            <w:tcW w:w="794" w:type="dxa"/>
            <w:vAlign w:val="center"/>
          </w:tcPr>
          <w:p w:rsidR="002E00FA" w:rsidRDefault="002E00FA">
            <w:pPr>
              <w:pStyle w:val="ConsPlusNormal"/>
              <w:jc w:val="center"/>
            </w:pPr>
            <w:r>
              <w:t>2</w:t>
            </w:r>
          </w:p>
        </w:tc>
        <w:tc>
          <w:tcPr>
            <w:tcW w:w="1077" w:type="dxa"/>
            <w:vAlign w:val="center"/>
          </w:tcPr>
          <w:p w:rsidR="002E00FA" w:rsidRDefault="002E00FA">
            <w:pPr>
              <w:pStyle w:val="ConsPlusNormal"/>
              <w:jc w:val="center"/>
            </w:pPr>
            <w:r>
              <w:t>3</w:t>
            </w:r>
          </w:p>
        </w:tc>
        <w:tc>
          <w:tcPr>
            <w:tcW w:w="5726" w:type="dxa"/>
            <w:vAlign w:val="center"/>
          </w:tcPr>
          <w:p w:rsidR="002E00FA" w:rsidRDefault="002E00FA">
            <w:pPr>
              <w:pStyle w:val="ConsPlusNormal"/>
              <w:jc w:val="center"/>
            </w:pPr>
            <w:r>
              <w:t>4</w:t>
            </w:r>
          </w:p>
        </w:tc>
        <w:tc>
          <w:tcPr>
            <w:tcW w:w="2948" w:type="dxa"/>
            <w:vAlign w:val="center"/>
          </w:tcPr>
          <w:p w:rsidR="002E00FA" w:rsidRDefault="002E00FA">
            <w:pPr>
              <w:pStyle w:val="ConsPlusNormal"/>
              <w:jc w:val="center"/>
            </w:pPr>
            <w:r>
              <w:t>5</w:t>
            </w:r>
          </w:p>
        </w:tc>
      </w:tr>
      <w:tr w:rsidR="002E00FA">
        <w:tc>
          <w:tcPr>
            <w:tcW w:w="3061" w:type="dxa"/>
          </w:tcPr>
          <w:p w:rsidR="002E00FA" w:rsidRDefault="002E00FA">
            <w:pPr>
              <w:pStyle w:val="ConsPlusNormal"/>
            </w:pPr>
            <w:r>
              <w:t>1. Индекс промышленного производства по виду экономической деятельности "Обрабатывающие производства"</w:t>
            </w:r>
          </w:p>
        </w:tc>
        <w:tc>
          <w:tcPr>
            <w:tcW w:w="794" w:type="dxa"/>
          </w:tcPr>
          <w:p w:rsidR="002E00FA" w:rsidRDefault="002E00FA">
            <w:pPr>
              <w:pStyle w:val="ConsPlusNormal"/>
              <w:jc w:val="center"/>
            </w:pPr>
            <w:r>
              <w:t>квартальная</w:t>
            </w:r>
          </w:p>
        </w:tc>
        <w:tc>
          <w:tcPr>
            <w:tcW w:w="1077" w:type="dxa"/>
          </w:tcPr>
          <w:p w:rsidR="002E00FA" w:rsidRDefault="002E00FA">
            <w:pPr>
              <w:pStyle w:val="ConsPlusNormal"/>
              <w:jc w:val="center"/>
            </w:pPr>
            <w:r>
              <w:t>за отчетный период</w:t>
            </w:r>
          </w:p>
        </w:tc>
        <w:tc>
          <w:tcPr>
            <w:tcW w:w="5726" w:type="dxa"/>
          </w:tcPr>
          <w:p w:rsidR="002E00FA" w:rsidRDefault="002E00FA">
            <w:pPr>
              <w:pStyle w:val="ConsPlusNormal"/>
            </w:pPr>
            <w:r>
              <w:t>Плановое значение определяется в соответствии со статистической динамикой, а также с учетом стимулирующих мер государственной поддержки, предусмотренных в рамках реализации государственной программы. Фактическое значение определяется на основе статистических данных, %</w:t>
            </w:r>
          </w:p>
        </w:tc>
        <w:tc>
          <w:tcPr>
            <w:tcW w:w="2948" w:type="dxa"/>
          </w:tcPr>
          <w:p w:rsidR="002E00FA" w:rsidRDefault="002E00FA">
            <w:pPr>
              <w:pStyle w:val="ConsPlusNormal"/>
            </w:pPr>
            <w:r>
              <w:t>Статистические данные (экспресс-информация f-04-2/2)</w:t>
            </w:r>
          </w:p>
        </w:tc>
      </w:tr>
      <w:tr w:rsidR="002E00FA">
        <w:tc>
          <w:tcPr>
            <w:tcW w:w="3061" w:type="dxa"/>
          </w:tcPr>
          <w:p w:rsidR="002E00FA" w:rsidRDefault="002E00FA">
            <w:pPr>
              <w:pStyle w:val="ConsPlusNormal"/>
            </w:pPr>
            <w:r>
              <w:t xml:space="preserve">2. Количество проектов, направленных на внедрение наилучших доступных </w:t>
            </w:r>
            <w:r>
              <w:lastRenderedPageBreak/>
              <w:t>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794" w:type="dxa"/>
          </w:tcPr>
          <w:p w:rsidR="002E00FA" w:rsidRDefault="002E00FA">
            <w:pPr>
              <w:pStyle w:val="ConsPlusNormal"/>
              <w:jc w:val="center"/>
            </w:pPr>
            <w:r>
              <w:lastRenderedPageBreak/>
              <w:t>годовая</w:t>
            </w:r>
          </w:p>
        </w:tc>
        <w:tc>
          <w:tcPr>
            <w:tcW w:w="1077" w:type="dxa"/>
          </w:tcPr>
          <w:p w:rsidR="002E00FA" w:rsidRDefault="002E00FA">
            <w:pPr>
              <w:pStyle w:val="ConsPlusNormal"/>
              <w:jc w:val="center"/>
            </w:pPr>
            <w:r>
              <w:t>ежегодно</w:t>
            </w:r>
          </w:p>
        </w:tc>
        <w:tc>
          <w:tcPr>
            <w:tcW w:w="5726" w:type="dxa"/>
          </w:tcPr>
          <w:p w:rsidR="002E00FA" w:rsidRDefault="002E00FA">
            <w:pPr>
              <w:pStyle w:val="ConsPlusNormal"/>
            </w:pPr>
            <w:r>
              <w:t xml:space="preserve">В рамках общепрограммного мероприятия "Обеспечение деятельности некоммерческой организации в целях предоставления займов субъектам деятельности в сфере </w:t>
            </w:r>
            <w:r>
              <w:lastRenderedPageBreak/>
              <w:t>промышленности":</w:t>
            </w:r>
          </w:p>
          <w:p w:rsidR="002E00FA" w:rsidRDefault="002E00FA">
            <w:pPr>
              <w:pStyle w:val="ConsPlusNormal"/>
            </w:pPr>
            <w:r>
              <w:t>плановые значения определяются исходя из запланированного объема финансирования мероприятия (в том числе за счет средств резервного фонда Правительства Новосибирской области), фактическое значение определяется прямым счетом как общее количество проектов, направленных на внедрение наилучших доступных технологий и импортозамещение в сфере промышленности, на территории Новосибирской области, реализация которых начата с участием Государственного фонда развития промышленности Новосибирской области в отчетном периоде, ед.</w:t>
            </w:r>
          </w:p>
        </w:tc>
        <w:tc>
          <w:tcPr>
            <w:tcW w:w="2948" w:type="dxa"/>
          </w:tcPr>
          <w:p w:rsidR="002E00FA" w:rsidRDefault="002E00FA">
            <w:pPr>
              <w:pStyle w:val="ConsPlusNormal"/>
            </w:pPr>
            <w:r>
              <w:lastRenderedPageBreak/>
              <w:t xml:space="preserve">Данные, представляемые Государственным фондом развития промышленности </w:t>
            </w:r>
            <w:r>
              <w:lastRenderedPageBreak/>
              <w:t>Новосибирской области</w:t>
            </w:r>
          </w:p>
        </w:tc>
      </w:tr>
      <w:tr w:rsidR="002E00FA">
        <w:tc>
          <w:tcPr>
            <w:tcW w:w="3061" w:type="dxa"/>
            <w:vMerge w:val="restart"/>
          </w:tcPr>
          <w:p w:rsidR="002E00FA" w:rsidRDefault="002E00FA">
            <w:pPr>
              <w:pStyle w:val="ConsPlusNormal"/>
            </w:pPr>
            <w:r>
              <w:lastRenderedPageBreak/>
              <w:t>3. Количество созданных рабочих мест</w:t>
            </w: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накопительным итогом</w:t>
            </w:r>
          </w:p>
        </w:tc>
        <w:tc>
          <w:tcPr>
            <w:tcW w:w="5726" w:type="dxa"/>
          </w:tcPr>
          <w:p w:rsidR="002E00FA" w:rsidRDefault="002E00FA">
            <w:pPr>
              <w:pStyle w:val="ConsPlusNormal"/>
            </w:pPr>
            <w:r>
              <w:t>Плановые значения установлены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N 020-17-2021-030, от 18.07.2022 N 020-17-2022-146, и планируемым к заключению соглашением в 2023 году (далее - Соглашение).</w:t>
            </w:r>
          </w:p>
          <w:p w:rsidR="002E00FA" w:rsidRDefault="002E00FA">
            <w:pPr>
              <w:pStyle w:val="ConsPlusNormal"/>
            </w:pPr>
            <w:r>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чел.</w:t>
            </w:r>
          </w:p>
        </w:tc>
        <w:tc>
          <w:tcPr>
            <w:tcW w:w="2948" w:type="dxa"/>
          </w:tcPr>
          <w:p w:rsidR="002E00FA" w:rsidRDefault="002E00FA">
            <w:pPr>
              <w:pStyle w:val="ConsPlusNormal"/>
            </w:pPr>
            <w: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p w:rsidR="002E00FA" w:rsidRDefault="002E00FA">
            <w:pPr>
              <w:pStyle w:val="ConsPlusNormal"/>
            </w:pPr>
            <w:r>
              <w:t xml:space="preserve">Индикатор является </w:t>
            </w:r>
            <w:r>
              <w:lastRenderedPageBreak/>
              <w:t>показателем результата предоставления иных межбюджетных трансфертов, установленных в соглашении 2021 года (на 2021 г. - 24 ед., 2022 г. - 74 ед., 2023 г. - 124 ед.), в соглашении 2022 года (на 2022 г. - 14 ед., 2023 г. - 43 ед., 2024 г. - 72 ед.)</w:t>
            </w:r>
          </w:p>
        </w:tc>
      </w:tr>
      <w:tr w:rsidR="002E00FA">
        <w:tc>
          <w:tcPr>
            <w:tcW w:w="3061" w:type="dxa"/>
            <w:vMerge/>
          </w:tcPr>
          <w:p w:rsidR="002E00FA" w:rsidRDefault="002E00FA">
            <w:pPr>
              <w:pStyle w:val="ConsPlusNormal"/>
            </w:pP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за отчетный период</w:t>
            </w:r>
          </w:p>
        </w:tc>
        <w:tc>
          <w:tcPr>
            <w:tcW w:w="5726" w:type="dxa"/>
          </w:tcPr>
          <w:p w:rsidR="002E00FA" w:rsidRDefault="002E00FA">
            <w:pPr>
              <w:pStyle w:val="ConsPlusNormal"/>
            </w:pPr>
            <w:r>
              <w:t>Плановые значения установлены с учетом выделенных бюджетных ассигнований, источником финансового обеспечения которых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чел.</w:t>
            </w:r>
          </w:p>
        </w:tc>
        <w:tc>
          <w:tcPr>
            <w:tcW w:w="2948" w:type="dxa"/>
          </w:tcPr>
          <w:p w:rsidR="002E00FA" w:rsidRDefault="002E00FA">
            <w:pPr>
              <w:pStyle w:val="ConsPlusNormal"/>
            </w:pPr>
            <w: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tc>
      </w:tr>
      <w:tr w:rsidR="002E00FA">
        <w:tc>
          <w:tcPr>
            <w:tcW w:w="3061" w:type="dxa"/>
            <w:vMerge w:val="restart"/>
          </w:tcPr>
          <w:p w:rsidR="002E00FA" w:rsidRDefault="002E00FA">
            <w:pPr>
              <w:pStyle w:val="ConsPlusNormal"/>
            </w:pPr>
            <w:r>
              <w:t xml:space="preserve">4. Объем инвестиций в основной капитал по видам экономической деятельности </w:t>
            </w:r>
            <w:hyperlink r:id="rId26">
              <w:r>
                <w:rPr>
                  <w:color w:val="0000FF"/>
                </w:rPr>
                <w:t>раздела</w:t>
              </w:r>
            </w:hyperlink>
            <w:r>
              <w:t xml:space="preserve"> "Обрабатывающие </w:t>
            </w:r>
            <w:r>
              <w:lastRenderedPageBreak/>
              <w:t>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794" w:type="dxa"/>
          </w:tcPr>
          <w:p w:rsidR="002E00FA" w:rsidRDefault="002E00FA">
            <w:pPr>
              <w:pStyle w:val="ConsPlusNormal"/>
              <w:jc w:val="center"/>
            </w:pPr>
            <w:r>
              <w:lastRenderedPageBreak/>
              <w:t>годовая</w:t>
            </w:r>
          </w:p>
        </w:tc>
        <w:tc>
          <w:tcPr>
            <w:tcW w:w="1077" w:type="dxa"/>
          </w:tcPr>
          <w:p w:rsidR="002E00FA" w:rsidRDefault="002E00FA">
            <w:pPr>
              <w:pStyle w:val="ConsPlusNormal"/>
              <w:jc w:val="center"/>
            </w:pPr>
            <w:r>
              <w:t>накопительным итогом</w:t>
            </w:r>
          </w:p>
        </w:tc>
        <w:tc>
          <w:tcPr>
            <w:tcW w:w="5726" w:type="dxa"/>
          </w:tcPr>
          <w:p w:rsidR="002E00FA" w:rsidRDefault="002E00FA">
            <w:pPr>
              <w:pStyle w:val="ConsPlusNormal"/>
            </w:pPr>
            <w:r>
              <w:t>Плановые значения установлены в соответствии с Соглашениями от 24.06.2021 N 020-17-2021-030, от 18.07.2022 N 020-17-2022-146 и планируемым к заключению соглашением в 2023 году.</w:t>
            </w:r>
          </w:p>
          <w:p w:rsidR="002E00FA" w:rsidRDefault="002E00FA">
            <w:pPr>
              <w:pStyle w:val="ConsPlusNormal"/>
            </w:pPr>
            <w:r>
              <w:lastRenderedPageBreak/>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млн. рублей</w:t>
            </w:r>
          </w:p>
        </w:tc>
        <w:tc>
          <w:tcPr>
            <w:tcW w:w="2948" w:type="dxa"/>
          </w:tcPr>
          <w:p w:rsidR="002E00FA" w:rsidRDefault="002E00FA">
            <w:pPr>
              <w:pStyle w:val="ConsPlusNormal"/>
            </w:pPr>
            <w:r>
              <w:lastRenderedPageBreak/>
              <w:t xml:space="preserve">Данные, предоставляемые Государственным фондом развития промышленности Новосибирской области, </w:t>
            </w:r>
            <w:r>
              <w:lastRenderedPageBreak/>
              <w:t>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p w:rsidR="002E00FA" w:rsidRDefault="002E00FA">
            <w:pPr>
              <w:pStyle w:val="ConsPlusNormal"/>
            </w:pPr>
            <w:r>
              <w:t>Индикатор является показателем результата предоставления иных межбюджетных трансфертов, установленных в соглашении 2021 года (на 2021 г. - 111,25 млн. руб., 2022 г. - 333,74 млн. руб., 2023 г. - 556,23 млн. руб.), в соглашении 2022 года (на 2022 г. - 64,24 млн. руб., 2023 г. - 203,68 млн. руб., 2024 г. - 339,46 млн. руб.)</w:t>
            </w:r>
          </w:p>
        </w:tc>
      </w:tr>
      <w:tr w:rsidR="002E00FA">
        <w:tc>
          <w:tcPr>
            <w:tcW w:w="3061" w:type="dxa"/>
            <w:vMerge/>
          </w:tcPr>
          <w:p w:rsidR="002E00FA" w:rsidRDefault="002E00FA">
            <w:pPr>
              <w:pStyle w:val="ConsPlusNormal"/>
            </w:pP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за отчетный период</w:t>
            </w:r>
          </w:p>
        </w:tc>
        <w:tc>
          <w:tcPr>
            <w:tcW w:w="5726" w:type="dxa"/>
          </w:tcPr>
          <w:p w:rsidR="002E00FA" w:rsidRDefault="002E00FA">
            <w:pPr>
              <w:pStyle w:val="ConsPlusNormal"/>
            </w:pPr>
            <w:r>
              <w:t xml:space="preserve">Плановые значения установлены с учетом выделенных бюджетных ассигнований, источником финансового обеспечения которых являются межбюджетные трансферты из федерального бюджета. Фактические значения рассчитываются по факту исполнения </w:t>
            </w:r>
            <w:r>
              <w:lastRenderedPageBreak/>
              <w:t>мероприятий О3.1 и 1.1.1.1.1.1 за отчетный год, млн. рублей</w:t>
            </w:r>
          </w:p>
        </w:tc>
        <w:tc>
          <w:tcPr>
            <w:tcW w:w="2948" w:type="dxa"/>
          </w:tcPr>
          <w:p w:rsidR="002E00FA" w:rsidRDefault="002E00FA">
            <w:pPr>
              <w:pStyle w:val="ConsPlusNormal"/>
            </w:pPr>
            <w:r>
              <w:lastRenderedPageBreak/>
              <w:t xml:space="preserve">Данные, предоставляемые Государственным фондом развития промышленности Новосибирской области, промышленными </w:t>
            </w:r>
            <w:r>
              <w:lastRenderedPageBreak/>
              <w:t>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tc>
      </w:tr>
      <w:tr w:rsidR="002E00FA">
        <w:tc>
          <w:tcPr>
            <w:tcW w:w="3061" w:type="dxa"/>
            <w:vMerge w:val="restart"/>
          </w:tcPr>
          <w:p w:rsidR="002E00FA" w:rsidRDefault="002E00FA">
            <w:pPr>
              <w:pStyle w:val="ConsPlusNormal"/>
            </w:pPr>
            <w:r>
              <w:lastRenderedPageBreak/>
              <w:t xml:space="preserve">5. Объем отгруженных товаров собственного производства, выполненных работ и услуг собственными силами по видам экономической деятельности </w:t>
            </w:r>
            <w:hyperlink r:id="rId27">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накопительным итогом</w:t>
            </w:r>
          </w:p>
        </w:tc>
        <w:tc>
          <w:tcPr>
            <w:tcW w:w="5726" w:type="dxa"/>
          </w:tcPr>
          <w:p w:rsidR="002E00FA" w:rsidRDefault="002E00FA">
            <w:pPr>
              <w:pStyle w:val="ConsPlusNormal"/>
            </w:pPr>
            <w:r>
              <w:t>Плановые значения установлены в соответствии с Соглашениями от 24.06.2021 N 020-17-2021-030, от 18.07.2022 N 020-17-2022-146 и планируемым к заключению соглашением в 2023 году.</w:t>
            </w:r>
          </w:p>
          <w:p w:rsidR="002E00FA" w:rsidRDefault="002E00FA">
            <w:pPr>
              <w:pStyle w:val="ConsPlusNormal"/>
            </w:pPr>
            <w:r>
              <w:t>Фактические значения рассчитываются как сумма фактических значений за отчетный год + фактических значений за периоды реализации ГП, предшествующие отчетному (начиная с 2021 года), по кругу промышленных организаций, получивших государственную поддержку в рамках реализации проекта по Общепрограммному мероприятию О1 (за 2021 год), О3.1 (начиная с 2022 года) и мероприятию 1.1.1.1.1.1 (начиная с 2021 года), млн. рублей</w:t>
            </w:r>
          </w:p>
        </w:tc>
        <w:tc>
          <w:tcPr>
            <w:tcW w:w="2948" w:type="dxa"/>
          </w:tcPr>
          <w:p w:rsidR="002E00FA" w:rsidRDefault="002E00FA">
            <w:pPr>
              <w:pStyle w:val="ConsPlusNormal"/>
            </w:pPr>
            <w: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p w:rsidR="002E00FA" w:rsidRDefault="002E00FA">
            <w:pPr>
              <w:pStyle w:val="ConsPlusNormal"/>
            </w:pPr>
            <w:r>
              <w:lastRenderedPageBreak/>
              <w:t>Индикатор является показателем результата предоставления иных межбюджетных трансфертов, установленных в соглашении 2021 года (на 2021 г. - 6 545,47 млн. руб., 2022 г. - 19 633,41 млн. руб., 2023 г. - 32 721,91 млн. руб.), в соглашении 2022 года (на 2022 г. - 4 463,92 млн. руб., 2023 г. - 13 391,76 млн. руб., 2024 г. - 22 319,6 млн. руб.)</w:t>
            </w:r>
          </w:p>
        </w:tc>
      </w:tr>
      <w:tr w:rsidR="002E00FA">
        <w:tc>
          <w:tcPr>
            <w:tcW w:w="3061" w:type="dxa"/>
            <w:vMerge/>
          </w:tcPr>
          <w:p w:rsidR="002E00FA" w:rsidRDefault="002E00FA">
            <w:pPr>
              <w:pStyle w:val="ConsPlusNormal"/>
            </w:pP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за отчетный период</w:t>
            </w:r>
          </w:p>
        </w:tc>
        <w:tc>
          <w:tcPr>
            <w:tcW w:w="5726" w:type="dxa"/>
          </w:tcPr>
          <w:p w:rsidR="002E00FA" w:rsidRDefault="002E00FA">
            <w:pPr>
              <w:pStyle w:val="ConsPlusNormal"/>
            </w:pPr>
            <w:r>
              <w:t>Плановые значения установлены с учетом выделенных бюджетных ассигнований, источником финансового обеспечения которых являются межбюджетные трансферты из федерального бюджета. Фактические значения рассчитываются по факту исполнения мероприятий О3.1 и 1.1.1.1.1.1 за отчетный год, млн. рублей</w:t>
            </w:r>
          </w:p>
        </w:tc>
        <w:tc>
          <w:tcPr>
            <w:tcW w:w="2948" w:type="dxa"/>
          </w:tcPr>
          <w:p w:rsidR="002E00FA" w:rsidRDefault="002E00FA">
            <w:pPr>
              <w:pStyle w:val="ConsPlusNormal"/>
            </w:pPr>
            <w: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w:t>
            </w:r>
          </w:p>
        </w:tc>
      </w:tr>
      <w:tr w:rsidR="002E00FA">
        <w:tc>
          <w:tcPr>
            <w:tcW w:w="3061" w:type="dxa"/>
          </w:tcPr>
          <w:p w:rsidR="002E00FA" w:rsidRDefault="002E00FA">
            <w:pPr>
              <w:pStyle w:val="ConsPlusNormal"/>
            </w:pPr>
            <w:r>
              <w:lastRenderedPageBreak/>
              <w:t>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за отчетный период</w:t>
            </w:r>
          </w:p>
        </w:tc>
        <w:tc>
          <w:tcPr>
            <w:tcW w:w="5726" w:type="dxa"/>
          </w:tcPr>
          <w:p w:rsidR="002E00FA" w:rsidRDefault="002E00FA">
            <w:pPr>
              <w:pStyle w:val="ConsPlusNormal"/>
            </w:pPr>
            <w:r>
              <w:t>Плановые значения установлены в соответствии с планируемыми к заключению соглашениями начиная с 2023 года (далее - Соглашение).</w:t>
            </w:r>
          </w:p>
          <w:p w:rsidR="002E00FA" w:rsidRDefault="002E00FA">
            <w:pPr>
              <w:pStyle w:val="ConsPlusNormal"/>
            </w:pPr>
            <w:r>
              <w:t>Фактические значения определяются как сумма фактически понесенных затрат за отчетный год (начиная с 2023 года), по кругу промышленных организаций, получивших государственную поддержку в рамках Общепрограммного мероприятия О3.1 и мероприятия 1.1.1.1.1.1, на реализацию проектов, направленных на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млн. рублей</w:t>
            </w:r>
          </w:p>
        </w:tc>
        <w:tc>
          <w:tcPr>
            <w:tcW w:w="2948" w:type="dxa"/>
          </w:tcPr>
          <w:p w:rsidR="002E00FA" w:rsidRDefault="002E00FA">
            <w:pPr>
              <w:pStyle w:val="ConsPlusNormal"/>
            </w:pPr>
            <w:r>
              <w:t>Данные, предоставляемые Государственным фондом развития промышленности Новосибирской области, промышленными организациями при подаче заявок на участие в конкурсных отборах на предоставление субсидий. Отчеты промышленных организаций о достижении значений результата предоставления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 на основе данных по строке 07 графы 4 формы федерального статистического наблюдения N 11 "Сведения о наличии и движении основных фондов (средств) и других нефинансовых активов"</w:t>
            </w:r>
          </w:p>
        </w:tc>
      </w:tr>
      <w:tr w:rsidR="002E00FA">
        <w:tblPrEx>
          <w:tblBorders>
            <w:insideH w:val="nil"/>
          </w:tblBorders>
        </w:tblPrEx>
        <w:tc>
          <w:tcPr>
            <w:tcW w:w="3061" w:type="dxa"/>
            <w:tcBorders>
              <w:bottom w:val="nil"/>
            </w:tcBorders>
          </w:tcPr>
          <w:p w:rsidR="002E00FA" w:rsidRDefault="002E00FA">
            <w:pPr>
              <w:pStyle w:val="ConsPlusNormal"/>
            </w:pPr>
            <w:r>
              <w:t xml:space="preserve">7. Темп роста производительности (выработки) на одного работающего, определенной по выручке, по кругу промышленных организаций, получивших государственную </w:t>
            </w:r>
            <w:r>
              <w:lastRenderedPageBreak/>
              <w:t>поддержку, в % к предыдущему году</w:t>
            </w:r>
          </w:p>
        </w:tc>
        <w:tc>
          <w:tcPr>
            <w:tcW w:w="794" w:type="dxa"/>
            <w:tcBorders>
              <w:bottom w:val="nil"/>
            </w:tcBorders>
          </w:tcPr>
          <w:p w:rsidR="002E00FA" w:rsidRDefault="002E00FA">
            <w:pPr>
              <w:pStyle w:val="ConsPlusNormal"/>
              <w:jc w:val="center"/>
            </w:pPr>
            <w:r>
              <w:lastRenderedPageBreak/>
              <w:t>годовая</w:t>
            </w:r>
          </w:p>
        </w:tc>
        <w:tc>
          <w:tcPr>
            <w:tcW w:w="1077" w:type="dxa"/>
            <w:tcBorders>
              <w:bottom w:val="nil"/>
            </w:tcBorders>
          </w:tcPr>
          <w:p w:rsidR="002E00FA" w:rsidRDefault="002E00FA">
            <w:pPr>
              <w:pStyle w:val="ConsPlusNormal"/>
              <w:jc w:val="center"/>
            </w:pPr>
            <w:r>
              <w:t>ежегодно</w:t>
            </w:r>
          </w:p>
        </w:tc>
        <w:tc>
          <w:tcPr>
            <w:tcW w:w="5726" w:type="dxa"/>
            <w:tcBorders>
              <w:bottom w:val="nil"/>
            </w:tcBorders>
          </w:tcPr>
          <w:p w:rsidR="002E00FA" w:rsidRDefault="002E00FA">
            <w:pPr>
              <w:pStyle w:val="ConsPlusNormal"/>
            </w:pPr>
            <w:r>
              <w:t xml:space="preserve">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2 года, запланированных объемов и условий предоставления государственной поддержки в рамках подпрограммы "Техническое перевооружение промышленности Новосибирской </w:t>
            </w:r>
            <w:r>
              <w:lastRenderedPageBreak/>
              <w:t>области".</w:t>
            </w:r>
          </w:p>
          <w:p w:rsidR="002E00FA" w:rsidRDefault="002E00FA">
            <w:pPr>
              <w:pStyle w:val="ConsPlusNormal"/>
            </w:pPr>
            <w:r>
              <w:t>Фактическое значение определяется по формуле:</w:t>
            </w:r>
          </w:p>
          <w:p w:rsidR="002E00FA" w:rsidRDefault="002E00FA">
            <w:pPr>
              <w:pStyle w:val="ConsPlusNormal"/>
            </w:pPr>
          </w:p>
          <w:p w:rsidR="002E00FA" w:rsidRDefault="002E00FA">
            <w:pPr>
              <w:pStyle w:val="ConsPlusNormal"/>
            </w:pPr>
            <w:r>
              <w:t>П</w:t>
            </w:r>
            <w:r>
              <w:rPr>
                <w:vertAlign w:val="subscript"/>
              </w:rPr>
              <w:t>темп</w:t>
            </w:r>
            <w:r>
              <w:t xml:space="preserve"> = (П</w:t>
            </w:r>
            <w:r>
              <w:rPr>
                <w:vertAlign w:val="subscript"/>
              </w:rPr>
              <w:t>1</w:t>
            </w:r>
            <w:r>
              <w:t xml:space="preserve"> / П</w:t>
            </w:r>
            <w:r>
              <w:rPr>
                <w:vertAlign w:val="subscript"/>
              </w:rPr>
              <w:t>2</w:t>
            </w:r>
            <w:r>
              <w:t>) x 100%, где:</w:t>
            </w:r>
          </w:p>
          <w:p w:rsidR="002E00FA" w:rsidRDefault="002E00FA">
            <w:pPr>
              <w:pStyle w:val="ConsPlusNormal"/>
            </w:pPr>
          </w:p>
          <w:p w:rsidR="002E00FA" w:rsidRDefault="002E00FA">
            <w:pPr>
              <w:pStyle w:val="ConsPlusNormal"/>
            </w:pPr>
            <w:r>
              <w:t>П</w:t>
            </w:r>
            <w:r>
              <w:rPr>
                <w:vertAlign w:val="subscript"/>
              </w:rPr>
              <w:t>темп</w:t>
            </w:r>
            <w:r>
              <w:t xml:space="preserve"> -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 в рамках подпрограммы 1, в % к предыдущему году;</w:t>
            </w:r>
          </w:p>
          <w:p w:rsidR="002E00FA" w:rsidRDefault="002E00FA">
            <w:pPr>
              <w:pStyle w:val="ConsPlusNormal"/>
            </w:pPr>
            <w:r>
              <w:t>П</w:t>
            </w:r>
            <w:r>
              <w:rPr>
                <w:vertAlign w:val="subscript"/>
              </w:rPr>
              <w:t>1</w:t>
            </w:r>
            <w: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рублей/чел.;</w:t>
            </w:r>
          </w:p>
          <w:p w:rsidR="002E00FA" w:rsidRDefault="002E00FA">
            <w:pPr>
              <w:pStyle w:val="ConsPlusNormal"/>
            </w:pPr>
          </w:p>
          <w:p w:rsidR="002E00FA" w:rsidRDefault="002E00FA">
            <w:pPr>
              <w:pStyle w:val="ConsPlusNormal"/>
            </w:pPr>
            <w:r>
              <w:t>П</w:t>
            </w:r>
            <w:r>
              <w:rPr>
                <w:vertAlign w:val="subscript"/>
              </w:rPr>
              <w:t>1</w:t>
            </w:r>
            <w:r>
              <w:t xml:space="preserve"> = В</w:t>
            </w:r>
            <w:r>
              <w:rPr>
                <w:vertAlign w:val="subscript"/>
              </w:rPr>
              <w:t>1</w:t>
            </w:r>
            <w:r>
              <w:t xml:space="preserve"> / Ч</w:t>
            </w:r>
            <w:r>
              <w:rPr>
                <w:vertAlign w:val="subscript"/>
              </w:rPr>
              <w:t>1</w:t>
            </w:r>
            <w:r>
              <w:t>, где:</w:t>
            </w:r>
          </w:p>
          <w:p w:rsidR="002E00FA" w:rsidRDefault="002E00FA">
            <w:pPr>
              <w:pStyle w:val="ConsPlusNormal"/>
            </w:pPr>
          </w:p>
          <w:p w:rsidR="002E00FA" w:rsidRDefault="002E00FA">
            <w:pPr>
              <w:pStyle w:val="ConsPlusNormal"/>
            </w:pPr>
            <w:r>
              <w:t>В</w:t>
            </w:r>
            <w:r>
              <w:rPr>
                <w:vertAlign w:val="subscript"/>
              </w:rPr>
              <w:t>1</w:t>
            </w:r>
            <w: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тыс. рублей;</w:t>
            </w:r>
          </w:p>
          <w:p w:rsidR="002E00FA" w:rsidRDefault="002E00FA">
            <w:pPr>
              <w:pStyle w:val="ConsPlusNormal"/>
            </w:pPr>
            <w:r>
              <w:t>Ч</w:t>
            </w:r>
            <w:r>
              <w:rPr>
                <w:vertAlign w:val="subscript"/>
              </w:rPr>
              <w:t>1</w:t>
            </w:r>
            <w: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предоставления государственной поддержки (в отчетном году), чел.;</w:t>
            </w:r>
          </w:p>
          <w:p w:rsidR="002E00FA" w:rsidRDefault="002E00FA">
            <w:pPr>
              <w:pStyle w:val="ConsPlusNormal"/>
            </w:pPr>
            <w:r>
              <w:t>П</w:t>
            </w:r>
            <w:r>
              <w:rPr>
                <w:vertAlign w:val="subscript"/>
              </w:rPr>
              <w:t>2</w:t>
            </w:r>
            <w:r>
              <w:t xml:space="preserve"> - производительность (выработка) на одного работающего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w:t>
            </w:r>
            <w:r>
              <w:lastRenderedPageBreak/>
              <w:t>поддержки (в году, предшествующем отчетному году), тыс. рублей/чел.;</w:t>
            </w:r>
          </w:p>
          <w:p w:rsidR="002E00FA" w:rsidRDefault="002E00FA">
            <w:pPr>
              <w:pStyle w:val="ConsPlusNormal"/>
            </w:pPr>
          </w:p>
          <w:p w:rsidR="002E00FA" w:rsidRDefault="002E00FA">
            <w:pPr>
              <w:pStyle w:val="ConsPlusNormal"/>
            </w:pPr>
            <w:r>
              <w:t>П</w:t>
            </w:r>
            <w:r>
              <w:rPr>
                <w:vertAlign w:val="subscript"/>
              </w:rPr>
              <w:t>2</w:t>
            </w:r>
            <w:r>
              <w:t xml:space="preserve"> = В</w:t>
            </w:r>
            <w:r>
              <w:rPr>
                <w:vertAlign w:val="subscript"/>
              </w:rPr>
              <w:t>2</w:t>
            </w:r>
            <w:r>
              <w:t xml:space="preserve"> / Ч</w:t>
            </w:r>
            <w:r>
              <w:rPr>
                <w:vertAlign w:val="subscript"/>
              </w:rPr>
              <w:t>2</w:t>
            </w:r>
            <w:r>
              <w:t>, где:</w:t>
            </w:r>
          </w:p>
          <w:p w:rsidR="002E00FA" w:rsidRDefault="002E00FA">
            <w:pPr>
              <w:pStyle w:val="ConsPlusNormal"/>
            </w:pPr>
          </w:p>
          <w:p w:rsidR="002E00FA" w:rsidRDefault="002E00FA">
            <w:pPr>
              <w:pStyle w:val="ConsPlusNormal"/>
            </w:pPr>
            <w:r>
              <w:t>В</w:t>
            </w:r>
            <w:r>
              <w:rPr>
                <w:vertAlign w:val="subscript"/>
              </w:rPr>
              <w:t>2</w:t>
            </w:r>
            <w:r>
              <w:t xml:space="preserve"> - суммарная выручка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тыс. рублей;</w:t>
            </w:r>
          </w:p>
          <w:p w:rsidR="002E00FA" w:rsidRDefault="002E00FA">
            <w:pPr>
              <w:pStyle w:val="ConsPlusNormal"/>
            </w:pPr>
            <w:r>
              <w:t>Ч</w:t>
            </w:r>
            <w:r>
              <w:rPr>
                <w:vertAlign w:val="subscript"/>
              </w:rPr>
              <w:t>2</w:t>
            </w:r>
            <w:r>
              <w:t xml:space="preserve"> - суммарная средняя численность работающих по кругу промышленных организаций, получивших государственную поддержку в рамках реализации мероприятий подпрограммы 1, в году, предшествующем году предоставления государственной поддержки (в году, предшествующем отчетному году), чел.</w:t>
            </w:r>
          </w:p>
        </w:tc>
        <w:tc>
          <w:tcPr>
            <w:tcW w:w="2948" w:type="dxa"/>
            <w:tcBorders>
              <w:bottom w:val="nil"/>
            </w:tcBorders>
          </w:tcPr>
          <w:p w:rsidR="002E00FA" w:rsidRDefault="002E00FA">
            <w:pPr>
              <w:pStyle w:val="ConsPlusNormal"/>
            </w:pPr>
            <w:r>
              <w:lastRenderedPageBreak/>
              <w:t>Данные, предоставляемые промышленными организациями при подаче заявок на участие в конкурсных отборах на предоставление субсидий.</w:t>
            </w:r>
          </w:p>
          <w:p w:rsidR="002E00FA" w:rsidRDefault="002E00FA">
            <w:pPr>
              <w:pStyle w:val="ConsPlusNormal"/>
            </w:pPr>
            <w:r>
              <w:t xml:space="preserve">Отчеты промышленных </w:t>
            </w:r>
            <w:r>
              <w:lastRenderedPageBreak/>
              <w:t>организаций о достижении значений результата представления субсидии, показателя, необходимого для достижения результата предоставления субсидий в рамках реализации мероприятий подпрограммы по итогам года предоставления субсидий</w:t>
            </w:r>
          </w:p>
        </w:tc>
      </w:tr>
      <w:tr w:rsidR="002E00FA">
        <w:tblPrEx>
          <w:tblBorders>
            <w:insideH w:val="nil"/>
          </w:tblBorders>
        </w:tblPrEx>
        <w:tc>
          <w:tcPr>
            <w:tcW w:w="13606" w:type="dxa"/>
            <w:gridSpan w:val="5"/>
            <w:tcBorders>
              <w:top w:val="nil"/>
            </w:tcBorders>
          </w:tcPr>
          <w:p w:rsidR="002E00FA" w:rsidRDefault="002E00FA">
            <w:pPr>
              <w:pStyle w:val="ConsPlusNormal"/>
              <w:jc w:val="both"/>
            </w:pPr>
            <w:r>
              <w:lastRenderedPageBreak/>
              <w:t xml:space="preserve">(в ред. </w:t>
            </w:r>
            <w:hyperlink r:id="rId28">
              <w:r>
                <w:rPr>
                  <w:color w:val="0000FF"/>
                </w:rPr>
                <w:t>приказа</w:t>
              </w:r>
            </w:hyperlink>
            <w:r>
              <w:t xml:space="preserve"> Минпромторга Новосибирской области от 30.12.2022 N 400)</w:t>
            </w:r>
          </w:p>
        </w:tc>
      </w:tr>
      <w:tr w:rsidR="002E00FA">
        <w:tc>
          <w:tcPr>
            <w:tcW w:w="3061" w:type="dxa"/>
          </w:tcPr>
          <w:p w:rsidR="002E00FA" w:rsidRDefault="002E00FA">
            <w:pPr>
              <w:pStyle w:val="ConsPlusNormal"/>
            </w:pPr>
            <w: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ежегодно</w:t>
            </w:r>
          </w:p>
        </w:tc>
        <w:tc>
          <w:tcPr>
            <w:tcW w:w="5726" w:type="dxa"/>
          </w:tcPr>
          <w:p w:rsidR="002E00FA" w:rsidRDefault="002E00FA">
            <w:pPr>
              <w:pStyle w:val="ConsPlusNormal"/>
            </w:pPr>
            <w: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"Государственная поддержка научно-производственных центров в Новосибирской области", а также с учетом индекса-дефлятора</w:t>
            </w:r>
          </w:p>
          <w:p w:rsidR="002E00FA" w:rsidRDefault="002E00FA">
            <w:pPr>
              <w:pStyle w:val="ConsPlusNormal"/>
            </w:pPr>
            <w:r>
              <w:t>в соответствии с формой 2-п "Основные показатели, представляемые для разработки прогноза социально-экономического развития Российской Федерации".</w:t>
            </w:r>
          </w:p>
          <w:p w:rsidR="002E00FA" w:rsidRDefault="002E00FA">
            <w:pPr>
              <w:pStyle w:val="ConsPlusNormal"/>
            </w:pPr>
            <w:r>
              <w:t>Фактическое значение определяется по формуле:</w:t>
            </w:r>
          </w:p>
          <w:p w:rsidR="002E00FA" w:rsidRDefault="002E00FA">
            <w:pPr>
              <w:pStyle w:val="ConsPlusNormal"/>
            </w:pPr>
          </w:p>
          <w:p w:rsidR="002E00FA" w:rsidRDefault="002E00FA">
            <w:pPr>
              <w:pStyle w:val="ConsPlusNormal"/>
            </w:pPr>
            <w:r>
              <w:lastRenderedPageBreak/>
              <w:t xml:space="preserve">Темп и.п = ((П1 x 100%) / (П2 x </w:t>
            </w:r>
            <w:proofErr w:type="gramStart"/>
            <w:r>
              <w:t>И</w:t>
            </w:r>
            <w:proofErr w:type="gramEnd"/>
            <w:r>
              <w:t>)) x 100%, где</w:t>
            </w:r>
          </w:p>
          <w:p w:rsidR="002E00FA" w:rsidRDefault="002E00FA">
            <w:pPr>
              <w:pStyle w:val="ConsPlusNormal"/>
            </w:pPr>
          </w:p>
          <w:p w:rsidR="002E00FA" w:rsidRDefault="002E00FA">
            <w:pPr>
              <w:pStyle w:val="ConsPlusNormal"/>
            </w:pPr>
            <w:r>
              <w:t>Темп и.п - темп роста объемов производства инновационной продукции по кругу научно-производственных центров, получивших государственную поддержку в рамках подпрограммы 2, в сопоставимых ценах, %;</w:t>
            </w:r>
          </w:p>
          <w:p w:rsidR="002E00FA" w:rsidRDefault="002E00FA">
            <w:pPr>
              <w:pStyle w:val="ConsPlusNormal"/>
            </w:pPr>
            <w:r>
              <w:t>П1 - суммарный объем производства инновационной продукции в отчетном году, по кругу научно-производственных центров, получивших государственную поддержку в рамках подпрограммы 2 с начала реализации государственной программы, тыс. рублей;</w:t>
            </w:r>
          </w:p>
          <w:p w:rsidR="002E00FA" w:rsidRDefault="002E00FA">
            <w:pPr>
              <w:pStyle w:val="ConsPlusNormal"/>
            </w:pPr>
            <w:r>
              <w:t>П2 - суммарный объем производства инновационной продукции в году, предшествующем отчетному году, по кругу научно-производственных центров, получивших государственную поддержку в рамках подпрограммы 2 с начала реализации государственной программы, тыс. рублей;</w:t>
            </w:r>
          </w:p>
          <w:p w:rsidR="002E00FA" w:rsidRDefault="002E00FA">
            <w:pPr>
              <w:pStyle w:val="ConsPlusNormal"/>
            </w:pPr>
            <w:r>
              <w:t>И - индекс-дефлятор, в году предоставления государственной поддержки, %</w:t>
            </w:r>
          </w:p>
        </w:tc>
        <w:tc>
          <w:tcPr>
            <w:tcW w:w="2948" w:type="dxa"/>
          </w:tcPr>
          <w:p w:rsidR="002E00FA" w:rsidRDefault="002E00FA">
            <w:pPr>
              <w:pStyle w:val="ConsPlusNormal"/>
            </w:pPr>
            <w:r>
              <w:lastRenderedPageBreak/>
              <w:t>Данные мониторинга обследуемых научно-производственных центров;</w:t>
            </w:r>
          </w:p>
          <w:p w:rsidR="002E00FA" w:rsidRDefault="002E00FA">
            <w:pPr>
              <w:pStyle w:val="ConsPlusNormal"/>
            </w:pPr>
            <w:r>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
        </w:tc>
      </w:tr>
      <w:tr w:rsidR="002E00FA">
        <w:tc>
          <w:tcPr>
            <w:tcW w:w="3061" w:type="dxa"/>
          </w:tcPr>
          <w:p w:rsidR="002E00FA" w:rsidRDefault="002E00FA">
            <w:pPr>
              <w:pStyle w:val="ConsPlusNormal"/>
            </w:pPr>
            <w:r>
              <w:t>9.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794" w:type="dxa"/>
          </w:tcPr>
          <w:p w:rsidR="002E00FA" w:rsidRDefault="002E00FA">
            <w:pPr>
              <w:pStyle w:val="ConsPlusNormal"/>
              <w:jc w:val="center"/>
            </w:pPr>
            <w:r>
              <w:t>годовая</w:t>
            </w:r>
          </w:p>
        </w:tc>
        <w:tc>
          <w:tcPr>
            <w:tcW w:w="1077" w:type="dxa"/>
          </w:tcPr>
          <w:p w:rsidR="002E00FA" w:rsidRDefault="002E00FA">
            <w:pPr>
              <w:pStyle w:val="ConsPlusNormal"/>
              <w:jc w:val="center"/>
            </w:pPr>
            <w:r>
              <w:t>ежегодно</w:t>
            </w:r>
          </w:p>
        </w:tc>
        <w:tc>
          <w:tcPr>
            <w:tcW w:w="5726" w:type="dxa"/>
          </w:tcPr>
          <w:p w:rsidR="002E00FA" w:rsidRDefault="002E00FA">
            <w:pPr>
              <w:pStyle w:val="ConsPlusNormal"/>
            </w:pPr>
            <w:r>
              <w:t>Плановое значение определяется с учетом: стратегических документов развития Российской Федерации и Новосибирской области, динамики аналогичного показателя за предыдущие 3 года, запланированных объемов и условий предоставления государственной поддержки в рамках подпрограммы "Развитие медицинской промышленности Новосибирской области", а также с учетом индекса-дефлятора в соответствии с формой 2-п "Основные показатели, представляемые для разработки прогноза социально-экономического развития Российской Федерации".</w:t>
            </w:r>
          </w:p>
          <w:p w:rsidR="002E00FA" w:rsidRDefault="002E00FA">
            <w:pPr>
              <w:pStyle w:val="ConsPlusNormal"/>
            </w:pPr>
            <w:r>
              <w:t>Фактическое значение определяется по формуле:</w:t>
            </w:r>
          </w:p>
          <w:p w:rsidR="002E00FA" w:rsidRDefault="002E00FA">
            <w:pPr>
              <w:pStyle w:val="ConsPlusNormal"/>
            </w:pPr>
          </w:p>
          <w:p w:rsidR="002E00FA" w:rsidRDefault="002E00FA">
            <w:pPr>
              <w:pStyle w:val="ConsPlusNormal"/>
            </w:pPr>
            <w:r>
              <w:lastRenderedPageBreak/>
              <w:t xml:space="preserve">Темп мед = ((МП1 x 100%) / (МП2 x </w:t>
            </w:r>
            <w:proofErr w:type="gramStart"/>
            <w:r>
              <w:t>И</w:t>
            </w:r>
            <w:proofErr w:type="gramEnd"/>
            <w:r>
              <w:t>)) x 100%, где</w:t>
            </w:r>
          </w:p>
          <w:p w:rsidR="002E00FA" w:rsidRDefault="002E00FA">
            <w:pPr>
              <w:pStyle w:val="ConsPlusNormal"/>
            </w:pPr>
          </w:p>
          <w:p w:rsidR="002E00FA" w:rsidRDefault="002E00FA">
            <w:pPr>
              <w:pStyle w:val="ConsPlusNormal"/>
            </w:pPr>
            <w:r>
              <w:t>Темп мед - темп роста объемов производства продукции организаций медицинской промышленности Новосибирской области, получивших государственную поддержку в рамках подпрограммы 3, в сопоставимых ценах, %;</w:t>
            </w:r>
          </w:p>
          <w:p w:rsidR="002E00FA" w:rsidRDefault="002E00FA">
            <w:pPr>
              <w:pStyle w:val="ConsPlusNormal"/>
            </w:pPr>
            <w:r>
              <w:t>МП1 - суммарный выпуск продукции в отчетном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2E00FA" w:rsidRDefault="002E00FA">
            <w:pPr>
              <w:pStyle w:val="ConsPlusNormal"/>
            </w:pPr>
            <w:r>
              <w:t>МП2 - суммарный выпуск продукции в году, предшествующем отчетному году, по кругу организаций медицинской промышленности, получивших государственную поддержку в рамках подпрограммы 3 с начала реализации государственной программы, тыс. рублей;</w:t>
            </w:r>
          </w:p>
          <w:p w:rsidR="002E00FA" w:rsidRDefault="002E00FA">
            <w:pPr>
              <w:pStyle w:val="ConsPlusNormal"/>
            </w:pPr>
            <w:r>
              <w:t>И - индекс-дефлятор, в году предоставления государственной поддержки, %</w:t>
            </w:r>
          </w:p>
        </w:tc>
        <w:tc>
          <w:tcPr>
            <w:tcW w:w="2948" w:type="dxa"/>
          </w:tcPr>
          <w:p w:rsidR="002E00FA" w:rsidRDefault="002E00FA">
            <w:pPr>
              <w:pStyle w:val="ConsPlusNormal"/>
            </w:pPr>
            <w:r>
              <w:lastRenderedPageBreak/>
              <w:t>Данные мониторинга обследуемых организаций, осуществляющих выпуск продукции медицинского назначения;</w:t>
            </w:r>
          </w:p>
          <w:p w:rsidR="002E00FA" w:rsidRDefault="002E00FA">
            <w:pPr>
              <w:pStyle w:val="ConsPlusNormal"/>
            </w:pPr>
            <w:r>
              <w:t>значения индекса-дефлятора - статистические данные (экспресс-информация f-06-27 (индекс цен производителей промышленных товаров "Обрабатывающие производства"))</w:t>
            </w:r>
          </w:p>
        </w:tc>
      </w:tr>
      <w:tr w:rsidR="002E00FA">
        <w:tc>
          <w:tcPr>
            <w:tcW w:w="3061" w:type="dxa"/>
          </w:tcPr>
          <w:p w:rsidR="002E00FA" w:rsidRDefault="002E00FA">
            <w:pPr>
              <w:pStyle w:val="ConsPlusNormal"/>
            </w:pPr>
            <w:r>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"Техническое перевооружение промышленности Новосибирской области"</w:t>
            </w:r>
          </w:p>
        </w:tc>
        <w:tc>
          <w:tcPr>
            <w:tcW w:w="794" w:type="dxa"/>
          </w:tcPr>
          <w:p w:rsidR="002E00FA" w:rsidRDefault="002E00FA">
            <w:pPr>
              <w:pStyle w:val="ConsPlusNormal"/>
              <w:jc w:val="center"/>
            </w:pPr>
            <w:r>
              <w:t>квартальная</w:t>
            </w:r>
          </w:p>
        </w:tc>
        <w:tc>
          <w:tcPr>
            <w:tcW w:w="1077" w:type="dxa"/>
          </w:tcPr>
          <w:p w:rsidR="002E00FA" w:rsidRDefault="002E00FA">
            <w:pPr>
              <w:pStyle w:val="ConsPlusNormal"/>
              <w:jc w:val="center"/>
            </w:pPr>
            <w:r>
              <w:t>на конец периода</w:t>
            </w:r>
          </w:p>
        </w:tc>
        <w:tc>
          <w:tcPr>
            <w:tcW w:w="5726" w:type="dxa"/>
          </w:tcPr>
          <w:p w:rsidR="002E00FA" w:rsidRDefault="002E00FA">
            <w:pPr>
              <w:pStyle w:val="ConsPlusNormal"/>
            </w:pPr>
            <w:r>
              <w:t>Плановое значение определяется исходя из запланированного объема финансирования мероприятия, фактическое значение определяется прямым счетом как общее количество основного технологического оборудования, приобретенного промышленными организациями Новосибирской области с применением мер государственной поддержки, оказанной в рамках реализации мероприятий подпрограммы "Техническое перевооружение промышленности Новосибирской области", ед.</w:t>
            </w:r>
          </w:p>
          <w:p w:rsidR="002E00FA" w:rsidRDefault="002E00FA">
            <w:pPr>
              <w:pStyle w:val="ConsPlusNormal"/>
            </w:pPr>
            <w:r>
              <w:t>Расчет показателя производится в рамках программного мероприятия 1.1.1.1.1.1</w:t>
            </w:r>
          </w:p>
        </w:tc>
        <w:tc>
          <w:tcPr>
            <w:tcW w:w="2948" w:type="dxa"/>
          </w:tcPr>
          <w:p w:rsidR="002E00FA" w:rsidRDefault="002E00FA">
            <w:pPr>
              <w:pStyle w:val="ConsPlusNormal"/>
            </w:pPr>
            <w:r>
              <w:t>Данные, представляемые промышленными организациями при подаче заявок на участие в конкурсных отборах на предоставление субсидий</w:t>
            </w:r>
          </w:p>
        </w:tc>
      </w:tr>
      <w:tr w:rsidR="002E00FA">
        <w:tc>
          <w:tcPr>
            <w:tcW w:w="3061" w:type="dxa"/>
          </w:tcPr>
          <w:p w:rsidR="002E00FA" w:rsidRDefault="002E00FA">
            <w:pPr>
              <w:pStyle w:val="ConsPlusNormal"/>
            </w:pPr>
            <w:r>
              <w:lastRenderedPageBreak/>
              <w:t>12. Количество разработанных в рамках реализации мероприятий подпрограммы "Государственная поддержка научно-производственных центров в Новосибирской области" образцов инновационной высокотехнологичной продукции, новых технологий, материалов</w:t>
            </w:r>
          </w:p>
        </w:tc>
        <w:tc>
          <w:tcPr>
            <w:tcW w:w="794" w:type="dxa"/>
          </w:tcPr>
          <w:p w:rsidR="002E00FA" w:rsidRDefault="002E00FA">
            <w:pPr>
              <w:pStyle w:val="ConsPlusNormal"/>
              <w:jc w:val="center"/>
            </w:pPr>
            <w:r>
              <w:t>квартальная</w:t>
            </w:r>
          </w:p>
        </w:tc>
        <w:tc>
          <w:tcPr>
            <w:tcW w:w="1077" w:type="dxa"/>
          </w:tcPr>
          <w:p w:rsidR="002E00FA" w:rsidRDefault="002E00FA">
            <w:pPr>
              <w:pStyle w:val="ConsPlusNormal"/>
              <w:jc w:val="center"/>
            </w:pPr>
            <w:r>
              <w:t>на конец периода</w:t>
            </w:r>
          </w:p>
        </w:tc>
        <w:tc>
          <w:tcPr>
            <w:tcW w:w="5726" w:type="dxa"/>
          </w:tcPr>
          <w:p w:rsidR="002E00FA" w:rsidRDefault="002E00FA">
            <w:pPr>
              <w:pStyle w:val="ConsPlusNormal"/>
            </w:pPr>
            <w:r>
              <w:t>Плановое значение определяется исходя из запланированного объема финансирования мероприятия, в том числе за счет средств резервного фонда Правительства Новосибирской области. Фактическое значение определяется прямым счетом как общее количество новых материалов, технологий, опытных образцов инновационной продукции, созданных с применением мер государственной поддержки, оказанной в рамках реализации мероприятий государственной программы, ед.</w:t>
            </w:r>
          </w:p>
          <w:p w:rsidR="002E00FA" w:rsidRDefault="002E00FA">
            <w:pPr>
              <w:pStyle w:val="ConsPlusNormal"/>
            </w:pPr>
            <w:r>
              <w:t>Расчет показателя производится в рамках программного мероприятия 1.2.1.1.1.1</w:t>
            </w:r>
          </w:p>
        </w:tc>
        <w:tc>
          <w:tcPr>
            <w:tcW w:w="2948" w:type="dxa"/>
          </w:tcPr>
          <w:p w:rsidR="002E00FA" w:rsidRDefault="002E00FA">
            <w:pPr>
              <w:pStyle w:val="ConsPlusNormal"/>
            </w:pPr>
            <w:r>
              <w:t>Данные, представляемые научно-производственными центрами</w:t>
            </w:r>
          </w:p>
        </w:tc>
      </w:tr>
      <w:tr w:rsidR="002E00FA">
        <w:tc>
          <w:tcPr>
            <w:tcW w:w="3061" w:type="dxa"/>
          </w:tcPr>
          <w:p w:rsidR="002E00FA" w:rsidRDefault="002E00FA">
            <w:pPr>
              <w:pStyle w:val="ConsPlusNormal"/>
            </w:pPr>
            <w:r>
              <w:t>13. Количество приобретенного в рамках реализации мероприятий подпрограммы "Государственная поддержка научно-производственных центров в Новосибирской области" специального исследовательского, опытно-экспериментального оборудования и приборов</w:t>
            </w:r>
          </w:p>
        </w:tc>
        <w:tc>
          <w:tcPr>
            <w:tcW w:w="794" w:type="dxa"/>
          </w:tcPr>
          <w:p w:rsidR="002E00FA" w:rsidRDefault="002E00FA">
            <w:pPr>
              <w:pStyle w:val="ConsPlusNormal"/>
              <w:jc w:val="center"/>
            </w:pPr>
            <w:r>
              <w:t>квартальная</w:t>
            </w:r>
          </w:p>
        </w:tc>
        <w:tc>
          <w:tcPr>
            <w:tcW w:w="1077" w:type="dxa"/>
          </w:tcPr>
          <w:p w:rsidR="002E00FA" w:rsidRDefault="002E00FA">
            <w:pPr>
              <w:pStyle w:val="ConsPlusNormal"/>
              <w:jc w:val="center"/>
            </w:pPr>
            <w:r>
              <w:t>на конец периода</w:t>
            </w:r>
          </w:p>
        </w:tc>
        <w:tc>
          <w:tcPr>
            <w:tcW w:w="5726" w:type="dxa"/>
          </w:tcPr>
          <w:p w:rsidR="002E00FA" w:rsidRDefault="002E00FA">
            <w:pPr>
              <w:pStyle w:val="ConsPlusNormal"/>
            </w:pPr>
            <w:r>
              <w:t>Плановое значение на 2022 год установлено справочно. Финансирование осуществляется за счет средств резервного фонда Правительства Новосибирской области.</w:t>
            </w:r>
          </w:p>
          <w:p w:rsidR="002E00FA" w:rsidRDefault="002E00FA">
            <w:pPr>
              <w:pStyle w:val="ConsPlusNormal"/>
            </w:pPr>
            <w:r>
              <w:t>Фактическое значение определяется прямым счетом как общее количество специального исследовательского, опытно-экспериментального оборудования и приборов, приобретенных научно-производственными центрами с применением мер государственной поддержки, за счет средств резервного фонда Правительства Новосибирской области, ед.</w:t>
            </w:r>
          </w:p>
        </w:tc>
        <w:tc>
          <w:tcPr>
            <w:tcW w:w="2948" w:type="dxa"/>
          </w:tcPr>
          <w:p w:rsidR="002E00FA" w:rsidRDefault="002E00FA">
            <w:pPr>
              <w:pStyle w:val="ConsPlusNormal"/>
            </w:pPr>
            <w:r>
              <w:t>Данные, представляемые научно-производственными центрами</w:t>
            </w:r>
          </w:p>
        </w:tc>
      </w:tr>
    </w:tbl>
    <w:p w:rsidR="002E00FA" w:rsidRDefault="002E00FA">
      <w:pPr>
        <w:pStyle w:val="ConsPlusNormal"/>
        <w:ind w:firstLine="540"/>
        <w:jc w:val="both"/>
      </w:pPr>
    </w:p>
    <w:p w:rsidR="002E00FA" w:rsidRDefault="002E00FA">
      <w:pPr>
        <w:pStyle w:val="ConsPlusNormal"/>
        <w:jc w:val="right"/>
        <w:outlineLvl w:val="1"/>
      </w:pPr>
      <w:r>
        <w:t>Таблица N 3</w:t>
      </w:r>
    </w:p>
    <w:p w:rsidR="002E00FA" w:rsidRDefault="002E00FA">
      <w:pPr>
        <w:pStyle w:val="ConsPlusNormal"/>
        <w:ind w:firstLine="540"/>
        <w:jc w:val="both"/>
      </w:pPr>
    </w:p>
    <w:p w:rsidR="002E00FA" w:rsidRDefault="002E00FA">
      <w:pPr>
        <w:pStyle w:val="ConsPlusTitle"/>
        <w:jc w:val="center"/>
      </w:pPr>
      <w:r>
        <w:t>Подробный перечень</w:t>
      </w:r>
    </w:p>
    <w:p w:rsidR="002E00FA" w:rsidRDefault="002E00FA">
      <w:pPr>
        <w:pStyle w:val="ConsPlusTitle"/>
        <w:jc w:val="center"/>
      </w:pPr>
      <w:r>
        <w:t>планируемых к реализации мероприятий государственной</w:t>
      </w:r>
    </w:p>
    <w:p w:rsidR="002E00FA" w:rsidRDefault="002E00FA">
      <w:pPr>
        <w:pStyle w:val="ConsPlusTitle"/>
        <w:jc w:val="center"/>
      </w:pPr>
      <w:r>
        <w:t>программы Новосибирской области "Развитие промышленности</w:t>
      </w:r>
    </w:p>
    <w:p w:rsidR="002E00FA" w:rsidRDefault="002E00FA">
      <w:pPr>
        <w:pStyle w:val="ConsPlusTitle"/>
        <w:jc w:val="center"/>
      </w:pPr>
      <w:r>
        <w:t>и повышение ее конкурентоспособности в Новосибирской</w:t>
      </w:r>
    </w:p>
    <w:p w:rsidR="002E00FA" w:rsidRDefault="002E00FA">
      <w:pPr>
        <w:pStyle w:val="ConsPlusTitle"/>
        <w:jc w:val="center"/>
      </w:pPr>
      <w:r>
        <w:t>области" на очередной 2022 год и плановый</w:t>
      </w:r>
    </w:p>
    <w:p w:rsidR="002E00FA" w:rsidRDefault="002E00FA">
      <w:pPr>
        <w:pStyle w:val="ConsPlusTitle"/>
        <w:jc w:val="center"/>
      </w:pPr>
      <w:r>
        <w:t>период 2023 и 2024 годов</w:t>
      </w:r>
    </w:p>
    <w:p w:rsidR="002E00FA" w:rsidRDefault="002E00FA">
      <w:pPr>
        <w:pStyle w:val="ConsPlusNormal"/>
        <w:jc w:val="center"/>
      </w:pPr>
      <w:r>
        <w:t xml:space="preserve">(в ред. </w:t>
      </w:r>
      <w:hyperlink r:id="rId29">
        <w:r>
          <w:rPr>
            <w:color w:val="0000FF"/>
          </w:rPr>
          <w:t>приказа</w:t>
        </w:r>
      </w:hyperlink>
      <w:r>
        <w:t xml:space="preserve"> Минпромторга Новосибирской области</w:t>
      </w:r>
    </w:p>
    <w:p w:rsidR="002E00FA" w:rsidRDefault="002E00FA">
      <w:pPr>
        <w:pStyle w:val="ConsPlusNormal"/>
        <w:jc w:val="center"/>
      </w:pPr>
      <w:r>
        <w:lastRenderedPageBreak/>
        <w:t>от 30.12.2022 N 400)</w:t>
      </w:r>
    </w:p>
    <w:p w:rsidR="002E00FA" w:rsidRDefault="002E00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737"/>
        <w:gridCol w:w="567"/>
        <w:gridCol w:w="567"/>
        <w:gridCol w:w="1587"/>
        <w:gridCol w:w="850"/>
        <w:gridCol w:w="1134"/>
        <w:gridCol w:w="1134"/>
        <w:gridCol w:w="1134"/>
        <w:gridCol w:w="1134"/>
        <w:gridCol w:w="1134"/>
        <w:gridCol w:w="1134"/>
        <w:gridCol w:w="1134"/>
        <w:gridCol w:w="1417"/>
        <w:gridCol w:w="2381"/>
      </w:tblGrid>
      <w:tr w:rsidR="002E00FA">
        <w:tc>
          <w:tcPr>
            <w:tcW w:w="1871" w:type="dxa"/>
            <w:vMerge w:val="restart"/>
          </w:tcPr>
          <w:p w:rsidR="002E00FA" w:rsidRDefault="002E00FA">
            <w:pPr>
              <w:pStyle w:val="ConsPlusNormal"/>
              <w:jc w:val="center"/>
            </w:pPr>
            <w:r>
              <w:t>Наименование мероприятия</w:t>
            </w:r>
          </w:p>
        </w:tc>
        <w:tc>
          <w:tcPr>
            <w:tcW w:w="1871" w:type="dxa"/>
            <w:vMerge w:val="restart"/>
          </w:tcPr>
          <w:p w:rsidR="002E00FA" w:rsidRDefault="002E00FA">
            <w:pPr>
              <w:pStyle w:val="ConsPlusNormal"/>
              <w:jc w:val="center"/>
            </w:pPr>
            <w:r>
              <w:t>Наименование показателя</w:t>
            </w:r>
          </w:p>
        </w:tc>
        <w:tc>
          <w:tcPr>
            <w:tcW w:w="4308" w:type="dxa"/>
            <w:gridSpan w:val="5"/>
          </w:tcPr>
          <w:p w:rsidR="002E00FA" w:rsidRDefault="002E00FA">
            <w:pPr>
              <w:pStyle w:val="ConsPlusNormal"/>
              <w:jc w:val="center"/>
            </w:pPr>
            <w:r>
              <w:t>Код бюджетной классификации</w:t>
            </w:r>
          </w:p>
        </w:tc>
        <w:tc>
          <w:tcPr>
            <w:tcW w:w="1134" w:type="dxa"/>
            <w:vMerge w:val="restart"/>
          </w:tcPr>
          <w:p w:rsidR="002E00FA" w:rsidRDefault="002E00FA">
            <w:pPr>
              <w:pStyle w:val="ConsPlusNormal"/>
              <w:jc w:val="center"/>
            </w:pPr>
            <w:r>
              <w:t>Значение показателя на 2022 год</w:t>
            </w:r>
          </w:p>
        </w:tc>
        <w:tc>
          <w:tcPr>
            <w:tcW w:w="4536" w:type="dxa"/>
            <w:gridSpan w:val="4"/>
          </w:tcPr>
          <w:p w:rsidR="002E00FA" w:rsidRDefault="002E00FA">
            <w:pPr>
              <w:pStyle w:val="ConsPlusNormal"/>
              <w:jc w:val="center"/>
            </w:pPr>
            <w:r>
              <w:t>Значение показателя на очередной финансовый 2022 год (поквартально)</w:t>
            </w:r>
          </w:p>
        </w:tc>
        <w:tc>
          <w:tcPr>
            <w:tcW w:w="1134" w:type="dxa"/>
            <w:vMerge w:val="restart"/>
          </w:tcPr>
          <w:p w:rsidR="002E00FA" w:rsidRDefault="002E00FA">
            <w:pPr>
              <w:pStyle w:val="ConsPlusNormal"/>
              <w:jc w:val="center"/>
            </w:pPr>
            <w:r>
              <w:t>Значение показателя на 2023 год</w:t>
            </w:r>
          </w:p>
        </w:tc>
        <w:tc>
          <w:tcPr>
            <w:tcW w:w="1134" w:type="dxa"/>
            <w:vMerge w:val="restart"/>
          </w:tcPr>
          <w:p w:rsidR="002E00FA" w:rsidRDefault="002E00FA">
            <w:pPr>
              <w:pStyle w:val="ConsPlusNormal"/>
              <w:jc w:val="center"/>
            </w:pPr>
            <w:r>
              <w:t>Значение показателя на 2024 год</w:t>
            </w:r>
          </w:p>
        </w:tc>
        <w:tc>
          <w:tcPr>
            <w:tcW w:w="1417" w:type="dxa"/>
            <w:vMerge w:val="restart"/>
          </w:tcPr>
          <w:p w:rsidR="002E00FA" w:rsidRDefault="002E00FA">
            <w:pPr>
              <w:pStyle w:val="ConsPlusNormal"/>
              <w:jc w:val="center"/>
            </w:pPr>
            <w:r>
              <w:t>Ответственный исполнитель</w:t>
            </w:r>
          </w:p>
        </w:tc>
        <w:tc>
          <w:tcPr>
            <w:tcW w:w="2381" w:type="dxa"/>
            <w:vMerge w:val="restart"/>
          </w:tcPr>
          <w:p w:rsidR="002E00FA" w:rsidRDefault="002E00FA">
            <w:pPr>
              <w:pStyle w:val="ConsPlusNormal"/>
              <w:jc w:val="center"/>
            </w:pPr>
            <w:r>
              <w:t>Ожидаемый результат (краткое описание)</w:t>
            </w: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tcPr>
          <w:p w:rsidR="002E00FA" w:rsidRDefault="002E00FA">
            <w:pPr>
              <w:pStyle w:val="ConsPlusNormal"/>
              <w:jc w:val="center"/>
            </w:pPr>
            <w:r>
              <w:t>ГРБС</w:t>
            </w:r>
          </w:p>
        </w:tc>
        <w:tc>
          <w:tcPr>
            <w:tcW w:w="567" w:type="dxa"/>
          </w:tcPr>
          <w:p w:rsidR="002E00FA" w:rsidRDefault="002E00FA">
            <w:pPr>
              <w:pStyle w:val="ConsPlusNormal"/>
              <w:jc w:val="center"/>
            </w:pPr>
            <w:r>
              <w:t>Рз</w:t>
            </w:r>
          </w:p>
        </w:tc>
        <w:tc>
          <w:tcPr>
            <w:tcW w:w="567" w:type="dxa"/>
          </w:tcPr>
          <w:p w:rsidR="002E00FA" w:rsidRDefault="002E00FA">
            <w:pPr>
              <w:pStyle w:val="ConsPlusNormal"/>
              <w:jc w:val="center"/>
            </w:pPr>
            <w:r>
              <w:t>Пр</w:t>
            </w:r>
          </w:p>
        </w:tc>
        <w:tc>
          <w:tcPr>
            <w:tcW w:w="1587" w:type="dxa"/>
          </w:tcPr>
          <w:p w:rsidR="002E00FA" w:rsidRDefault="002E00FA">
            <w:pPr>
              <w:pStyle w:val="ConsPlusNormal"/>
              <w:jc w:val="center"/>
            </w:pPr>
            <w:r>
              <w:t>ЦСР</w:t>
            </w:r>
          </w:p>
        </w:tc>
        <w:tc>
          <w:tcPr>
            <w:tcW w:w="850" w:type="dxa"/>
          </w:tcPr>
          <w:p w:rsidR="002E00FA" w:rsidRDefault="002E00FA">
            <w:pPr>
              <w:pStyle w:val="ConsPlusNormal"/>
              <w:jc w:val="center"/>
            </w:pPr>
            <w:r>
              <w:t>ВР</w:t>
            </w:r>
          </w:p>
        </w:tc>
        <w:tc>
          <w:tcPr>
            <w:tcW w:w="1134" w:type="dxa"/>
            <w:vMerge/>
          </w:tcPr>
          <w:p w:rsidR="002E00FA" w:rsidRDefault="002E00FA">
            <w:pPr>
              <w:pStyle w:val="ConsPlusNormal"/>
            </w:pPr>
          </w:p>
        </w:tc>
        <w:tc>
          <w:tcPr>
            <w:tcW w:w="1134" w:type="dxa"/>
          </w:tcPr>
          <w:p w:rsidR="002E00FA" w:rsidRDefault="002E00FA">
            <w:pPr>
              <w:pStyle w:val="ConsPlusNormal"/>
              <w:jc w:val="center"/>
            </w:pPr>
            <w:r>
              <w:t>1 кв.</w:t>
            </w:r>
          </w:p>
        </w:tc>
        <w:tc>
          <w:tcPr>
            <w:tcW w:w="1134" w:type="dxa"/>
          </w:tcPr>
          <w:p w:rsidR="002E00FA" w:rsidRDefault="002E00FA">
            <w:pPr>
              <w:pStyle w:val="ConsPlusNormal"/>
              <w:jc w:val="center"/>
            </w:pPr>
            <w:r>
              <w:t>2 кв.</w:t>
            </w:r>
          </w:p>
        </w:tc>
        <w:tc>
          <w:tcPr>
            <w:tcW w:w="1134" w:type="dxa"/>
          </w:tcPr>
          <w:p w:rsidR="002E00FA" w:rsidRDefault="002E00FA">
            <w:pPr>
              <w:pStyle w:val="ConsPlusNormal"/>
              <w:jc w:val="center"/>
            </w:pPr>
            <w:r>
              <w:t>3 кв.</w:t>
            </w:r>
          </w:p>
        </w:tc>
        <w:tc>
          <w:tcPr>
            <w:tcW w:w="1134" w:type="dxa"/>
          </w:tcPr>
          <w:p w:rsidR="002E00FA" w:rsidRDefault="002E00FA">
            <w:pPr>
              <w:pStyle w:val="ConsPlusNormal"/>
              <w:jc w:val="center"/>
            </w:pPr>
            <w:r>
              <w:t>4 кв.</w:t>
            </w:r>
          </w:p>
        </w:tc>
        <w:tc>
          <w:tcPr>
            <w:tcW w:w="1134" w:type="dxa"/>
            <w:vMerge/>
          </w:tcPr>
          <w:p w:rsidR="002E00FA" w:rsidRDefault="002E00FA">
            <w:pPr>
              <w:pStyle w:val="ConsPlusNormal"/>
            </w:pPr>
          </w:p>
        </w:tc>
        <w:tc>
          <w:tcPr>
            <w:tcW w:w="1134" w:type="dxa"/>
            <w:vMerge/>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tcPr>
          <w:p w:rsidR="002E00FA" w:rsidRDefault="002E00FA">
            <w:pPr>
              <w:pStyle w:val="ConsPlusNormal"/>
              <w:jc w:val="center"/>
            </w:pPr>
            <w:r>
              <w:t>1</w:t>
            </w:r>
          </w:p>
        </w:tc>
        <w:tc>
          <w:tcPr>
            <w:tcW w:w="1871" w:type="dxa"/>
          </w:tcPr>
          <w:p w:rsidR="002E00FA" w:rsidRDefault="002E00FA">
            <w:pPr>
              <w:pStyle w:val="ConsPlusNormal"/>
              <w:jc w:val="center"/>
            </w:pPr>
            <w:r>
              <w:t>2</w:t>
            </w:r>
          </w:p>
        </w:tc>
        <w:tc>
          <w:tcPr>
            <w:tcW w:w="737" w:type="dxa"/>
          </w:tcPr>
          <w:p w:rsidR="002E00FA" w:rsidRDefault="002E00FA">
            <w:pPr>
              <w:pStyle w:val="ConsPlusNormal"/>
              <w:jc w:val="center"/>
            </w:pPr>
            <w:r>
              <w:t>3</w:t>
            </w:r>
          </w:p>
        </w:tc>
        <w:tc>
          <w:tcPr>
            <w:tcW w:w="567" w:type="dxa"/>
          </w:tcPr>
          <w:p w:rsidR="002E00FA" w:rsidRDefault="002E00FA">
            <w:pPr>
              <w:pStyle w:val="ConsPlusNormal"/>
              <w:jc w:val="center"/>
            </w:pPr>
            <w:r>
              <w:t>4</w:t>
            </w:r>
          </w:p>
        </w:tc>
        <w:tc>
          <w:tcPr>
            <w:tcW w:w="567" w:type="dxa"/>
          </w:tcPr>
          <w:p w:rsidR="002E00FA" w:rsidRDefault="002E00FA">
            <w:pPr>
              <w:pStyle w:val="ConsPlusNormal"/>
              <w:jc w:val="center"/>
            </w:pPr>
            <w:r>
              <w:t>5</w:t>
            </w:r>
          </w:p>
        </w:tc>
        <w:tc>
          <w:tcPr>
            <w:tcW w:w="1587" w:type="dxa"/>
          </w:tcPr>
          <w:p w:rsidR="002E00FA" w:rsidRDefault="002E00FA">
            <w:pPr>
              <w:pStyle w:val="ConsPlusNormal"/>
              <w:jc w:val="center"/>
            </w:pPr>
            <w:r>
              <w:t>6</w:t>
            </w:r>
          </w:p>
        </w:tc>
        <w:tc>
          <w:tcPr>
            <w:tcW w:w="850" w:type="dxa"/>
          </w:tcPr>
          <w:p w:rsidR="002E00FA" w:rsidRDefault="002E00FA">
            <w:pPr>
              <w:pStyle w:val="ConsPlusNormal"/>
              <w:jc w:val="center"/>
            </w:pPr>
            <w:r>
              <w:t>7</w:t>
            </w:r>
          </w:p>
        </w:tc>
        <w:tc>
          <w:tcPr>
            <w:tcW w:w="1134" w:type="dxa"/>
          </w:tcPr>
          <w:p w:rsidR="002E00FA" w:rsidRDefault="002E00FA">
            <w:pPr>
              <w:pStyle w:val="ConsPlusNormal"/>
              <w:jc w:val="center"/>
            </w:pPr>
            <w:r>
              <w:t>8</w:t>
            </w:r>
          </w:p>
        </w:tc>
        <w:tc>
          <w:tcPr>
            <w:tcW w:w="1134" w:type="dxa"/>
          </w:tcPr>
          <w:p w:rsidR="002E00FA" w:rsidRDefault="002E00FA">
            <w:pPr>
              <w:pStyle w:val="ConsPlusNormal"/>
              <w:jc w:val="center"/>
            </w:pPr>
            <w:r>
              <w:t>9</w:t>
            </w:r>
          </w:p>
        </w:tc>
        <w:tc>
          <w:tcPr>
            <w:tcW w:w="1134" w:type="dxa"/>
          </w:tcPr>
          <w:p w:rsidR="002E00FA" w:rsidRDefault="002E00FA">
            <w:pPr>
              <w:pStyle w:val="ConsPlusNormal"/>
              <w:jc w:val="center"/>
            </w:pPr>
            <w:r>
              <w:t>10</w:t>
            </w:r>
          </w:p>
        </w:tc>
        <w:tc>
          <w:tcPr>
            <w:tcW w:w="1134" w:type="dxa"/>
          </w:tcPr>
          <w:p w:rsidR="002E00FA" w:rsidRDefault="002E00FA">
            <w:pPr>
              <w:pStyle w:val="ConsPlusNormal"/>
              <w:jc w:val="center"/>
            </w:pPr>
            <w:r>
              <w:t>11</w:t>
            </w:r>
          </w:p>
        </w:tc>
        <w:tc>
          <w:tcPr>
            <w:tcW w:w="1134" w:type="dxa"/>
          </w:tcPr>
          <w:p w:rsidR="002E00FA" w:rsidRDefault="002E00FA">
            <w:pPr>
              <w:pStyle w:val="ConsPlusNormal"/>
              <w:jc w:val="center"/>
            </w:pPr>
            <w:r>
              <w:t>12</w:t>
            </w:r>
          </w:p>
        </w:tc>
        <w:tc>
          <w:tcPr>
            <w:tcW w:w="1134" w:type="dxa"/>
          </w:tcPr>
          <w:p w:rsidR="002E00FA" w:rsidRDefault="002E00FA">
            <w:pPr>
              <w:pStyle w:val="ConsPlusNormal"/>
              <w:jc w:val="center"/>
            </w:pPr>
            <w:r>
              <w:t>13</w:t>
            </w:r>
          </w:p>
        </w:tc>
        <w:tc>
          <w:tcPr>
            <w:tcW w:w="1134" w:type="dxa"/>
          </w:tcPr>
          <w:p w:rsidR="002E00FA" w:rsidRDefault="002E00FA">
            <w:pPr>
              <w:pStyle w:val="ConsPlusNormal"/>
              <w:jc w:val="center"/>
            </w:pPr>
            <w:r>
              <w:t>14</w:t>
            </w:r>
          </w:p>
        </w:tc>
        <w:tc>
          <w:tcPr>
            <w:tcW w:w="1417" w:type="dxa"/>
          </w:tcPr>
          <w:p w:rsidR="002E00FA" w:rsidRDefault="002E00FA">
            <w:pPr>
              <w:pStyle w:val="ConsPlusNormal"/>
              <w:jc w:val="center"/>
            </w:pPr>
            <w:r>
              <w:t>15</w:t>
            </w:r>
          </w:p>
        </w:tc>
        <w:tc>
          <w:tcPr>
            <w:tcW w:w="2381" w:type="dxa"/>
          </w:tcPr>
          <w:p w:rsidR="002E00FA" w:rsidRDefault="002E00FA">
            <w:pPr>
              <w:pStyle w:val="ConsPlusNormal"/>
              <w:jc w:val="center"/>
            </w:pPr>
            <w:r>
              <w:t>16</w:t>
            </w:r>
          </w:p>
        </w:tc>
      </w:tr>
      <w:tr w:rsidR="002E00FA">
        <w:tc>
          <w:tcPr>
            <w:tcW w:w="19786" w:type="dxa"/>
            <w:gridSpan w:val="16"/>
            <w:vAlign w:val="center"/>
          </w:tcPr>
          <w:p w:rsidR="002E00FA" w:rsidRDefault="002E00FA">
            <w:pPr>
              <w:pStyle w:val="ConsPlusNormal"/>
              <w:jc w:val="center"/>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2E00FA">
        <w:tc>
          <w:tcPr>
            <w:tcW w:w="1871" w:type="dxa"/>
            <w:vMerge w:val="restart"/>
            <w:tcBorders>
              <w:bottom w:val="nil"/>
            </w:tcBorders>
          </w:tcPr>
          <w:p w:rsidR="002E00FA" w:rsidRDefault="002E00FA">
            <w:pPr>
              <w:pStyle w:val="ConsPlusNormal"/>
              <w:jc w:val="both"/>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871" w:type="dxa"/>
          </w:tcPr>
          <w:p w:rsidR="002E00FA" w:rsidRDefault="002E00FA">
            <w:pPr>
              <w:pStyle w:val="ConsPlusNormal"/>
              <w:jc w:val="both"/>
            </w:pPr>
            <w:r>
              <w:t>Количество получателей субсидий</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417" w:type="dxa"/>
            <w:vMerge w:val="restart"/>
            <w:tcBorders>
              <w:bottom w:val="nil"/>
            </w:tcBorders>
          </w:tcPr>
          <w:p w:rsidR="002E00FA" w:rsidRDefault="002E00FA">
            <w:pPr>
              <w:pStyle w:val="ConsPlusNormal"/>
              <w:jc w:val="both"/>
            </w:pPr>
            <w:r>
              <w:t>Минпромторг НСО,</w:t>
            </w:r>
          </w:p>
          <w:p w:rsidR="002E00FA" w:rsidRDefault="002E00FA">
            <w:pPr>
              <w:pStyle w:val="ConsPlusNormal"/>
              <w:jc w:val="both"/>
            </w:pPr>
            <w:r>
              <w:t>Государственный фонд развития промышленности Новосибирской области</w:t>
            </w:r>
          </w:p>
        </w:tc>
        <w:tc>
          <w:tcPr>
            <w:tcW w:w="2381" w:type="dxa"/>
            <w:vMerge w:val="restart"/>
            <w:tcBorders>
              <w:bottom w:val="nil"/>
            </w:tcBorders>
          </w:tcPr>
          <w:p w:rsidR="002E00FA" w:rsidRDefault="002E00FA">
            <w:pPr>
              <w:pStyle w:val="ConsPlusNormal"/>
              <w:jc w:val="both"/>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2022 </w:t>
            </w:r>
            <w:r>
              <w:lastRenderedPageBreak/>
              <w:t>- 2024 годов составит не менее 9, что позволит привлечь средства частного инвестора на реализацию проектов в размере не менее 310 611,8 тыс. рублей.</w:t>
            </w:r>
          </w:p>
          <w:p w:rsidR="002E00FA" w:rsidRDefault="002E00FA">
            <w:pPr>
              <w:pStyle w:val="ConsPlusNormal"/>
              <w:jc w:val="both"/>
            </w:pPr>
            <w:r>
              <w:t>Результатом предоставления Государственному фонду развития промышленности Новосибирской области субсидий в 2022 году в объеме 67 148,7 тыс. руб. станет получение в 2022 году тремя субъектами деятельности в сфере промышленности финансовой поддержки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w:t>
            </w: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 xml:space="preserve">Стоимость единицы </w:t>
            </w:r>
            <w:hyperlink w:anchor="P2298">
              <w:r>
                <w:rPr>
                  <w:color w:val="0000FF"/>
                </w:rPr>
                <w:t>&lt;*&gt;</w:t>
              </w:r>
            </w:hyperlink>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17.0.01. 00000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156 154,2</w:t>
            </w:r>
          </w:p>
        </w:tc>
        <w:tc>
          <w:tcPr>
            <w:tcW w:w="1134" w:type="dxa"/>
            <w:vAlign w:val="center"/>
          </w:tcPr>
          <w:p w:rsidR="002E00FA" w:rsidRDefault="002E00FA">
            <w:pPr>
              <w:pStyle w:val="ConsPlusNormal"/>
              <w:jc w:val="center"/>
            </w:pPr>
            <w:r>
              <w:t>17 600,0</w:t>
            </w:r>
          </w:p>
        </w:tc>
        <w:tc>
          <w:tcPr>
            <w:tcW w:w="1134" w:type="dxa"/>
            <w:vAlign w:val="center"/>
          </w:tcPr>
          <w:p w:rsidR="002E00FA" w:rsidRDefault="002E00FA">
            <w:pPr>
              <w:pStyle w:val="ConsPlusNormal"/>
              <w:jc w:val="center"/>
            </w:pPr>
            <w:r>
              <w:t>84 427,0</w:t>
            </w:r>
          </w:p>
        </w:tc>
        <w:tc>
          <w:tcPr>
            <w:tcW w:w="1134" w:type="dxa"/>
            <w:vAlign w:val="center"/>
          </w:tcPr>
          <w:p w:rsidR="002E00FA" w:rsidRDefault="002E00FA">
            <w:pPr>
              <w:pStyle w:val="ConsPlusNormal"/>
              <w:jc w:val="center"/>
            </w:pPr>
            <w:r>
              <w:t>52 361,8</w:t>
            </w:r>
          </w:p>
        </w:tc>
        <w:tc>
          <w:tcPr>
            <w:tcW w:w="1134" w:type="dxa"/>
            <w:vAlign w:val="center"/>
          </w:tcPr>
          <w:p w:rsidR="002E00FA" w:rsidRDefault="002E00FA">
            <w:pPr>
              <w:pStyle w:val="ConsPlusNormal"/>
              <w:jc w:val="center"/>
            </w:pPr>
            <w:r>
              <w:t>1765,4</w:t>
            </w:r>
          </w:p>
        </w:tc>
        <w:tc>
          <w:tcPr>
            <w:tcW w:w="1134" w:type="dxa"/>
            <w:vAlign w:val="center"/>
          </w:tcPr>
          <w:p w:rsidR="002E00FA" w:rsidRDefault="002E00FA">
            <w:pPr>
              <w:pStyle w:val="ConsPlusNormal"/>
              <w:jc w:val="center"/>
            </w:pPr>
            <w:r>
              <w:t>97 842,4</w:t>
            </w:r>
          </w:p>
        </w:tc>
        <w:tc>
          <w:tcPr>
            <w:tcW w:w="1134" w:type="dxa"/>
            <w:vAlign w:val="center"/>
          </w:tcPr>
          <w:p w:rsidR="002E00FA" w:rsidRDefault="002E00FA">
            <w:pPr>
              <w:pStyle w:val="ConsPlusNormal"/>
              <w:jc w:val="center"/>
            </w:pPr>
            <w:r>
              <w:t>36 305,0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val="restart"/>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17.0.01.03260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17.0.01.03270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2 600,0</w:t>
            </w:r>
          </w:p>
        </w:tc>
        <w:tc>
          <w:tcPr>
            <w:tcW w:w="1134" w:type="dxa"/>
            <w:vAlign w:val="center"/>
          </w:tcPr>
          <w:p w:rsidR="002E00FA" w:rsidRDefault="002E00FA">
            <w:pPr>
              <w:pStyle w:val="ConsPlusNormal"/>
              <w:jc w:val="center"/>
            </w:pPr>
            <w:r>
              <w:t>1 600,0</w:t>
            </w:r>
          </w:p>
        </w:tc>
        <w:tc>
          <w:tcPr>
            <w:tcW w:w="1134" w:type="dxa"/>
            <w:vAlign w:val="center"/>
          </w:tcPr>
          <w:p w:rsidR="002E00FA" w:rsidRDefault="002E00FA">
            <w:pPr>
              <w:pStyle w:val="ConsPlusNormal"/>
              <w:jc w:val="center"/>
            </w:pPr>
            <w:r>
              <w:t>1 750,0</w:t>
            </w:r>
          </w:p>
        </w:tc>
        <w:tc>
          <w:tcPr>
            <w:tcW w:w="1134" w:type="dxa"/>
            <w:vAlign w:val="center"/>
          </w:tcPr>
          <w:p w:rsidR="002E00FA" w:rsidRDefault="002E00FA">
            <w:pPr>
              <w:pStyle w:val="ConsPlusNormal"/>
              <w:jc w:val="center"/>
            </w:pPr>
            <w:r>
              <w:t>1765,4</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val="restart"/>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61 537,4</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871" w:type="dxa"/>
            <w:vMerge/>
            <w:tcBorders>
              <w:bottom w:val="nil"/>
            </w:tcBorders>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9786" w:type="dxa"/>
            <w:gridSpan w:val="16"/>
            <w:tcBorders>
              <w:top w:val="nil"/>
            </w:tcBorders>
          </w:tcPr>
          <w:p w:rsidR="002E00FA" w:rsidRDefault="002E00FA">
            <w:pPr>
              <w:pStyle w:val="ConsPlusNormal"/>
              <w:jc w:val="both"/>
            </w:pPr>
            <w:r>
              <w:t xml:space="preserve">(строка введена </w:t>
            </w:r>
            <w:hyperlink r:id="rId30">
              <w:r>
                <w:rPr>
                  <w:color w:val="0000FF"/>
                </w:rPr>
                <w:t>приказом</w:t>
              </w:r>
            </w:hyperlink>
            <w:r>
              <w:t xml:space="preserve"> Минпромторга Новосибирской области от 23.03.2023</w:t>
            </w:r>
          </w:p>
          <w:p w:rsidR="002E00FA" w:rsidRDefault="002E00FA">
            <w:pPr>
              <w:pStyle w:val="ConsPlusNormal"/>
              <w:jc w:val="both"/>
            </w:pPr>
            <w:r>
              <w:lastRenderedPageBreak/>
              <w:t>N 86-НПА)</w:t>
            </w:r>
          </w:p>
        </w:tc>
      </w:tr>
      <w:tr w:rsidR="002E00FA">
        <w:tc>
          <w:tcPr>
            <w:tcW w:w="1871" w:type="dxa"/>
            <w:vMerge w:val="restart"/>
            <w:tcBorders>
              <w:bottom w:val="nil"/>
            </w:tcBorders>
          </w:tcPr>
          <w:p w:rsidR="002E00FA" w:rsidRDefault="002E00FA">
            <w:pPr>
              <w:pStyle w:val="ConsPlusNormal"/>
              <w:jc w:val="both"/>
            </w:pPr>
            <w:r>
              <w:lastRenderedPageBreak/>
              <w:t>О1.1 "Обеспечение деятельности некоммерческой организации в целях предоставления займов субъектам деятельности в сфере промышленности"</w:t>
            </w:r>
          </w:p>
        </w:tc>
        <w:tc>
          <w:tcPr>
            <w:tcW w:w="1871" w:type="dxa"/>
          </w:tcPr>
          <w:p w:rsidR="002E00FA" w:rsidRDefault="002E00FA">
            <w:pPr>
              <w:pStyle w:val="ConsPlusNormal"/>
              <w:jc w:val="both"/>
            </w:pPr>
            <w:r>
              <w:t>Количество получателей субсидий</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417" w:type="dxa"/>
            <w:vMerge w:val="restart"/>
            <w:tcBorders>
              <w:bottom w:val="nil"/>
            </w:tcBorders>
          </w:tcPr>
          <w:p w:rsidR="002E00FA" w:rsidRDefault="002E00FA">
            <w:pPr>
              <w:pStyle w:val="ConsPlusNormal"/>
              <w:jc w:val="both"/>
            </w:pPr>
            <w:r>
              <w:t>Минпромторг НСО,</w:t>
            </w:r>
          </w:p>
          <w:p w:rsidR="002E00FA" w:rsidRDefault="002E00FA">
            <w:pPr>
              <w:pStyle w:val="ConsPlusNormal"/>
              <w:jc w:val="both"/>
            </w:pPr>
            <w:r>
              <w:t>Государственный фонд развития промышленности Новосибирской области</w:t>
            </w:r>
          </w:p>
        </w:tc>
        <w:tc>
          <w:tcPr>
            <w:tcW w:w="2381" w:type="dxa"/>
            <w:vMerge w:val="restart"/>
            <w:tcBorders>
              <w:bottom w:val="nil"/>
            </w:tcBorders>
          </w:tcPr>
          <w:p w:rsidR="002E00FA" w:rsidRDefault="002E00FA">
            <w:pPr>
              <w:pStyle w:val="ConsPlusNormal"/>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2022 - 2024 годов составит не менее 9, что позволит привлечь средства частного инвестора на реализацию проектов в размере не менее 310 611,8 тыс. рублей</w:t>
            </w: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 xml:space="preserve">Стоимость единицы </w:t>
            </w:r>
            <w:hyperlink w:anchor="P2298">
              <w:r>
                <w:rPr>
                  <w:color w:val="0000FF"/>
                </w:rPr>
                <w:t>&lt;*&gt;</w:t>
              </w:r>
            </w:hyperlink>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80 611,8</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17.0.01. 00000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80 611,8</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50 611,8</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val="restart"/>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17.0.01.03260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val="restart"/>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61 537,4</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871" w:type="dxa"/>
            <w:vMerge/>
            <w:tcBorders>
              <w:bottom w:val="nil"/>
            </w:tcBorders>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9786" w:type="dxa"/>
            <w:gridSpan w:val="16"/>
            <w:tcBorders>
              <w:top w:val="nil"/>
            </w:tcBorders>
          </w:tcPr>
          <w:p w:rsidR="002E00FA" w:rsidRDefault="002E00FA">
            <w:pPr>
              <w:pStyle w:val="ConsPlusNormal"/>
              <w:jc w:val="both"/>
            </w:pPr>
            <w:r>
              <w:t xml:space="preserve">(строка введена </w:t>
            </w:r>
            <w:hyperlink r:id="rId31">
              <w:r>
                <w:rPr>
                  <w:color w:val="0000FF"/>
                </w:rPr>
                <w:t>приказом</w:t>
              </w:r>
            </w:hyperlink>
            <w:r>
              <w:t xml:space="preserve"> Минпромторга Новосибирской области от 23.03.2023</w:t>
            </w:r>
          </w:p>
          <w:p w:rsidR="002E00FA" w:rsidRDefault="002E00FA">
            <w:pPr>
              <w:pStyle w:val="ConsPlusNormal"/>
              <w:jc w:val="both"/>
            </w:pPr>
            <w:r>
              <w:t>N 86-НПА)</w:t>
            </w:r>
          </w:p>
        </w:tc>
      </w:tr>
      <w:tr w:rsidR="002E00FA">
        <w:tc>
          <w:tcPr>
            <w:tcW w:w="1871" w:type="dxa"/>
            <w:vMerge w:val="restart"/>
            <w:tcBorders>
              <w:bottom w:val="nil"/>
            </w:tcBorders>
          </w:tcPr>
          <w:p w:rsidR="002E00FA" w:rsidRDefault="002E00FA">
            <w:pPr>
              <w:pStyle w:val="ConsPlusNormal"/>
              <w:jc w:val="both"/>
            </w:pPr>
            <w:r>
              <w:lastRenderedPageBreak/>
              <w:t>О1.2 "Обеспечение деятельности некоммерческой организации в целях предоставления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w:t>
            </w:r>
          </w:p>
        </w:tc>
        <w:tc>
          <w:tcPr>
            <w:tcW w:w="1871" w:type="dxa"/>
          </w:tcPr>
          <w:p w:rsidR="002E00FA" w:rsidRDefault="002E00FA">
            <w:pPr>
              <w:pStyle w:val="ConsPlusNormal"/>
              <w:jc w:val="both"/>
            </w:pPr>
            <w:r>
              <w:t>Количество получателей субсидий</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val="restart"/>
            <w:tcBorders>
              <w:bottom w:val="nil"/>
            </w:tcBorders>
          </w:tcPr>
          <w:p w:rsidR="002E00FA" w:rsidRDefault="002E00FA">
            <w:pPr>
              <w:pStyle w:val="ConsPlusNormal"/>
              <w:jc w:val="both"/>
            </w:pPr>
            <w:r>
              <w:t>Минпромторг НСО,</w:t>
            </w:r>
          </w:p>
          <w:p w:rsidR="002E00FA" w:rsidRDefault="002E00FA">
            <w:pPr>
              <w:pStyle w:val="ConsPlusNormal"/>
              <w:jc w:val="both"/>
            </w:pPr>
            <w:r>
              <w:t>Государственный фонд развития промышленности Новосибирской области</w:t>
            </w:r>
          </w:p>
        </w:tc>
        <w:tc>
          <w:tcPr>
            <w:tcW w:w="2381" w:type="dxa"/>
            <w:vMerge w:val="restart"/>
            <w:tcBorders>
              <w:bottom w:val="nil"/>
            </w:tcBorders>
          </w:tcPr>
          <w:p w:rsidR="002E00FA" w:rsidRDefault="002E00FA">
            <w:pPr>
              <w:pStyle w:val="ConsPlusNormal"/>
              <w:jc w:val="both"/>
            </w:pPr>
            <w:r>
              <w:t>Результатом предоставления Государственному фонду развития промышленности Новосибирской области субсидий в 2022 году в объеме 67 148,7 тыс. руб. станет получение в 2022 году тремя субъектами деятельности в сфере промышленности финансовой поддержки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w:t>
            </w: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 xml:space="preserve">Стоимость единицы </w:t>
            </w:r>
            <w:hyperlink w:anchor="P2298">
              <w:r>
                <w:rPr>
                  <w:color w:val="0000FF"/>
                </w:rPr>
                <w:t>&lt;*&gt;</w:t>
              </w:r>
            </w:hyperlink>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67 827,0</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17.0.01. 00000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67 827,0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67 827,0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871" w:type="dxa"/>
            <w:vMerge/>
            <w:tcBorders>
              <w:bottom w:val="nil"/>
            </w:tcBorders>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9786" w:type="dxa"/>
            <w:gridSpan w:val="16"/>
            <w:tcBorders>
              <w:top w:val="nil"/>
            </w:tcBorders>
          </w:tcPr>
          <w:p w:rsidR="002E00FA" w:rsidRDefault="002E00FA">
            <w:pPr>
              <w:pStyle w:val="ConsPlusNormal"/>
              <w:jc w:val="both"/>
            </w:pPr>
            <w:r>
              <w:t xml:space="preserve">(строка введена </w:t>
            </w:r>
            <w:hyperlink r:id="rId32">
              <w:r>
                <w:rPr>
                  <w:color w:val="0000FF"/>
                </w:rPr>
                <w:t>приказом</w:t>
              </w:r>
            </w:hyperlink>
            <w:r>
              <w:t xml:space="preserve"> Минпромторга Новосибирской области от 23.03.2023</w:t>
            </w:r>
          </w:p>
          <w:p w:rsidR="002E00FA" w:rsidRDefault="002E00FA">
            <w:pPr>
              <w:pStyle w:val="ConsPlusNormal"/>
              <w:jc w:val="both"/>
            </w:pPr>
            <w:r>
              <w:t>N 86-НПА)</w:t>
            </w:r>
          </w:p>
        </w:tc>
      </w:tr>
      <w:tr w:rsidR="002E00FA">
        <w:tc>
          <w:tcPr>
            <w:tcW w:w="1871" w:type="dxa"/>
            <w:vMerge w:val="restart"/>
            <w:tcBorders>
              <w:bottom w:val="nil"/>
            </w:tcBorders>
          </w:tcPr>
          <w:p w:rsidR="002E00FA" w:rsidRDefault="002E00FA">
            <w:pPr>
              <w:pStyle w:val="ConsPlusNormal"/>
              <w:jc w:val="both"/>
            </w:pPr>
            <w:r>
              <w:t xml:space="preserve">О1.3 "Обеспечение деятельности некоммерческой </w:t>
            </w:r>
            <w:r>
              <w:lastRenderedPageBreak/>
              <w:t>организации (текущее содержание)"</w:t>
            </w:r>
          </w:p>
        </w:tc>
        <w:tc>
          <w:tcPr>
            <w:tcW w:w="1871" w:type="dxa"/>
          </w:tcPr>
          <w:p w:rsidR="002E00FA" w:rsidRDefault="002E00FA">
            <w:pPr>
              <w:pStyle w:val="ConsPlusNormal"/>
              <w:jc w:val="both"/>
            </w:pPr>
            <w:r>
              <w:lastRenderedPageBreak/>
              <w:t>Количество получателей субсидий</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w:t>
            </w:r>
          </w:p>
        </w:tc>
        <w:tc>
          <w:tcPr>
            <w:tcW w:w="1134" w:type="dxa"/>
            <w:vAlign w:val="center"/>
          </w:tcPr>
          <w:p w:rsidR="002E00FA" w:rsidRDefault="002E00FA">
            <w:pPr>
              <w:pStyle w:val="ConsPlusNormal"/>
              <w:jc w:val="center"/>
            </w:pPr>
            <w:r>
              <w:t>1</w:t>
            </w:r>
          </w:p>
        </w:tc>
        <w:tc>
          <w:tcPr>
            <w:tcW w:w="1417" w:type="dxa"/>
            <w:vMerge w:val="restart"/>
            <w:tcBorders>
              <w:bottom w:val="nil"/>
            </w:tcBorders>
          </w:tcPr>
          <w:p w:rsidR="002E00FA" w:rsidRDefault="002E00FA">
            <w:pPr>
              <w:pStyle w:val="ConsPlusNormal"/>
              <w:jc w:val="both"/>
            </w:pPr>
            <w:r>
              <w:t>Минпромторг НСО,</w:t>
            </w:r>
          </w:p>
          <w:p w:rsidR="002E00FA" w:rsidRDefault="002E00FA">
            <w:pPr>
              <w:pStyle w:val="ConsPlusNormal"/>
              <w:jc w:val="both"/>
            </w:pPr>
            <w:r>
              <w:t xml:space="preserve">Государственный фонд </w:t>
            </w:r>
            <w:r>
              <w:lastRenderedPageBreak/>
              <w:t>развития промышленности Новосибирской области</w:t>
            </w:r>
          </w:p>
        </w:tc>
        <w:tc>
          <w:tcPr>
            <w:tcW w:w="2381" w:type="dxa"/>
            <w:vMerge w:val="restart"/>
            <w:tcBorders>
              <w:bottom w:val="nil"/>
            </w:tcBorders>
          </w:tcPr>
          <w:p w:rsidR="002E00FA" w:rsidRDefault="002E00FA">
            <w:pPr>
              <w:pStyle w:val="ConsPlusNormal"/>
              <w:jc w:val="both"/>
            </w:pPr>
            <w:r>
              <w:lastRenderedPageBreak/>
              <w:t xml:space="preserve">Количество проектов, направленных на внедрение наилучших доступных технологий и </w:t>
            </w:r>
            <w:r>
              <w:lastRenderedPageBreak/>
              <w:t>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2022 - 2024 годов составит не менее 9</w:t>
            </w: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 xml:space="preserve">Стоимость </w:t>
            </w:r>
            <w:r>
              <w:lastRenderedPageBreak/>
              <w:t xml:space="preserve">единицы </w:t>
            </w:r>
            <w:hyperlink w:anchor="P2298">
              <w:r>
                <w:rPr>
                  <w:color w:val="0000FF"/>
                </w:rPr>
                <w:t>&lt;*&gt;</w:t>
              </w:r>
            </w:hyperlink>
          </w:p>
        </w:tc>
        <w:tc>
          <w:tcPr>
            <w:tcW w:w="737" w:type="dxa"/>
            <w:vAlign w:val="center"/>
          </w:tcPr>
          <w:p w:rsidR="002E00FA" w:rsidRDefault="002E00FA">
            <w:pPr>
              <w:pStyle w:val="ConsPlusNormal"/>
              <w:jc w:val="center"/>
            </w:pPr>
            <w:r>
              <w:lastRenderedPageBreak/>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17.0.01. 00000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2 600,0</w:t>
            </w:r>
          </w:p>
        </w:tc>
        <w:tc>
          <w:tcPr>
            <w:tcW w:w="1134" w:type="dxa"/>
            <w:vAlign w:val="center"/>
          </w:tcPr>
          <w:p w:rsidR="002E00FA" w:rsidRDefault="002E00FA">
            <w:pPr>
              <w:pStyle w:val="ConsPlusNormal"/>
              <w:jc w:val="center"/>
            </w:pPr>
            <w:r>
              <w:t>1 600,0</w:t>
            </w:r>
          </w:p>
        </w:tc>
        <w:tc>
          <w:tcPr>
            <w:tcW w:w="1134" w:type="dxa"/>
            <w:vAlign w:val="center"/>
          </w:tcPr>
          <w:p w:rsidR="002E00FA" w:rsidRDefault="002E00FA">
            <w:pPr>
              <w:pStyle w:val="ConsPlusNormal"/>
              <w:jc w:val="center"/>
            </w:pPr>
            <w:r>
              <w:t>1 750,0</w:t>
            </w:r>
          </w:p>
        </w:tc>
        <w:tc>
          <w:tcPr>
            <w:tcW w:w="1134" w:type="dxa"/>
            <w:vAlign w:val="center"/>
          </w:tcPr>
          <w:p w:rsidR="002E00FA" w:rsidRDefault="002E00FA">
            <w:pPr>
              <w:pStyle w:val="ConsPlusNormal"/>
              <w:jc w:val="center"/>
            </w:pPr>
            <w:r>
              <w:t>1 765,4</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17.0.01.03270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2 600,0</w:t>
            </w:r>
          </w:p>
        </w:tc>
        <w:tc>
          <w:tcPr>
            <w:tcW w:w="1134" w:type="dxa"/>
            <w:vAlign w:val="center"/>
          </w:tcPr>
          <w:p w:rsidR="002E00FA" w:rsidRDefault="002E00FA">
            <w:pPr>
              <w:pStyle w:val="ConsPlusNormal"/>
              <w:jc w:val="center"/>
            </w:pPr>
            <w:r>
              <w:t>1 600,0</w:t>
            </w:r>
          </w:p>
        </w:tc>
        <w:tc>
          <w:tcPr>
            <w:tcW w:w="1134" w:type="dxa"/>
            <w:vAlign w:val="center"/>
          </w:tcPr>
          <w:p w:rsidR="002E00FA" w:rsidRDefault="002E00FA">
            <w:pPr>
              <w:pStyle w:val="ConsPlusNormal"/>
              <w:jc w:val="center"/>
            </w:pPr>
            <w:r>
              <w:t>1 750,0</w:t>
            </w:r>
          </w:p>
        </w:tc>
        <w:tc>
          <w:tcPr>
            <w:tcW w:w="1134" w:type="dxa"/>
            <w:vAlign w:val="center"/>
          </w:tcPr>
          <w:p w:rsidR="002E00FA" w:rsidRDefault="002E00FA">
            <w:pPr>
              <w:pStyle w:val="ConsPlusNormal"/>
              <w:jc w:val="center"/>
            </w:pPr>
            <w:r>
              <w:t>1 765,4</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c>
          <w:tcPr>
            <w:tcW w:w="1871" w:type="dxa"/>
            <w:vMerge/>
            <w:tcBorders>
              <w:bottom w:val="nil"/>
            </w:tcBorders>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871" w:type="dxa"/>
            <w:vMerge/>
            <w:tcBorders>
              <w:bottom w:val="nil"/>
            </w:tcBorders>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134" w:type="dxa"/>
            <w:tcBorders>
              <w:bottom w:val="nil"/>
            </w:tcBorders>
            <w:vAlign w:val="center"/>
          </w:tcPr>
          <w:p w:rsidR="002E00FA" w:rsidRDefault="002E00FA">
            <w:pPr>
              <w:pStyle w:val="ConsPlusNormal"/>
              <w:jc w:val="center"/>
            </w:pPr>
            <w:r>
              <w:t>-</w:t>
            </w:r>
          </w:p>
        </w:tc>
        <w:tc>
          <w:tcPr>
            <w:tcW w:w="1417" w:type="dxa"/>
            <w:vMerge/>
            <w:tcBorders>
              <w:bottom w:val="nil"/>
            </w:tcBorders>
          </w:tcPr>
          <w:p w:rsidR="002E00FA" w:rsidRDefault="002E00FA">
            <w:pPr>
              <w:pStyle w:val="ConsPlusNormal"/>
            </w:pPr>
          </w:p>
        </w:tc>
        <w:tc>
          <w:tcPr>
            <w:tcW w:w="2381" w:type="dxa"/>
            <w:vMerge/>
            <w:tcBorders>
              <w:bottom w:val="nil"/>
            </w:tcBorders>
          </w:tcPr>
          <w:p w:rsidR="002E00FA" w:rsidRDefault="002E00FA">
            <w:pPr>
              <w:pStyle w:val="ConsPlusNormal"/>
            </w:pPr>
          </w:p>
        </w:tc>
      </w:tr>
      <w:tr w:rsidR="002E00FA">
        <w:tblPrEx>
          <w:tblBorders>
            <w:insideH w:val="nil"/>
          </w:tblBorders>
        </w:tblPrEx>
        <w:tc>
          <w:tcPr>
            <w:tcW w:w="19786" w:type="dxa"/>
            <w:gridSpan w:val="16"/>
            <w:tcBorders>
              <w:top w:val="nil"/>
            </w:tcBorders>
          </w:tcPr>
          <w:p w:rsidR="002E00FA" w:rsidRDefault="002E00FA">
            <w:pPr>
              <w:pStyle w:val="ConsPlusNormal"/>
              <w:jc w:val="both"/>
            </w:pPr>
            <w:r>
              <w:t xml:space="preserve">(строка введена </w:t>
            </w:r>
            <w:hyperlink r:id="rId33">
              <w:r>
                <w:rPr>
                  <w:color w:val="0000FF"/>
                </w:rPr>
                <w:t>приказом</w:t>
              </w:r>
            </w:hyperlink>
            <w:r>
              <w:t xml:space="preserve"> Минпромторга Новосибирской области от 23.03.2023</w:t>
            </w:r>
          </w:p>
          <w:p w:rsidR="002E00FA" w:rsidRDefault="002E00FA">
            <w:pPr>
              <w:pStyle w:val="ConsPlusNormal"/>
              <w:jc w:val="both"/>
            </w:pPr>
            <w:r>
              <w:t>N 86-НПА)</w:t>
            </w:r>
          </w:p>
        </w:tc>
      </w:tr>
      <w:tr w:rsidR="002E00FA">
        <w:tc>
          <w:tcPr>
            <w:tcW w:w="1871" w:type="dxa"/>
            <w:vMerge w:val="restart"/>
          </w:tcPr>
          <w:p w:rsidR="002E00FA" w:rsidRDefault="002E00FA">
            <w:pPr>
              <w:pStyle w:val="ConsPlusNormal"/>
              <w:jc w:val="both"/>
            </w:pPr>
            <w:r>
              <w:t xml:space="preserve">О2. Общепрограммное мероприятие "Реализация мер финансовой поддержки промышленных организаций в виде </w:t>
            </w:r>
            <w:r>
              <w:lastRenderedPageBreak/>
              <w:t>предоставления налоговых льгот"</w:t>
            </w:r>
          </w:p>
        </w:tc>
        <w:tc>
          <w:tcPr>
            <w:tcW w:w="1871" w:type="dxa"/>
          </w:tcPr>
          <w:p w:rsidR="002E00FA" w:rsidRDefault="002E00FA">
            <w:pPr>
              <w:pStyle w:val="ConsPlusNormal"/>
              <w:jc w:val="both"/>
            </w:pPr>
            <w:r>
              <w:lastRenderedPageBreak/>
              <w:t>Количество получателей субсидий &lt;1&gt;</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val="restart"/>
          </w:tcPr>
          <w:p w:rsidR="002E00FA" w:rsidRDefault="002E00FA">
            <w:pPr>
              <w:pStyle w:val="ConsPlusNormal"/>
              <w:jc w:val="both"/>
            </w:pPr>
            <w:r>
              <w:t>Минпромторг НСО</w:t>
            </w:r>
          </w:p>
        </w:tc>
        <w:tc>
          <w:tcPr>
            <w:tcW w:w="2381" w:type="dxa"/>
            <w:vMerge w:val="restart"/>
          </w:tcPr>
          <w:p w:rsidR="002E00FA" w:rsidRDefault="002E00FA">
            <w:pPr>
              <w:pStyle w:val="ConsPlusNormal"/>
              <w:jc w:val="both"/>
            </w:pPr>
            <w:r>
              <w:t>1 - Предоставление мер носит заявительный характер.</w:t>
            </w:r>
          </w:p>
          <w:p w:rsidR="002E00FA" w:rsidRDefault="002E00FA">
            <w:pPr>
              <w:pStyle w:val="ConsPlusNormal"/>
              <w:jc w:val="both"/>
            </w:pPr>
            <w:r>
              <w:t xml:space="preserve">Индекс промышленного производства по виду экономической деятельности "Обрабатывающие </w:t>
            </w:r>
            <w:r>
              <w:lastRenderedPageBreak/>
              <w:t>производства" составит:</w:t>
            </w:r>
          </w:p>
          <w:p w:rsidR="002E00FA" w:rsidRDefault="002E00FA">
            <w:pPr>
              <w:pStyle w:val="ConsPlusNormal"/>
              <w:jc w:val="both"/>
            </w:pPr>
            <w:r>
              <w:t>- в 2022 году - 99,0%;</w:t>
            </w:r>
          </w:p>
          <w:p w:rsidR="002E00FA" w:rsidRDefault="002E00FA">
            <w:pPr>
              <w:pStyle w:val="ConsPlusNormal"/>
              <w:jc w:val="both"/>
            </w:pPr>
            <w:r>
              <w:t>- в 2023 году - 102,4%;</w:t>
            </w:r>
          </w:p>
          <w:p w:rsidR="002E00FA" w:rsidRDefault="002E00FA">
            <w:pPr>
              <w:pStyle w:val="ConsPlusNormal"/>
              <w:jc w:val="both"/>
            </w:pPr>
            <w:r>
              <w:t>- в 2024 году - 102,9%</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 xml:space="preserve">Стоимость единицы </w:t>
            </w:r>
            <w:hyperlink w:anchor="P2298">
              <w:r>
                <w:rPr>
                  <w:color w:val="0000FF"/>
                </w:rPr>
                <w:t>&lt;*&gt;</w:t>
              </w:r>
            </w:hyperlink>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не менее 202 000,0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не менее 202 000,0</w:t>
            </w:r>
          </w:p>
        </w:tc>
        <w:tc>
          <w:tcPr>
            <w:tcW w:w="1134" w:type="dxa"/>
            <w:vAlign w:val="center"/>
          </w:tcPr>
          <w:p w:rsidR="002E00FA" w:rsidRDefault="002E00FA">
            <w:pPr>
              <w:pStyle w:val="ConsPlusNormal"/>
              <w:jc w:val="center"/>
            </w:pPr>
            <w:r>
              <w:t>не менее 2 000,0</w:t>
            </w:r>
          </w:p>
        </w:tc>
        <w:tc>
          <w:tcPr>
            <w:tcW w:w="1134" w:type="dxa"/>
            <w:vAlign w:val="center"/>
          </w:tcPr>
          <w:p w:rsidR="002E00FA" w:rsidRDefault="002E00FA">
            <w:pPr>
              <w:pStyle w:val="ConsPlusNormal"/>
              <w:jc w:val="center"/>
            </w:pPr>
            <w:r>
              <w:t>не менее 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 в том числе:</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не менее 2 000,0</w:t>
            </w:r>
          </w:p>
        </w:tc>
        <w:tc>
          <w:tcPr>
            <w:tcW w:w="1134" w:type="dxa"/>
            <w:tcBorders>
              <w:bottom w:val="nil"/>
            </w:tcBorders>
            <w:vAlign w:val="center"/>
          </w:tcPr>
          <w:p w:rsidR="002E00FA" w:rsidRDefault="002E00FA">
            <w:pPr>
              <w:pStyle w:val="ConsPlusNormal"/>
              <w:jc w:val="center"/>
            </w:pPr>
            <w:r>
              <w:t>не менее 2 000,0</w:t>
            </w:r>
          </w:p>
        </w:tc>
        <w:tc>
          <w:tcPr>
            <w:tcW w:w="1417" w:type="dxa"/>
            <w:vMerge w:val="restart"/>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top w:val="nil"/>
              <w:bottom w:val="nil"/>
            </w:tcBorders>
          </w:tcPr>
          <w:p w:rsidR="002E00FA" w:rsidRDefault="002E00FA">
            <w:pPr>
              <w:pStyle w:val="ConsPlusNormal"/>
              <w:jc w:val="both"/>
            </w:pPr>
            <w:r>
              <w:t>налоговые льготы по налогу на прибыль организаций, подлежащему зачислению в областной бюджет Новосибирской области</w:t>
            </w:r>
          </w:p>
        </w:tc>
        <w:tc>
          <w:tcPr>
            <w:tcW w:w="73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1587" w:type="dxa"/>
            <w:tcBorders>
              <w:top w:val="nil"/>
              <w:bottom w:val="nil"/>
            </w:tcBorders>
            <w:vAlign w:val="center"/>
          </w:tcPr>
          <w:p w:rsidR="002E00FA" w:rsidRDefault="002E00FA">
            <w:pPr>
              <w:pStyle w:val="ConsPlusNormal"/>
            </w:pPr>
          </w:p>
        </w:tc>
        <w:tc>
          <w:tcPr>
            <w:tcW w:w="850" w:type="dxa"/>
            <w:tcBorders>
              <w:top w:val="nil"/>
              <w:bottom w:val="nil"/>
            </w:tcBorders>
            <w:vAlign w:val="center"/>
          </w:tcPr>
          <w:p w:rsidR="002E00FA" w:rsidRDefault="002E00FA">
            <w:pPr>
              <w:pStyle w:val="ConsPlusNormal"/>
            </w:pP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Borders>
              <w:top w:val="nil"/>
            </w:tcBorders>
          </w:tcPr>
          <w:p w:rsidR="002E00FA" w:rsidRDefault="002E00FA">
            <w:pPr>
              <w:pStyle w:val="ConsPlusNormal"/>
              <w:jc w:val="both"/>
            </w:pPr>
            <w:r>
              <w:t>налоговые льготы по налогу на имущество организаций</w:t>
            </w:r>
          </w:p>
        </w:tc>
        <w:tc>
          <w:tcPr>
            <w:tcW w:w="73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1587" w:type="dxa"/>
            <w:tcBorders>
              <w:top w:val="nil"/>
            </w:tcBorders>
            <w:vAlign w:val="center"/>
          </w:tcPr>
          <w:p w:rsidR="002E00FA" w:rsidRDefault="002E00FA">
            <w:pPr>
              <w:pStyle w:val="ConsPlusNormal"/>
            </w:pPr>
          </w:p>
        </w:tc>
        <w:tc>
          <w:tcPr>
            <w:tcW w:w="850" w:type="dxa"/>
            <w:tcBorders>
              <w:top w:val="nil"/>
            </w:tcBorders>
            <w:vAlign w:val="center"/>
          </w:tcPr>
          <w:p w:rsidR="002E00FA" w:rsidRDefault="002E00FA">
            <w:pPr>
              <w:pStyle w:val="ConsPlusNormal"/>
            </w:pP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9786" w:type="dxa"/>
            <w:gridSpan w:val="16"/>
            <w:tcBorders>
              <w:bottom w:val="nil"/>
            </w:tcBorders>
          </w:tcPr>
          <w:p w:rsidR="002E00FA" w:rsidRDefault="002E00FA">
            <w:pPr>
              <w:pStyle w:val="ConsPlusNormal"/>
              <w:jc w:val="both"/>
            </w:pPr>
            <w:r>
              <w:t xml:space="preserve">Строки исключены. - </w:t>
            </w:r>
            <w:hyperlink r:id="rId34">
              <w:r>
                <w:rPr>
                  <w:color w:val="0000FF"/>
                </w:rPr>
                <w:t>Приказ</w:t>
              </w:r>
            </w:hyperlink>
            <w:r>
              <w:t xml:space="preserve"> Минпромторга Новосибирской области от 23.03.2023 N 86-НПА</w:t>
            </w:r>
          </w:p>
        </w:tc>
      </w:tr>
      <w:tr w:rsidR="002E00FA">
        <w:tc>
          <w:tcPr>
            <w:tcW w:w="1871" w:type="dxa"/>
            <w:vMerge w:val="restart"/>
          </w:tcPr>
          <w:p w:rsidR="002E00FA" w:rsidRDefault="002E00FA">
            <w:pPr>
              <w:pStyle w:val="ConsPlusNormal"/>
              <w:jc w:val="both"/>
            </w:pPr>
            <w:r>
              <w:t>Итого на общепрограммны</w:t>
            </w:r>
            <w:r>
              <w:lastRenderedPageBreak/>
              <w:t>е мероприятия</w:t>
            </w:r>
          </w:p>
        </w:tc>
        <w:tc>
          <w:tcPr>
            <w:tcW w:w="1871" w:type="dxa"/>
          </w:tcPr>
          <w:p w:rsidR="002E00FA" w:rsidRDefault="002E00FA">
            <w:pPr>
              <w:pStyle w:val="ConsPlusNormal"/>
              <w:jc w:val="both"/>
            </w:pPr>
            <w:r>
              <w:lastRenderedPageBreak/>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17.0.01. 00000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358 154,1</w:t>
            </w:r>
          </w:p>
        </w:tc>
        <w:tc>
          <w:tcPr>
            <w:tcW w:w="1134" w:type="dxa"/>
            <w:vAlign w:val="center"/>
          </w:tcPr>
          <w:p w:rsidR="002E00FA" w:rsidRDefault="002E00FA">
            <w:pPr>
              <w:pStyle w:val="ConsPlusNormal"/>
              <w:jc w:val="center"/>
            </w:pPr>
            <w:r>
              <w:t>17 600,0</w:t>
            </w:r>
          </w:p>
        </w:tc>
        <w:tc>
          <w:tcPr>
            <w:tcW w:w="1134" w:type="dxa"/>
            <w:vAlign w:val="center"/>
          </w:tcPr>
          <w:p w:rsidR="002E00FA" w:rsidRDefault="002E00FA">
            <w:pPr>
              <w:pStyle w:val="ConsPlusNormal"/>
              <w:jc w:val="center"/>
            </w:pPr>
            <w:r>
              <w:t>84 427,0</w:t>
            </w:r>
          </w:p>
        </w:tc>
        <w:tc>
          <w:tcPr>
            <w:tcW w:w="1134" w:type="dxa"/>
            <w:vAlign w:val="center"/>
          </w:tcPr>
          <w:p w:rsidR="002E00FA" w:rsidRDefault="002E00FA">
            <w:pPr>
              <w:pStyle w:val="ConsPlusNormal"/>
              <w:jc w:val="center"/>
            </w:pPr>
            <w:r>
              <w:t>52 361,8</w:t>
            </w:r>
          </w:p>
        </w:tc>
        <w:tc>
          <w:tcPr>
            <w:tcW w:w="1134" w:type="dxa"/>
            <w:vAlign w:val="center"/>
          </w:tcPr>
          <w:p w:rsidR="002E00FA" w:rsidRDefault="002E00FA">
            <w:pPr>
              <w:pStyle w:val="ConsPlusNormal"/>
              <w:jc w:val="center"/>
            </w:pPr>
            <w:r>
              <w:t>203 765,4</w:t>
            </w:r>
          </w:p>
        </w:tc>
        <w:tc>
          <w:tcPr>
            <w:tcW w:w="1134" w:type="dxa"/>
            <w:vAlign w:val="center"/>
          </w:tcPr>
          <w:p w:rsidR="002E00FA" w:rsidRDefault="002E00FA">
            <w:pPr>
              <w:pStyle w:val="ConsPlusNormal"/>
              <w:jc w:val="center"/>
            </w:pPr>
            <w:r>
              <w:t>99 842,4</w:t>
            </w:r>
          </w:p>
        </w:tc>
        <w:tc>
          <w:tcPr>
            <w:tcW w:w="1134" w:type="dxa"/>
            <w:vAlign w:val="center"/>
          </w:tcPr>
          <w:p w:rsidR="002E00FA" w:rsidRDefault="002E00FA">
            <w:pPr>
              <w:pStyle w:val="ConsPlusNormal"/>
              <w:jc w:val="center"/>
            </w:pPr>
            <w:r>
              <w:t>38 305,0</w:t>
            </w:r>
          </w:p>
        </w:tc>
        <w:tc>
          <w:tcPr>
            <w:tcW w:w="1417" w:type="dxa"/>
            <w:vMerge w:val="restart"/>
          </w:tcPr>
          <w:p w:rsidR="002E00FA" w:rsidRDefault="002E00FA">
            <w:pPr>
              <w:pStyle w:val="ConsPlusNormal"/>
            </w:pPr>
          </w:p>
        </w:tc>
        <w:tc>
          <w:tcPr>
            <w:tcW w:w="2381" w:type="dxa"/>
            <w:vMerge w:val="restart"/>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 всего, 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55 750,4</w:t>
            </w:r>
          </w:p>
        </w:tc>
        <w:tc>
          <w:tcPr>
            <w:tcW w:w="1134" w:type="dxa"/>
            <w:vAlign w:val="center"/>
          </w:tcPr>
          <w:p w:rsidR="002E00FA" w:rsidRDefault="002E00FA">
            <w:pPr>
              <w:pStyle w:val="ConsPlusNormal"/>
              <w:jc w:val="center"/>
            </w:pPr>
            <w:r>
              <w:t>17 600,0</w:t>
            </w:r>
          </w:p>
        </w:tc>
        <w:tc>
          <w:tcPr>
            <w:tcW w:w="1134" w:type="dxa"/>
            <w:vAlign w:val="center"/>
          </w:tcPr>
          <w:p w:rsidR="002E00FA" w:rsidRDefault="002E00FA">
            <w:pPr>
              <w:pStyle w:val="ConsPlusNormal"/>
              <w:jc w:val="center"/>
            </w:pPr>
            <w:r>
              <w:t>17 278,3</w:t>
            </w:r>
          </w:p>
        </w:tc>
        <w:tc>
          <w:tcPr>
            <w:tcW w:w="1134" w:type="dxa"/>
            <w:vAlign w:val="center"/>
          </w:tcPr>
          <w:p w:rsidR="002E00FA" w:rsidRDefault="002E00FA">
            <w:pPr>
              <w:pStyle w:val="ConsPlusNormal"/>
              <w:jc w:val="center"/>
            </w:pPr>
            <w:r>
              <w:t>19 106,7</w:t>
            </w:r>
          </w:p>
        </w:tc>
        <w:tc>
          <w:tcPr>
            <w:tcW w:w="1134" w:type="dxa"/>
            <w:vAlign w:val="center"/>
          </w:tcPr>
          <w:p w:rsidR="002E00FA" w:rsidRDefault="002E00FA">
            <w:pPr>
              <w:pStyle w:val="ConsPlusNormal"/>
              <w:jc w:val="center"/>
            </w:pPr>
            <w:r>
              <w:t>1 765,4</w:t>
            </w:r>
          </w:p>
        </w:tc>
        <w:tc>
          <w:tcPr>
            <w:tcW w:w="1134" w:type="dxa"/>
            <w:vAlign w:val="center"/>
          </w:tcPr>
          <w:p w:rsidR="002E00FA" w:rsidRDefault="002E00FA">
            <w:pPr>
              <w:pStyle w:val="ConsPlusNormal"/>
              <w:jc w:val="center"/>
            </w:pPr>
            <w:r>
              <w:t>36 305,0</w:t>
            </w:r>
          </w:p>
        </w:tc>
        <w:tc>
          <w:tcPr>
            <w:tcW w:w="1134" w:type="dxa"/>
            <w:vAlign w:val="center"/>
          </w:tcPr>
          <w:p w:rsidR="002E00FA" w:rsidRDefault="002E00FA">
            <w:pPr>
              <w:pStyle w:val="ConsPlusNormal"/>
              <w:jc w:val="center"/>
            </w:pPr>
            <w:r>
              <w:t>36 305,0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val="restart"/>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17.0.01.03260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17.0.01.03270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2 600,0</w:t>
            </w:r>
          </w:p>
        </w:tc>
        <w:tc>
          <w:tcPr>
            <w:tcW w:w="1134" w:type="dxa"/>
            <w:vAlign w:val="center"/>
          </w:tcPr>
          <w:p w:rsidR="002E00FA" w:rsidRDefault="002E00FA">
            <w:pPr>
              <w:pStyle w:val="ConsPlusNormal"/>
              <w:jc w:val="center"/>
            </w:pPr>
            <w:r>
              <w:t>1 600,0</w:t>
            </w:r>
          </w:p>
        </w:tc>
        <w:tc>
          <w:tcPr>
            <w:tcW w:w="1134" w:type="dxa"/>
            <w:vAlign w:val="center"/>
          </w:tcPr>
          <w:p w:rsidR="002E00FA" w:rsidRDefault="002E00FA">
            <w:pPr>
              <w:pStyle w:val="ConsPlusNormal"/>
              <w:jc w:val="center"/>
            </w:pPr>
            <w:r>
              <w:t>1 750,0</w:t>
            </w:r>
          </w:p>
        </w:tc>
        <w:tc>
          <w:tcPr>
            <w:tcW w:w="1134" w:type="dxa"/>
            <w:vAlign w:val="center"/>
          </w:tcPr>
          <w:p w:rsidR="002E00FA" w:rsidRDefault="002E00FA">
            <w:pPr>
              <w:pStyle w:val="ConsPlusNormal"/>
              <w:jc w:val="center"/>
            </w:pPr>
            <w:r>
              <w:t>1 765,4</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 всего, 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100 403,8</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61 537,4</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val="restart"/>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61 537,4</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 в том числе:</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не менее 202 000,0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top w:val="nil"/>
              <w:bottom w:val="nil"/>
            </w:tcBorders>
          </w:tcPr>
          <w:p w:rsidR="002E00FA" w:rsidRDefault="002E00FA">
            <w:pPr>
              <w:pStyle w:val="ConsPlusNormal"/>
              <w:jc w:val="both"/>
            </w:pPr>
            <w:r>
              <w:t xml:space="preserve">налоговые льготы по налогу на прибыль организаций, подлежащему </w:t>
            </w:r>
            <w:r>
              <w:lastRenderedPageBreak/>
              <w:t>зачислению в областной бюджет Новосибирской области</w:t>
            </w:r>
          </w:p>
        </w:tc>
        <w:tc>
          <w:tcPr>
            <w:tcW w:w="73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1587" w:type="dxa"/>
            <w:tcBorders>
              <w:top w:val="nil"/>
              <w:bottom w:val="nil"/>
            </w:tcBorders>
            <w:vAlign w:val="center"/>
          </w:tcPr>
          <w:p w:rsidR="002E00FA" w:rsidRDefault="002E00FA">
            <w:pPr>
              <w:pStyle w:val="ConsPlusNormal"/>
            </w:pPr>
          </w:p>
        </w:tc>
        <w:tc>
          <w:tcPr>
            <w:tcW w:w="850" w:type="dxa"/>
            <w:tcBorders>
              <w:top w:val="nil"/>
              <w:bottom w:val="nil"/>
            </w:tcBorders>
            <w:vAlign w:val="center"/>
          </w:tcPr>
          <w:p w:rsidR="002E00FA" w:rsidRDefault="002E00FA">
            <w:pPr>
              <w:pStyle w:val="ConsPlusNormal"/>
            </w:pP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не менее 200 000,0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Borders>
              <w:top w:val="nil"/>
            </w:tcBorders>
          </w:tcPr>
          <w:p w:rsidR="002E00FA" w:rsidRDefault="002E00FA">
            <w:pPr>
              <w:pStyle w:val="ConsPlusNormal"/>
              <w:jc w:val="both"/>
            </w:pPr>
            <w:r>
              <w:t>налоговые льготы по налогу на имущество организаций</w:t>
            </w:r>
          </w:p>
        </w:tc>
        <w:tc>
          <w:tcPr>
            <w:tcW w:w="73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1587" w:type="dxa"/>
            <w:tcBorders>
              <w:top w:val="nil"/>
            </w:tcBorders>
            <w:vAlign w:val="center"/>
          </w:tcPr>
          <w:p w:rsidR="002E00FA" w:rsidRDefault="002E00FA">
            <w:pPr>
              <w:pStyle w:val="ConsPlusNormal"/>
            </w:pPr>
          </w:p>
        </w:tc>
        <w:tc>
          <w:tcPr>
            <w:tcW w:w="850" w:type="dxa"/>
            <w:tcBorders>
              <w:top w:val="nil"/>
            </w:tcBorders>
            <w:vAlign w:val="center"/>
          </w:tcPr>
          <w:p w:rsidR="002E00FA" w:rsidRDefault="002E00FA">
            <w:pPr>
              <w:pStyle w:val="ConsPlusNormal"/>
            </w:pP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9786" w:type="dxa"/>
            <w:gridSpan w:val="16"/>
            <w:vAlign w:val="center"/>
          </w:tcPr>
          <w:p w:rsidR="002E00FA" w:rsidRDefault="002E00FA">
            <w:pPr>
              <w:pStyle w:val="ConsPlusNormal"/>
              <w:jc w:val="center"/>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2E00FA">
        <w:tc>
          <w:tcPr>
            <w:tcW w:w="19786" w:type="dxa"/>
            <w:gridSpan w:val="16"/>
            <w:vAlign w:val="center"/>
          </w:tcPr>
          <w:p w:rsidR="002E00FA" w:rsidRDefault="002E00FA">
            <w:pPr>
              <w:pStyle w:val="ConsPlusNormal"/>
              <w:jc w:val="center"/>
              <w:outlineLvl w:val="4"/>
            </w:pPr>
            <w:r>
              <w:t>1.1.1. Подпрограмма 1 "Техническое перевооружение промышленности Новосибирской области"</w:t>
            </w:r>
          </w:p>
        </w:tc>
      </w:tr>
      <w:tr w:rsidR="002E00FA">
        <w:tc>
          <w:tcPr>
            <w:tcW w:w="19786" w:type="dxa"/>
            <w:gridSpan w:val="16"/>
            <w:vAlign w:val="center"/>
          </w:tcPr>
          <w:p w:rsidR="002E00FA" w:rsidRDefault="002E00FA">
            <w:pPr>
              <w:pStyle w:val="ConsPlusNormal"/>
              <w:jc w:val="center"/>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2E00FA">
        <w:tc>
          <w:tcPr>
            <w:tcW w:w="19786" w:type="dxa"/>
            <w:gridSpan w:val="16"/>
            <w:vAlign w:val="center"/>
          </w:tcPr>
          <w:p w:rsidR="002E00FA" w:rsidRDefault="002E00FA">
            <w:pPr>
              <w:pStyle w:val="ConsPlusNormal"/>
              <w:jc w:val="center"/>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2E00FA">
        <w:tc>
          <w:tcPr>
            <w:tcW w:w="1871" w:type="dxa"/>
            <w:vMerge w:val="restart"/>
          </w:tcPr>
          <w:p w:rsidR="002E00FA" w:rsidRDefault="002E00FA">
            <w:pPr>
              <w:pStyle w:val="ConsPlusNormal"/>
              <w:jc w:val="both"/>
            </w:pPr>
            <w:r>
              <w:t>1.1.1.1.1.1. Возмещение части затрат на приобретенное новое основное технологическое оборудование</w:t>
            </w:r>
          </w:p>
        </w:tc>
        <w:tc>
          <w:tcPr>
            <w:tcW w:w="1871" w:type="dxa"/>
          </w:tcPr>
          <w:p w:rsidR="002E00FA" w:rsidRDefault="002E00FA">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ед.</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22</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14</w:t>
            </w:r>
          </w:p>
        </w:tc>
        <w:tc>
          <w:tcPr>
            <w:tcW w:w="1134" w:type="dxa"/>
            <w:vAlign w:val="center"/>
          </w:tcPr>
          <w:p w:rsidR="002E00FA" w:rsidRDefault="002E00FA">
            <w:pPr>
              <w:pStyle w:val="ConsPlusNormal"/>
              <w:jc w:val="center"/>
            </w:pPr>
            <w:r>
              <w:t>8</w:t>
            </w:r>
          </w:p>
        </w:tc>
        <w:tc>
          <w:tcPr>
            <w:tcW w:w="1134" w:type="dxa"/>
            <w:vAlign w:val="center"/>
          </w:tcPr>
          <w:p w:rsidR="002E00FA" w:rsidRDefault="002E00FA">
            <w:pPr>
              <w:pStyle w:val="ConsPlusNormal"/>
              <w:jc w:val="center"/>
            </w:pPr>
            <w:r>
              <w:t>33</w:t>
            </w:r>
          </w:p>
        </w:tc>
        <w:tc>
          <w:tcPr>
            <w:tcW w:w="1134" w:type="dxa"/>
            <w:vAlign w:val="center"/>
          </w:tcPr>
          <w:p w:rsidR="002E00FA" w:rsidRDefault="002E00FA">
            <w:pPr>
              <w:pStyle w:val="ConsPlusNormal"/>
              <w:jc w:val="center"/>
            </w:pPr>
            <w:r>
              <w:t>7</w:t>
            </w:r>
          </w:p>
        </w:tc>
        <w:tc>
          <w:tcPr>
            <w:tcW w:w="1417" w:type="dxa"/>
            <w:vMerge w:val="restart"/>
          </w:tcPr>
          <w:p w:rsidR="002E00FA" w:rsidRDefault="002E00FA">
            <w:pPr>
              <w:pStyle w:val="ConsPlusNormal"/>
              <w:jc w:val="both"/>
            </w:pPr>
            <w:r>
              <w:t>Минпромторг НСО</w:t>
            </w:r>
          </w:p>
        </w:tc>
        <w:tc>
          <w:tcPr>
            <w:tcW w:w="2381" w:type="dxa"/>
            <w:vMerge w:val="restart"/>
          </w:tcPr>
          <w:p w:rsidR="002E00FA" w:rsidRDefault="002E00FA">
            <w:pPr>
              <w:pStyle w:val="ConsPlusNormal"/>
              <w:jc w:val="both"/>
            </w:pPr>
            <w:r>
              <w:t>За период 2022 - 2024 годов количество единиц нового основного технологического оборудования, приобретенного промышленными организациями, составит не менее 62 ед.</w:t>
            </w:r>
          </w:p>
          <w:p w:rsidR="002E00FA" w:rsidRDefault="002E00FA">
            <w:pPr>
              <w:pStyle w:val="ConsPlusNormal"/>
              <w:jc w:val="both"/>
            </w:pPr>
            <w:r>
              <w:t xml:space="preserve">Объем инвестиций в основной капитал, привлекаемых в целях </w:t>
            </w:r>
            <w:r>
              <w:lastRenderedPageBreak/>
              <w:t>технического перевооружения (в части новых машин и оборудования), при государственной поддержке в рамках реализации мероприятий подпрограммы не менее 637 501,0 тыс. рублей за период 2022 - 2024 годов</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 xml:space="preserve">Стоимость </w:t>
            </w:r>
            <w:r>
              <w:lastRenderedPageBreak/>
              <w:t xml:space="preserve">единицы </w:t>
            </w:r>
            <w:hyperlink w:anchor="P2298">
              <w:r>
                <w:rPr>
                  <w:color w:val="0000FF"/>
                </w:rPr>
                <w:t>&lt;*&gt;</w:t>
              </w:r>
            </w:hyperlink>
          </w:p>
        </w:tc>
        <w:tc>
          <w:tcPr>
            <w:tcW w:w="737" w:type="dxa"/>
            <w:vAlign w:val="center"/>
          </w:tcPr>
          <w:p w:rsidR="002E00FA" w:rsidRDefault="002E00FA">
            <w:pPr>
              <w:pStyle w:val="ConsPlusNormal"/>
              <w:jc w:val="center"/>
            </w:pPr>
            <w:r>
              <w:lastRenderedPageBreak/>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43 939,1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28 659,1</w:t>
            </w:r>
          </w:p>
        </w:tc>
        <w:tc>
          <w:tcPr>
            <w:tcW w:w="1134" w:type="dxa"/>
            <w:vAlign w:val="center"/>
          </w:tcPr>
          <w:p w:rsidR="002E00FA" w:rsidRDefault="002E00FA">
            <w:pPr>
              <w:pStyle w:val="ConsPlusNormal"/>
              <w:jc w:val="center"/>
            </w:pPr>
            <w:r>
              <w:t>15 280,0</w:t>
            </w:r>
          </w:p>
        </w:tc>
        <w:tc>
          <w:tcPr>
            <w:tcW w:w="1134" w:type="dxa"/>
            <w:vAlign w:val="center"/>
          </w:tcPr>
          <w:p w:rsidR="002E00FA" w:rsidRDefault="002E00FA">
            <w:pPr>
              <w:pStyle w:val="ConsPlusNormal"/>
              <w:jc w:val="center"/>
            </w:pPr>
            <w:r>
              <w:t>68 492,7</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9 828,3</w:t>
            </w:r>
          </w:p>
        </w:tc>
        <w:tc>
          <w:tcPr>
            <w:tcW w:w="1134" w:type="dxa"/>
            <w:vAlign w:val="center"/>
          </w:tcPr>
          <w:p w:rsidR="002E00FA" w:rsidRDefault="002E00FA">
            <w:pPr>
              <w:pStyle w:val="ConsPlusNormal"/>
              <w:jc w:val="center"/>
            </w:pPr>
            <w:r>
              <w:t>5 240,1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28 870,7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18 830,8</w:t>
            </w:r>
          </w:p>
        </w:tc>
        <w:tc>
          <w:tcPr>
            <w:tcW w:w="1134" w:type="dxa"/>
            <w:vAlign w:val="center"/>
          </w:tcPr>
          <w:p w:rsidR="002E00FA" w:rsidRDefault="002E00FA">
            <w:pPr>
              <w:pStyle w:val="ConsPlusNormal"/>
              <w:jc w:val="center"/>
            </w:pPr>
            <w:r>
              <w:t>10 039,9</w:t>
            </w:r>
          </w:p>
        </w:tc>
        <w:tc>
          <w:tcPr>
            <w:tcW w:w="1134" w:type="dxa"/>
            <w:vAlign w:val="center"/>
          </w:tcPr>
          <w:p w:rsidR="002E00FA" w:rsidRDefault="002E00FA">
            <w:pPr>
              <w:pStyle w:val="ConsPlusNormal"/>
              <w:jc w:val="center"/>
            </w:pPr>
            <w:r>
              <w:t>53 424,3</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t>Итого на решение задачи 1.1 цели 1 подпрограммы 1 государственной программы</w:t>
            </w:r>
          </w:p>
        </w:tc>
        <w:tc>
          <w:tcPr>
            <w:tcW w:w="1871" w:type="dxa"/>
          </w:tcPr>
          <w:p w:rsidR="002E00FA" w:rsidRDefault="002E00FA">
            <w:pPr>
              <w:pStyle w:val="ConsPlusNormal"/>
              <w:jc w:val="both"/>
            </w:pPr>
            <w:r>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43 939,1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28 659,1</w:t>
            </w:r>
          </w:p>
        </w:tc>
        <w:tc>
          <w:tcPr>
            <w:tcW w:w="1134" w:type="dxa"/>
            <w:vAlign w:val="center"/>
          </w:tcPr>
          <w:p w:rsidR="002E00FA" w:rsidRDefault="002E00FA">
            <w:pPr>
              <w:pStyle w:val="ConsPlusNormal"/>
              <w:jc w:val="center"/>
            </w:pPr>
            <w:r>
              <w:t>15 280,0</w:t>
            </w:r>
          </w:p>
        </w:tc>
        <w:tc>
          <w:tcPr>
            <w:tcW w:w="1134" w:type="dxa"/>
            <w:vAlign w:val="center"/>
          </w:tcPr>
          <w:p w:rsidR="002E00FA" w:rsidRDefault="002E00FA">
            <w:pPr>
              <w:pStyle w:val="ConsPlusNormal"/>
              <w:jc w:val="center"/>
            </w:pPr>
            <w:r>
              <w:t>68 492,7</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val="restart"/>
          </w:tcPr>
          <w:p w:rsidR="002E00FA" w:rsidRDefault="002E00FA">
            <w:pPr>
              <w:pStyle w:val="ConsPlusNormal"/>
              <w:jc w:val="center"/>
            </w:pPr>
            <w:r>
              <w:t>x</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9 828,3</w:t>
            </w:r>
          </w:p>
        </w:tc>
        <w:tc>
          <w:tcPr>
            <w:tcW w:w="1134" w:type="dxa"/>
            <w:vAlign w:val="center"/>
          </w:tcPr>
          <w:p w:rsidR="002E00FA" w:rsidRDefault="002E00FA">
            <w:pPr>
              <w:pStyle w:val="ConsPlusNormal"/>
              <w:jc w:val="center"/>
            </w:pPr>
            <w:r>
              <w:t>5 240,1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28 870,7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18 830,8</w:t>
            </w:r>
          </w:p>
        </w:tc>
        <w:tc>
          <w:tcPr>
            <w:tcW w:w="1134" w:type="dxa"/>
            <w:vAlign w:val="center"/>
          </w:tcPr>
          <w:p w:rsidR="002E00FA" w:rsidRDefault="002E00FA">
            <w:pPr>
              <w:pStyle w:val="ConsPlusNormal"/>
              <w:jc w:val="center"/>
            </w:pPr>
            <w:r>
              <w:t>10 039,9</w:t>
            </w:r>
          </w:p>
        </w:tc>
        <w:tc>
          <w:tcPr>
            <w:tcW w:w="1134" w:type="dxa"/>
            <w:vAlign w:val="center"/>
          </w:tcPr>
          <w:p w:rsidR="002E00FA" w:rsidRDefault="002E00FA">
            <w:pPr>
              <w:pStyle w:val="ConsPlusNormal"/>
              <w:jc w:val="center"/>
            </w:pPr>
            <w:r>
              <w:t>53 424,3</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lastRenderedPageBreak/>
              <w:t>Итого затрат по подпрограмме 1 государственной программы</w:t>
            </w:r>
          </w:p>
        </w:tc>
        <w:tc>
          <w:tcPr>
            <w:tcW w:w="1871" w:type="dxa"/>
          </w:tcPr>
          <w:p w:rsidR="002E00FA" w:rsidRDefault="002E00FA">
            <w:pPr>
              <w:pStyle w:val="ConsPlusNormal"/>
              <w:jc w:val="both"/>
            </w:pPr>
            <w:r>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43 939,1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28 659,1</w:t>
            </w:r>
          </w:p>
        </w:tc>
        <w:tc>
          <w:tcPr>
            <w:tcW w:w="1134" w:type="dxa"/>
            <w:vAlign w:val="center"/>
          </w:tcPr>
          <w:p w:rsidR="002E00FA" w:rsidRDefault="002E00FA">
            <w:pPr>
              <w:pStyle w:val="ConsPlusNormal"/>
              <w:jc w:val="center"/>
            </w:pPr>
            <w:r>
              <w:t>15 280,0</w:t>
            </w:r>
          </w:p>
        </w:tc>
        <w:tc>
          <w:tcPr>
            <w:tcW w:w="1134" w:type="dxa"/>
            <w:vAlign w:val="center"/>
          </w:tcPr>
          <w:p w:rsidR="002E00FA" w:rsidRDefault="002E00FA">
            <w:pPr>
              <w:pStyle w:val="ConsPlusNormal"/>
              <w:jc w:val="center"/>
            </w:pPr>
            <w:r>
              <w:t>68 492,7</w:t>
            </w:r>
          </w:p>
        </w:tc>
        <w:tc>
          <w:tcPr>
            <w:tcW w:w="1134" w:type="dxa"/>
            <w:vAlign w:val="center"/>
          </w:tcPr>
          <w:p w:rsidR="002E00FA" w:rsidRDefault="002E00FA">
            <w:pPr>
              <w:pStyle w:val="ConsPlusNormal"/>
              <w:jc w:val="center"/>
            </w:pPr>
            <w:r>
              <w:t>15 068,4</w:t>
            </w:r>
          </w:p>
        </w:tc>
        <w:tc>
          <w:tcPr>
            <w:tcW w:w="1417" w:type="dxa"/>
            <w:vMerge w:val="restart"/>
          </w:tcPr>
          <w:p w:rsidR="002E00FA" w:rsidRDefault="002E00FA">
            <w:pPr>
              <w:pStyle w:val="ConsPlusNormal"/>
            </w:pPr>
          </w:p>
        </w:tc>
        <w:tc>
          <w:tcPr>
            <w:tcW w:w="2381" w:type="dxa"/>
            <w:vMerge w:val="restart"/>
          </w:tcPr>
          <w:p w:rsidR="002E00FA" w:rsidRDefault="002E00FA">
            <w:pPr>
              <w:pStyle w:val="ConsPlusNormal"/>
              <w:jc w:val="center"/>
            </w:pPr>
            <w:r>
              <w:t>x</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9 828,3</w:t>
            </w:r>
          </w:p>
        </w:tc>
        <w:tc>
          <w:tcPr>
            <w:tcW w:w="1134" w:type="dxa"/>
            <w:vAlign w:val="center"/>
          </w:tcPr>
          <w:p w:rsidR="002E00FA" w:rsidRDefault="002E00FA">
            <w:pPr>
              <w:pStyle w:val="ConsPlusNormal"/>
              <w:jc w:val="center"/>
            </w:pPr>
            <w:r>
              <w:t>5 240,1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17.1.01.R5932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28 870,7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18 830,8</w:t>
            </w:r>
          </w:p>
        </w:tc>
        <w:tc>
          <w:tcPr>
            <w:tcW w:w="1134" w:type="dxa"/>
            <w:vAlign w:val="center"/>
          </w:tcPr>
          <w:p w:rsidR="002E00FA" w:rsidRDefault="002E00FA">
            <w:pPr>
              <w:pStyle w:val="ConsPlusNormal"/>
              <w:jc w:val="center"/>
            </w:pPr>
            <w:r>
              <w:t>10 039,9</w:t>
            </w:r>
          </w:p>
        </w:tc>
        <w:tc>
          <w:tcPr>
            <w:tcW w:w="1134" w:type="dxa"/>
            <w:vAlign w:val="center"/>
          </w:tcPr>
          <w:p w:rsidR="002E00FA" w:rsidRDefault="002E00FA">
            <w:pPr>
              <w:pStyle w:val="ConsPlusNormal"/>
              <w:jc w:val="center"/>
            </w:pPr>
            <w:r>
              <w:t>53 424,3</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9786" w:type="dxa"/>
            <w:gridSpan w:val="16"/>
            <w:vAlign w:val="center"/>
          </w:tcPr>
          <w:p w:rsidR="002E00FA" w:rsidRDefault="002E00FA">
            <w:pPr>
              <w:pStyle w:val="ConsPlusNormal"/>
              <w:jc w:val="center"/>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2E00FA">
        <w:tc>
          <w:tcPr>
            <w:tcW w:w="19786" w:type="dxa"/>
            <w:gridSpan w:val="16"/>
            <w:vAlign w:val="center"/>
          </w:tcPr>
          <w:p w:rsidR="002E00FA" w:rsidRDefault="002E00FA">
            <w:pPr>
              <w:pStyle w:val="ConsPlusNormal"/>
              <w:jc w:val="center"/>
              <w:outlineLvl w:val="4"/>
            </w:pPr>
            <w:r>
              <w:t>1.2.1. Подпрограмма 2 "Государственная поддержка научно-производственных центров в Новосибирской области"</w:t>
            </w:r>
          </w:p>
        </w:tc>
      </w:tr>
      <w:tr w:rsidR="002E00FA">
        <w:tc>
          <w:tcPr>
            <w:tcW w:w="19786" w:type="dxa"/>
            <w:gridSpan w:val="16"/>
            <w:vAlign w:val="center"/>
          </w:tcPr>
          <w:p w:rsidR="002E00FA" w:rsidRDefault="002E00FA">
            <w:pPr>
              <w:pStyle w:val="ConsPlusNormal"/>
              <w:jc w:val="center"/>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2E00FA">
        <w:tc>
          <w:tcPr>
            <w:tcW w:w="19786" w:type="dxa"/>
            <w:gridSpan w:val="16"/>
            <w:vAlign w:val="center"/>
          </w:tcPr>
          <w:p w:rsidR="002E00FA" w:rsidRDefault="002E00FA">
            <w:pPr>
              <w:pStyle w:val="ConsPlusNormal"/>
              <w:jc w:val="center"/>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2E00FA">
        <w:tc>
          <w:tcPr>
            <w:tcW w:w="1871" w:type="dxa"/>
            <w:vMerge w:val="restart"/>
          </w:tcPr>
          <w:p w:rsidR="002E00FA" w:rsidRDefault="002E00FA">
            <w:pPr>
              <w:pStyle w:val="ConsPlusNormal"/>
              <w:jc w:val="both"/>
            </w:pPr>
            <w:r>
              <w:t xml:space="preserve">1.2.1.1.1.1. Возмещение части затрат на проведенный комплекс работ по созданию новых материалов, технологий, </w:t>
            </w:r>
            <w:r>
              <w:lastRenderedPageBreak/>
              <w:t>опытных образцов (опытных партий) инновационной высокотехнологичной продукции</w:t>
            </w:r>
          </w:p>
        </w:tc>
        <w:tc>
          <w:tcPr>
            <w:tcW w:w="1871" w:type="dxa"/>
          </w:tcPr>
          <w:p w:rsidR="002E00FA" w:rsidRDefault="002E00FA">
            <w:pPr>
              <w:pStyle w:val="ConsPlusNormal"/>
              <w:jc w:val="both"/>
            </w:pPr>
            <w:r>
              <w:lastRenderedPageBreak/>
              <w:t xml:space="preserve">Количество разработанных в рамках реализации мероприятий подпрограммы образцов инновационной </w:t>
            </w:r>
            <w:r>
              <w:lastRenderedPageBreak/>
              <w:t>высокотехнологичной продукции, новых технологий, материалов, ед.</w:t>
            </w:r>
          </w:p>
        </w:tc>
        <w:tc>
          <w:tcPr>
            <w:tcW w:w="737" w:type="dxa"/>
            <w:vAlign w:val="center"/>
          </w:tcPr>
          <w:p w:rsidR="002E00FA" w:rsidRDefault="002E00FA">
            <w:pPr>
              <w:pStyle w:val="ConsPlusNormal"/>
              <w:jc w:val="center"/>
            </w:pPr>
            <w:r>
              <w:lastRenderedPageBreak/>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20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10</w:t>
            </w:r>
          </w:p>
        </w:tc>
        <w:tc>
          <w:tcPr>
            <w:tcW w:w="1134" w:type="dxa"/>
            <w:vAlign w:val="center"/>
          </w:tcPr>
          <w:p w:rsidR="002E00FA" w:rsidRDefault="002E00FA">
            <w:pPr>
              <w:pStyle w:val="ConsPlusNormal"/>
              <w:jc w:val="center"/>
            </w:pPr>
            <w:r>
              <w:t>3</w:t>
            </w:r>
          </w:p>
        </w:tc>
        <w:tc>
          <w:tcPr>
            <w:tcW w:w="1134" w:type="dxa"/>
            <w:vAlign w:val="center"/>
          </w:tcPr>
          <w:p w:rsidR="002E00FA" w:rsidRDefault="002E00FA">
            <w:pPr>
              <w:pStyle w:val="ConsPlusNormal"/>
              <w:jc w:val="center"/>
            </w:pPr>
            <w:r>
              <w:t>3</w:t>
            </w:r>
          </w:p>
        </w:tc>
        <w:tc>
          <w:tcPr>
            <w:tcW w:w="1417" w:type="dxa"/>
            <w:vMerge w:val="restart"/>
          </w:tcPr>
          <w:p w:rsidR="002E00FA" w:rsidRDefault="002E00FA">
            <w:pPr>
              <w:pStyle w:val="ConsPlusNormal"/>
              <w:jc w:val="both"/>
            </w:pPr>
            <w:r>
              <w:t>Минпромторг НСО</w:t>
            </w:r>
          </w:p>
        </w:tc>
        <w:tc>
          <w:tcPr>
            <w:tcW w:w="2381" w:type="dxa"/>
            <w:vMerge w:val="restart"/>
          </w:tcPr>
          <w:p w:rsidR="002E00FA" w:rsidRDefault="002E00FA">
            <w:pPr>
              <w:pStyle w:val="ConsPlusNormal"/>
              <w:jc w:val="both"/>
            </w:pPr>
            <w:r>
              <w:t>Создание не менее 26 новых материалов, технологий, опытных образцов инновационной продукции за период 2022 - 2024 годов</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 xml:space="preserve">Стоимость единицы </w:t>
            </w:r>
            <w:hyperlink w:anchor="P2298">
              <w:r>
                <w:rPr>
                  <w:color w:val="0000FF"/>
                </w:rPr>
                <w:t>&lt;*&gt;</w:t>
              </w:r>
            </w:hyperlink>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Всего по мероприятию,</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17.2.01.03830</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17.2.01.03830</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t>Итого на решение задачи 1.1 цели 1 подпрограммы 2 государственной программы</w:t>
            </w:r>
          </w:p>
        </w:tc>
        <w:tc>
          <w:tcPr>
            <w:tcW w:w="1871" w:type="dxa"/>
          </w:tcPr>
          <w:p w:rsidR="002E00FA" w:rsidRDefault="002E00FA">
            <w:pPr>
              <w:pStyle w:val="ConsPlusNormal"/>
              <w:jc w:val="both"/>
            </w:pPr>
            <w:r>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17.2.01.00000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val="restart"/>
          </w:tcPr>
          <w:p w:rsidR="002E00FA" w:rsidRDefault="002E00FA">
            <w:pPr>
              <w:pStyle w:val="ConsPlusNormal"/>
              <w:jc w:val="center"/>
            </w:pPr>
            <w:r>
              <w:t>x</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17.2.01.00000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9786" w:type="dxa"/>
            <w:gridSpan w:val="16"/>
            <w:vAlign w:val="center"/>
          </w:tcPr>
          <w:p w:rsidR="002E00FA" w:rsidRDefault="002E00FA">
            <w:pPr>
              <w:pStyle w:val="ConsPlusNormal"/>
              <w:jc w:val="center"/>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2E00FA">
        <w:tc>
          <w:tcPr>
            <w:tcW w:w="1871" w:type="dxa"/>
            <w:vMerge w:val="restart"/>
          </w:tcPr>
          <w:p w:rsidR="002E00FA" w:rsidRDefault="002E00FA">
            <w:pPr>
              <w:pStyle w:val="ConsPlusNormal"/>
              <w:jc w:val="both"/>
            </w:pPr>
            <w:r>
              <w:t>1.2.1.1.2.1. Возмещение части затрат на приобретенное специальное исследовательское, опытно-экспериментальное оборудование и приборы</w:t>
            </w: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17</w:t>
            </w:r>
          </w:p>
        </w:tc>
        <w:tc>
          <w:tcPr>
            <w:tcW w:w="567" w:type="dxa"/>
            <w:vAlign w:val="center"/>
          </w:tcPr>
          <w:p w:rsidR="002E00FA" w:rsidRDefault="002E00FA">
            <w:pPr>
              <w:pStyle w:val="ConsPlusNormal"/>
              <w:jc w:val="center"/>
            </w:pPr>
            <w:r>
              <w:t>2</w:t>
            </w:r>
          </w:p>
        </w:tc>
        <w:tc>
          <w:tcPr>
            <w:tcW w:w="1587" w:type="dxa"/>
            <w:vAlign w:val="center"/>
          </w:tcPr>
          <w:p w:rsidR="002E00FA" w:rsidRDefault="002E00FA">
            <w:pPr>
              <w:pStyle w:val="ConsPlusNormal"/>
              <w:jc w:val="center"/>
            </w:pPr>
            <w:r>
              <w:t>02</w:t>
            </w:r>
          </w:p>
        </w:tc>
        <w:tc>
          <w:tcPr>
            <w:tcW w:w="850" w:type="dxa"/>
            <w:vAlign w:val="center"/>
          </w:tcPr>
          <w:p w:rsidR="002E00FA" w:rsidRDefault="002E00FA">
            <w:pPr>
              <w:pStyle w:val="ConsPlusNormal"/>
              <w:jc w:val="center"/>
            </w:pPr>
            <w:r>
              <w:t>4 000,0</w:t>
            </w:r>
          </w:p>
        </w:tc>
        <w:tc>
          <w:tcPr>
            <w:tcW w:w="1134" w:type="dxa"/>
            <w:vAlign w:val="center"/>
          </w:tcPr>
          <w:p w:rsidR="002E00FA" w:rsidRDefault="002E00FA">
            <w:pPr>
              <w:pStyle w:val="ConsPlusNormal"/>
              <w:jc w:val="center"/>
            </w:pPr>
            <w:r>
              <w:t>4 000,0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pPr>
          </w:p>
        </w:tc>
        <w:tc>
          <w:tcPr>
            <w:tcW w:w="1417" w:type="dxa"/>
            <w:vMerge w:val="restart"/>
          </w:tcPr>
          <w:p w:rsidR="002E00FA" w:rsidRDefault="002E00FA">
            <w:pPr>
              <w:pStyle w:val="ConsPlusNormal"/>
              <w:jc w:val="both"/>
            </w:pPr>
            <w:r>
              <w:t>Минпромторг НСО</w:t>
            </w:r>
          </w:p>
        </w:tc>
        <w:tc>
          <w:tcPr>
            <w:tcW w:w="2381" w:type="dxa"/>
            <w:vMerge w:val="restart"/>
          </w:tcPr>
          <w:p w:rsidR="002E00FA" w:rsidRDefault="002E00FA">
            <w:pPr>
              <w:pStyle w:val="ConsPlusNormal"/>
              <w:jc w:val="both"/>
            </w:pPr>
            <w:r>
              <w:t>Значение целевого индикатора N 13 на 2022 год - 2 ед. и достигается за счет средств резервного фонда Правительства Новосибирской области в объеме 4 000,0 тыс. рублей</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t>Итого на решение задачи 1.2 цели 1 подпрограммы 2 государственной программы</w:t>
            </w: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17</w:t>
            </w:r>
          </w:p>
        </w:tc>
        <w:tc>
          <w:tcPr>
            <w:tcW w:w="567" w:type="dxa"/>
            <w:vAlign w:val="center"/>
          </w:tcPr>
          <w:p w:rsidR="002E00FA" w:rsidRDefault="002E00FA">
            <w:pPr>
              <w:pStyle w:val="ConsPlusNormal"/>
              <w:jc w:val="center"/>
            </w:pPr>
            <w:r>
              <w:t>2</w:t>
            </w:r>
          </w:p>
        </w:tc>
        <w:tc>
          <w:tcPr>
            <w:tcW w:w="1587" w:type="dxa"/>
            <w:vAlign w:val="center"/>
          </w:tcPr>
          <w:p w:rsidR="002E00FA" w:rsidRDefault="002E00FA">
            <w:pPr>
              <w:pStyle w:val="ConsPlusNormal"/>
              <w:jc w:val="center"/>
            </w:pPr>
            <w:r>
              <w:t>02</w:t>
            </w:r>
          </w:p>
        </w:tc>
        <w:tc>
          <w:tcPr>
            <w:tcW w:w="850" w:type="dxa"/>
            <w:vAlign w:val="center"/>
          </w:tcPr>
          <w:p w:rsidR="002E00FA" w:rsidRDefault="002E00FA">
            <w:pPr>
              <w:pStyle w:val="ConsPlusNormal"/>
              <w:jc w:val="center"/>
            </w:pPr>
            <w:r>
              <w:t>4 000,0</w:t>
            </w:r>
          </w:p>
        </w:tc>
        <w:tc>
          <w:tcPr>
            <w:tcW w:w="1134" w:type="dxa"/>
            <w:vAlign w:val="center"/>
          </w:tcPr>
          <w:p w:rsidR="002E00FA" w:rsidRDefault="002E00FA">
            <w:pPr>
              <w:pStyle w:val="ConsPlusNormal"/>
              <w:jc w:val="center"/>
            </w:pPr>
            <w:r>
              <w:t>4 000,0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jc w:val="center"/>
            </w:pPr>
            <w:r>
              <w:t>0,0</w:t>
            </w: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val="restart"/>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134" w:type="dxa"/>
            <w:vAlign w:val="center"/>
          </w:tcPr>
          <w:p w:rsidR="002E00FA" w:rsidRDefault="002E00FA">
            <w:pPr>
              <w:pStyle w:val="ConsPlusNormal"/>
            </w:pP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lastRenderedPageBreak/>
              <w:t>Итого затрат по подпрограмме 2 государственной программы</w:t>
            </w:r>
          </w:p>
        </w:tc>
        <w:tc>
          <w:tcPr>
            <w:tcW w:w="1871" w:type="dxa"/>
          </w:tcPr>
          <w:p w:rsidR="002E00FA" w:rsidRDefault="002E00FA">
            <w:pPr>
              <w:pStyle w:val="ConsPlusNormal"/>
              <w:jc w:val="both"/>
            </w:pPr>
            <w:r>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17.2.00.00000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val="restart"/>
          </w:tcPr>
          <w:p w:rsidR="002E00FA" w:rsidRDefault="002E00FA">
            <w:pPr>
              <w:pStyle w:val="ConsPlusNormal"/>
              <w:jc w:val="both"/>
            </w:pPr>
            <w:r>
              <w:t>Минпромторг НСО</w:t>
            </w:r>
          </w:p>
        </w:tc>
        <w:tc>
          <w:tcPr>
            <w:tcW w:w="2381" w:type="dxa"/>
            <w:vMerge w:val="restart"/>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17.2.00.00000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налоговые расходы</w:t>
            </w:r>
          </w:p>
        </w:tc>
        <w:tc>
          <w:tcPr>
            <w:tcW w:w="737" w:type="dxa"/>
            <w:vAlign w:val="center"/>
          </w:tcPr>
          <w:p w:rsidR="002E00FA" w:rsidRDefault="002E00FA">
            <w:pPr>
              <w:pStyle w:val="ConsPlusNormal"/>
            </w:pPr>
          </w:p>
        </w:tc>
        <w:tc>
          <w:tcPr>
            <w:tcW w:w="567" w:type="dxa"/>
            <w:vAlign w:val="center"/>
          </w:tcPr>
          <w:p w:rsidR="002E00FA" w:rsidRDefault="002E00FA">
            <w:pPr>
              <w:pStyle w:val="ConsPlusNormal"/>
            </w:pPr>
          </w:p>
        </w:tc>
        <w:tc>
          <w:tcPr>
            <w:tcW w:w="567" w:type="dxa"/>
            <w:vAlign w:val="center"/>
          </w:tcPr>
          <w:p w:rsidR="002E00FA" w:rsidRDefault="002E00FA">
            <w:pPr>
              <w:pStyle w:val="ConsPlusNormal"/>
            </w:pPr>
          </w:p>
        </w:tc>
        <w:tc>
          <w:tcPr>
            <w:tcW w:w="1587" w:type="dxa"/>
            <w:vAlign w:val="center"/>
          </w:tcPr>
          <w:p w:rsidR="002E00FA" w:rsidRDefault="002E00FA">
            <w:pPr>
              <w:pStyle w:val="ConsPlusNormal"/>
            </w:pP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val="restart"/>
          </w:tcPr>
          <w:p w:rsidR="002E00FA" w:rsidRDefault="002E00FA">
            <w:pPr>
              <w:pStyle w:val="ConsPlusNormal"/>
              <w:jc w:val="both"/>
            </w:pPr>
            <w:r>
              <w:t>Итого по государственной программе</w:t>
            </w:r>
          </w:p>
        </w:tc>
        <w:tc>
          <w:tcPr>
            <w:tcW w:w="1871" w:type="dxa"/>
          </w:tcPr>
          <w:p w:rsidR="002E00FA" w:rsidRDefault="002E00FA">
            <w:pPr>
              <w:pStyle w:val="ConsPlusNormal"/>
              <w:jc w:val="both"/>
            </w:pPr>
            <w:r>
              <w:t>Всего,</w:t>
            </w:r>
          </w:p>
          <w:p w:rsidR="002E00FA" w:rsidRDefault="002E00FA">
            <w:pPr>
              <w:pStyle w:val="ConsPlusNormal"/>
              <w:jc w:val="both"/>
            </w:pPr>
            <w:r>
              <w:t>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17.0.00.00000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426 415,0</w:t>
            </w:r>
          </w:p>
        </w:tc>
        <w:tc>
          <w:tcPr>
            <w:tcW w:w="1134" w:type="dxa"/>
            <w:vAlign w:val="center"/>
          </w:tcPr>
          <w:p w:rsidR="002E00FA" w:rsidRDefault="002E00FA">
            <w:pPr>
              <w:pStyle w:val="ConsPlusNormal"/>
              <w:jc w:val="center"/>
            </w:pPr>
            <w:r>
              <w:t>17 600,0</w:t>
            </w:r>
          </w:p>
        </w:tc>
        <w:tc>
          <w:tcPr>
            <w:tcW w:w="1134" w:type="dxa"/>
            <w:vAlign w:val="center"/>
          </w:tcPr>
          <w:p w:rsidR="002E00FA" w:rsidRDefault="002E00FA">
            <w:pPr>
              <w:pStyle w:val="ConsPlusNormal"/>
              <w:jc w:val="center"/>
            </w:pPr>
            <w:r>
              <w:t>88 748,7</w:t>
            </w:r>
          </w:p>
        </w:tc>
        <w:tc>
          <w:tcPr>
            <w:tcW w:w="1134" w:type="dxa"/>
            <w:vAlign w:val="center"/>
          </w:tcPr>
          <w:p w:rsidR="002E00FA" w:rsidRDefault="002E00FA">
            <w:pPr>
              <w:pStyle w:val="ConsPlusNormal"/>
              <w:jc w:val="center"/>
            </w:pPr>
            <w:r>
              <w:t>81 020,9</w:t>
            </w:r>
          </w:p>
        </w:tc>
        <w:tc>
          <w:tcPr>
            <w:tcW w:w="1134" w:type="dxa"/>
            <w:vAlign w:val="center"/>
          </w:tcPr>
          <w:p w:rsidR="002E00FA" w:rsidRDefault="002E00FA">
            <w:pPr>
              <w:pStyle w:val="ConsPlusNormal"/>
              <w:jc w:val="center"/>
            </w:pPr>
            <w:r>
              <w:t>239 045,4</w:t>
            </w:r>
          </w:p>
        </w:tc>
        <w:tc>
          <w:tcPr>
            <w:tcW w:w="1134" w:type="dxa"/>
            <w:vAlign w:val="center"/>
          </w:tcPr>
          <w:p w:rsidR="002E00FA" w:rsidRDefault="002E00FA">
            <w:pPr>
              <w:pStyle w:val="ConsPlusNormal"/>
              <w:jc w:val="center"/>
            </w:pPr>
            <w:r>
              <w:t>173 335,1</w:t>
            </w:r>
          </w:p>
        </w:tc>
        <w:tc>
          <w:tcPr>
            <w:tcW w:w="1134" w:type="dxa"/>
            <w:vAlign w:val="center"/>
          </w:tcPr>
          <w:p w:rsidR="002E00FA" w:rsidRDefault="002E00FA">
            <w:pPr>
              <w:pStyle w:val="ConsPlusNormal"/>
              <w:jc w:val="center"/>
            </w:pPr>
            <w:r>
              <w:t>58 373,4</w:t>
            </w:r>
          </w:p>
        </w:tc>
        <w:tc>
          <w:tcPr>
            <w:tcW w:w="1417" w:type="dxa"/>
            <w:vMerge w:val="restart"/>
          </w:tcPr>
          <w:p w:rsidR="002E00FA" w:rsidRDefault="002E00FA">
            <w:pPr>
              <w:pStyle w:val="ConsPlusNormal"/>
            </w:pPr>
          </w:p>
        </w:tc>
        <w:tc>
          <w:tcPr>
            <w:tcW w:w="2381" w:type="dxa"/>
            <w:vMerge w:val="restart"/>
          </w:tcPr>
          <w:p w:rsidR="002E00FA" w:rsidRDefault="002E00FA">
            <w:pPr>
              <w:pStyle w:val="ConsPlusNormal"/>
              <w:jc w:val="center"/>
            </w:pPr>
            <w:r>
              <w:t>x</w:t>
            </w: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областной бюджет всего, 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17.0.00.00000</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95 140,5</w:t>
            </w:r>
          </w:p>
        </w:tc>
        <w:tc>
          <w:tcPr>
            <w:tcW w:w="1134" w:type="dxa"/>
            <w:vAlign w:val="center"/>
          </w:tcPr>
          <w:p w:rsidR="002E00FA" w:rsidRDefault="002E00FA">
            <w:pPr>
              <w:pStyle w:val="ConsPlusNormal"/>
              <w:jc w:val="center"/>
            </w:pPr>
            <w:r>
              <w:t>17 600,0</w:t>
            </w:r>
          </w:p>
        </w:tc>
        <w:tc>
          <w:tcPr>
            <w:tcW w:w="1134" w:type="dxa"/>
            <w:vAlign w:val="center"/>
          </w:tcPr>
          <w:p w:rsidR="002E00FA" w:rsidRDefault="002E00FA">
            <w:pPr>
              <w:pStyle w:val="ConsPlusNormal"/>
              <w:jc w:val="center"/>
            </w:pPr>
            <w:r>
              <w:t>21 600,0</w:t>
            </w:r>
          </w:p>
        </w:tc>
        <w:tc>
          <w:tcPr>
            <w:tcW w:w="1134" w:type="dxa"/>
            <w:vAlign w:val="center"/>
          </w:tcPr>
          <w:p w:rsidR="002E00FA" w:rsidRDefault="002E00FA">
            <w:pPr>
              <w:pStyle w:val="ConsPlusNormal"/>
              <w:jc w:val="center"/>
            </w:pPr>
            <w:r>
              <w:t>28 935,0</w:t>
            </w:r>
          </w:p>
        </w:tc>
        <w:tc>
          <w:tcPr>
            <w:tcW w:w="1134" w:type="dxa"/>
            <w:vAlign w:val="center"/>
          </w:tcPr>
          <w:p w:rsidR="002E00FA" w:rsidRDefault="002E00FA">
            <w:pPr>
              <w:pStyle w:val="ConsPlusNormal"/>
              <w:jc w:val="center"/>
            </w:pPr>
            <w:r>
              <w:t>27 005,5</w:t>
            </w:r>
          </w:p>
        </w:tc>
        <w:tc>
          <w:tcPr>
            <w:tcW w:w="1134" w:type="dxa"/>
            <w:vAlign w:val="center"/>
          </w:tcPr>
          <w:p w:rsidR="002E00FA" w:rsidRDefault="002E00FA">
            <w:pPr>
              <w:pStyle w:val="ConsPlusNormal"/>
              <w:jc w:val="center"/>
            </w:pPr>
            <w:r>
              <w:t>56 373,4</w:t>
            </w:r>
          </w:p>
        </w:tc>
        <w:tc>
          <w:tcPr>
            <w:tcW w:w="1134" w:type="dxa"/>
            <w:vAlign w:val="center"/>
          </w:tcPr>
          <w:p w:rsidR="002E00FA" w:rsidRDefault="002E00FA">
            <w:pPr>
              <w:pStyle w:val="ConsPlusNormal"/>
              <w:jc w:val="center"/>
            </w:pPr>
            <w:r>
              <w:t>56 373,4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val="restart"/>
          </w:tcPr>
          <w:p w:rsidR="002E00FA" w:rsidRDefault="002E00FA">
            <w:pPr>
              <w:pStyle w:val="ConsPlusNormal"/>
              <w:jc w:val="both"/>
            </w:pPr>
            <w:r>
              <w:t>областной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17.0.01.03260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15 000,0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30 000,0</w:t>
            </w:r>
          </w:p>
        </w:tc>
        <w:tc>
          <w:tcPr>
            <w:tcW w:w="1134" w:type="dxa"/>
            <w:vAlign w:val="center"/>
          </w:tcPr>
          <w:p w:rsidR="002E00FA" w:rsidRDefault="002E00FA">
            <w:pPr>
              <w:pStyle w:val="ConsPlusNormal"/>
              <w:jc w:val="center"/>
            </w:pPr>
            <w:r>
              <w:t>30 000,0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17 356,7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678,3</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17.0.01.03270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7 715,4</w:t>
            </w:r>
          </w:p>
        </w:tc>
        <w:tc>
          <w:tcPr>
            <w:tcW w:w="1134" w:type="dxa"/>
            <w:vAlign w:val="center"/>
          </w:tcPr>
          <w:p w:rsidR="002E00FA" w:rsidRDefault="002E00FA">
            <w:pPr>
              <w:pStyle w:val="ConsPlusNormal"/>
              <w:jc w:val="center"/>
            </w:pPr>
            <w:r>
              <w:t>2 600,0</w:t>
            </w:r>
          </w:p>
        </w:tc>
        <w:tc>
          <w:tcPr>
            <w:tcW w:w="1134" w:type="dxa"/>
            <w:vAlign w:val="center"/>
          </w:tcPr>
          <w:p w:rsidR="002E00FA" w:rsidRDefault="002E00FA">
            <w:pPr>
              <w:pStyle w:val="ConsPlusNormal"/>
              <w:jc w:val="center"/>
            </w:pPr>
            <w:r>
              <w:t>1 600,0</w:t>
            </w:r>
          </w:p>
        </w:tc>
        <w:tc>
          <w:tcPr>
            <w:tcW w:w="1134" w:type="dxa"/>
            <w:vAlign w:val="center"/>
          </w:tcPr>
          <w:p w:rsidR="002E00FA" w:rsidRDefault="002E00FA">
            <w:pPr>
              <w:pStyle w:val="ConsPlusNormal"/>
              <w:jc w:val="center"/>
            </w:pPr>
            <w:r>
              <w:t>1 750,0</w:t>
            </w:r>
          </w:p>
        </w:tc>
        <w:tc>
          <w:tcPr>
            <w:tcW w:w="1134" w:type="dxa"/>
            <w:vAlign w:val="center"/>
          </w:tcPr>
          <w:p w:rsidR="002E00FA" w:rsidRDefault="002E00FA">
            <w:pPr>
              <w:pStyle w:val="ConsPlusNormal"/>
              <w:jc w:val="center"/>
            </w:pPr>
            <w:r>
              <w:t>1 765,4</w:t>
            </w:r>
          </w:p>
        </w:tc>
        <w:tc>
          <w:tcPr>
            <w:tcW w:w="1134" w:type="dxa"/>
            <w:vAlign w:val="center"/>
          </w:tcPr>
          <w:p w:rsidR="002E00FA" w:rsidRDefault="002E00FA">
            <w:pPr>
              <w:pStyle w:val="ConsPlusNormal"/>
              <w:jc w:val="center"/>
            </w:pPr>
            <w:r>
              <w:t>6 305,0</w:t>
            </w:r>
          </w:p>
        </w:tc>
        <w:tc>
          <w:tcPr>
            <w:tcW w:w="1134" w:type="dxa"/>
            <w:vAlign w:val="center"/>
          </w:tcPr>
          <w:p w:rsidR="002E00FA" w:rsidRDefault="002E00FA">
            <w:pPr>
              <w:pStyle w:val="ConsPlusNormal"/>
              <w:jc w:val="center"/>
            </w:pPr>
            <w:r>
              <w:t>6 305,0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17.0.01.03820</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9 828,3</w:t>
            </w:r>
          </w:p>
        </w:tc>
        <w:tc>
          <w:tcPr>
            <w:tcW w:w="1134" w:type="dxa"/>
            <w:vAlign w:val="center"/>
          </w:tcPr>
          <w:p w:rsidR="002E00FA" w:rsidRDefault="002E00FA">
            <w:pPr>
              <w:pStyle w:val="ConsPlusNormal"/>
              <w:jc w:val="center"/>
            </w:pPr>
            <w:r>
              <w:t>5 240,1</w:t>
            </w:r>
          </w:p>
        </w:tc>
        <w:tc>
          <w:tcPr>
            <w:tcW w:w="1134" w:type="dxa"/>
            <w:vAlign w:val="center"/>
          </w:tcPr>
          <w:p w:rsidR="002E00FA" w:rsidRDefault="002E00FA">
            <w:pPr>
              <w:pStyle w:val="ConsPlusNormal"/>
              <w:jc w:val="center"/>
            </w:pPr>
            <w:r>
              <w:t>15 068,4</w:t>
            </w:r>
          </w:p>
        </w:tc>
        <w:tc>
          <w:tcPr>
            <w:tcW w:w="1134" w:type="dxa"/>
            <w:vAlign w:val="center"/>
          </w:tcPr>
          <w:p w:rsidR="002E00FA" w:rsidRDefault="002E00FA">
            <w:pPr>
              <w:pStyle w:val="ConsPlusNormal"/>
              <w:jc w:val="center"/>
            </w:pPr>
            <w:r>
              <w:t>15 068,4</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17.2.01.03830</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4 321,7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20 000,0</w:t>
            </w:r>
          </w:p>
        </w:tc>
        <w:tc>
          <w:tcPr>
            <w:tcW w:w="1134" w:type="dxa"/>
            <w:vAlign w:val="center"/>
          </w:tcPr>
          <w:p w:rsidR="002E00FA" w:rsidRDefault="002E00FA">
            <w:pPr>
              <w:pStyle w:val="ConsPlusNormal"/>
              <w:jc w:val="center"/>
            </w:pPr>
            <w:r>
              <w:t>5 000,0</w:t>
            </w:r>
          </w:p>
        </w:tc>
        <w:tc>
          <w:tcPr>
            <w:tcW w:w="1134" w:type="dxa"/>
            <w:vAlign w:val="center"/>
          </w:tcPr>
          <w:p w:rsidR="002E00FA" w:rsidRDefault="002E00FA">
            <w:pPr>
              <w:pStyle w:val="ConsPlusNormal"/>
              <w:jc w:val="center"/>
            </w:pPr>
            <w:r>
              <w:t>5 000,0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федеральный бюджет всего, в том числе:</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pPr>
          </w:p>
        </w:tc>
        <w:tc>
          <w:tcPr>
            <w:tcW w:w="1134" w:type="dxa"/>
            <w:vAlign w:val="center"/>
          </w:tcPr>
          <w:p w:rsidR="002E00FA" w:rsidRDefault="002E00FA">
            <w:pPr>
              <w:pStyle w:val="ConsPlusNormal"/>
              <w:jc w:val="center"/>
            </w:pPr>
            <w:r>
              <w:t>129 274,5</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52 085,9</w:t>
            </w:r>
          </w:p>
        </w:tc>
        <w:tc>
          <w:tcPr>
            <w:tcW w:w="1134" w:type="dxa"/>
            <w:vAlign w:val="center"/>
          </w:tcPr>
          <w:p w:rsidR="002E00FA" w:rsidRDefault="002E00FA">
            <w:pPr>
              <w:pStyle w:val="ConsPlusNormal"/>
              <w:jc w:val="center"/>
            </w:pPr>
            <w:r>
              <w:t>10 039,9</w:t>
            </w:r>
          </w:p>
        </w:tc>
        <w:tc>
          <w:tcPr>
            <w:tcW w:w="1134" w:type="dxa"/>
            <w:vAlign w:val="center"/>
          </w:tcPr>
          <w:p w:rsidR="002E00FA" w:rsidRDefault="002E00FA">
            <w:pPr>
              <w:pStyle w:val="ConsPlusNormal"/>
              <w:jc w:val="center"/>
            </w:pPr>
            <w:r>
              <w:t>114 961,7</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val="restart"/>
          </w:tcPr>
          <w:p w:rsidR="002E00FA" w:rsidRDefault="002E00FA">
            <w:pPr>
              <w:pStyle w:val="ConsPlusNormal"/>
              <w:jc w:val="both"/>
            </w:pPr>
            <w:r>
              <w:t>федеральный бюджет</w:t>
            </w: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17.0.01.R5931</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33 255,1</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567" w:type="dxa"/>
            <w:vAlign w:val="center"/>
          </w:tcPr>
          <w:p w:rsidR="002E00FA" w:rsidRDefault="002E00FA">
            <w:pPr>
              <w:pStyle w:val="ConsPlusNormal"/>
              <w:jc w:val="center"/>
            </w:pPr>
            <w:r>
              <w:t>x</w:t>
            </w:r>
          </w:p>
        </w:tc>
        <w:tc>
          <w:tcPr>
            <w:tcW w:w="1587" w:type="dxa"/>
            <w:vAlign w:val="center"/>
          </w:tcPr>
          <w:p w:rsidR="002E00FA" w:rsidRDefault="002E00FA">
            <w:pPr>
              <w:pStyle w:val="ConsPlusNormal"/>
              <w:jc w:val="center"/>
            </w:pPr>
            <w:r>
              <w:t>x</w:t>
            </w:r>
          </w:p>
        </w:tc>
        <w:tc>
          <w:tcPr>
            <w:tcW w:w="850" w:type="dxa"/>
            <w:vAlign w:val="center"/>
          </w:tcPr>
          <w:p w:rsidR="002E00FA" w:rsidRDefault="002E00FA">
            <w:pPr>
              <w:pStyle w:val="ConsPlusNormal"/>
              <w:jc w:val="center"/>
            </w:pPr>
            <w:r>
              <w:t>x</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61 537,4</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17.0.01.RП030</w:t>
            </w:r>
          </w:p>
        </w:tc>
        <w:tc>
          <w:tcPr>
            <w:tcW w:w="850" w:type="dxa"/>
            <w:vAlign w:val="center"/>
          </w:tcPr>
          <w:p w:rsidR="002E00FA" w:rsidRDefault="002E00FA">
            <w:pPr>
              <w:pStyle w:val="ConsPlusNormal"/>
              <w:jc w:val="center"/>
            </w:pPr>
            <w:r>
              <w:t>632</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67 148,7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vMerge/>
          </w:tcPr>
          <w:p w:rsidR="002E00FA" w:rsidRDefault="002E00FA">
            <w:pPr>
              <w:pStyle w:val="ConsPlusNormal"/>
            </w:pPr>
          </w:p>
        </w:tc>
        <w:tc>
          <w:tcPr>
            <w:tcW w:w="737" w:type="dxa"/>
            <w:vAlign w:val="center"/>
          </w:tcPr>
          <w:p w:rsidR="002E00FA" w:rsidRDefault="002E00FA">
            <w:pPr>
              <w:pStyle w:val="ConsPlusNormal"/>
              <w:jc w:val="center"/>
            </w:pPr>
            <w:r>
              <w:t>026</w:t>
            </w:r>
          </w:p>
        </w:tc>
        <w:tc>
          <w:tcPr>
            <w:tcW w:w="567" w:type="dxa"/>
            <w:vAlign w:val="center"/>
          </w:tcPr>
          <w:p w:rsidR="002E00FA" w:rsidRDefault="002E00FA">
            <w:pPr>
              <w:pStyle w:val="ConsPlusNormal"/>
              <w:jc w:val="center"/>
            </w:pPr>
            <w:r>
              <w:t>04</w:t>
            </w:r>
          </w:p>
        </w:tc>
        <w:tc>
          <w:tcPr>
            <w:tcW w:w="567" w:type="dxa"/>
            <w:vAlign w:val="center"/>
          </w:tcPr>
          <w:p w:rsidR="002E00FA" w:rsidRDefault="002E00FA">
            <w:pPr>
              <w:pStyle w:val="ConsPlusNormal"/>
              <w:jc w:val="center"/>
            </w:pPr>
            <w:r>
              <w:t>12</w:t>
            </w:r>
          </w:p>
        </w:tc>
        <w:tc>
          <w:tcPr>
            <w:tcW w:w="1587" w:type="dxa"/>
            <w:vAlign w:val="center"/>
          </w:tcPr>
          <w:p w:rsidR="002E00FA" w:rsidRDefault="002E00FA">
            <w:pPr>
              <w:pStyle w:val="ConsPlusNormal"/>
              <w:jc w:val="center"/>
            </w:pPr>
            <w:r>
              <w:t>17.0.01.R5932</w:t>
            </w:r>
          </w:p>
        </w:tc>
        <w:tc>
          <w:tcPr>
            <w:tcW w:w="850" w:type="dxa"/>
            <w:vAlign w:val="center"/>
          </w:tcPr>
          <w:p w:rsidR="002E00FA" w:rsidRDefault="002E00FA">
            <w:pPr>
              <w:pStyle w:val="ConsPlusNormal"/>
              <w:jc w:val="center"/>
            </w:pPr>
            <w:r>
              <w:t>811</w:t>
            </w:r>
          </w:p>
        </w:tc>
        <w:tc>
          <w:tcPr>
            <w:tcW w:w="1134" w:type="dxa"/>
            <w:vAlign w:val="center"/>
          </w:tcPr>
          <w:p w:rsidR="002E00FA" w:rsidRDefault="002E00FA">
            <w:pPr>
              <w:pStyle w:val="ConsPlusNormal"/>
              <w:jc w:val="center"/>
            </w:pPr>
            <w:r>
              <w:t>28 870,7</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0</w:t>
            </w:r>
          </w:p>
        </w:tc>
        <w:tc>
          <w:tcPr>
            <w:tcW w:w="1134" w:type="dxa"/>
            <w:vAlign w:val="center"/>
          </w:tcPr>
          <w:p w:rsidR="002E00FA" w:rsidRDefault="002E00FA">
            <w:pPr>
              <w:pStyle w:val="ConsPlusNormal"/>
              <w:jc w:val="center"/>
            </w:pPr>
            <w:r>
              <w:t>18 830,8</w:t>
            </w:r>
          </w:p>
        </w:tc>
        <w:tc>
          <w:tcPr>
            <w:tcW w:w="1134" w:type="dxa"/>
            <w:vAlign w:val="center"/>
          </w:tcPr>
          <w:p w:rsidR="002E00FA" w:rsidRDefault="002E00FA">
            <w:pPr>
              <w:pStyle w:val="ConsPlusNormal"/>
              <w:jc w:val="center"/>
            </w:pPr>
            <w:r>
              <w:t>10 039,9</w:t>
            </w:r>
          </w:p>
        </w:tc>
        <w:tc>
          <w:tcPr>
            <w:tcW w:w="1134" w:type="dxa"/>
            <w:vAlign w:val="center"/>
          </w:tcPr>
          <w:p w:rsidR="002E00FA" w:rsidRDefault="002E00FA">
            <w:pPr>
              <w:pStyle w:val="ConsPlusNormal"/>
              <w:jc w:val="center"/>
            </w:pPr>
            <w:r>
              <w:t>53 424,3</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местные бюджеты</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c>
          <w:tcPr>
            <w:tcW w:w="1871" w:type="dxa"/>
            <w:vMerge/>
          </w:tcPr>
          <w:p w:rsidR="002E00FA" w:rsidRDefault="002E00FA">
            <w:pPr>
              <w:pStyle w:val="ConsPlusNormal"/>
            </w:pPr>
          </w:p>
        </w:tc>
        <w:tc>
          <w:tcPr>
            <w:tcW w:w="1871" w:type="dxa"/>
          </w:tcPr>
          <w:p w:rsidR="002E00FA" w:rsidRDefault="002E00FA">
            <w:pPr>
              <w:pStyle w:val="ConsPlusNormal"/>
              <w:jc w:val="both"/>
            </w:pPr>
            <w:r>
              <w:t>внебюджетные источники</w:t>
            </w:r>
          </w:p>
        </w:tc>
        <w:tc>
          <w:tcPr>
            <w:tcW w:w="73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567" w:type="dxa"/>
            <w:vAlign w:val="center"/>
          </w:tcPr>
          <w:p w:rsidR="002E00FA" w:rsidRDefault="002E00FA">
            <w:pPr>
              <w:pStyle w:val="ConsPlusNormal"/>
              <w:jc w:val="center"/>
            </w:pPr>
            <w:r>
              <w:t>-</w:t>
            </w:r>
          </w:p>
        </w:tc>
        <w:tc>
          <w:tcPr>
            <w:tcW w:w="1587" w:type="dxa"/>
            <w:vAlign w:val="center"/>
          </w:tcPr>
          <w:p w:rsidR="002E00FA" w:rsidRDefault="002E00FA">
            <w:pPr>
              <w:pStyle w:val="ConsPlusNormal"/>
              <w:jc w:val="center"/>
            </w:pPr>
            <w:r>
              <w:t>-</w:t>
            </w:r>
          </w:p>
        </w:tc>
        <w:tc>
          <w:tcPr>
            <w:tcW w:w="850"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134" w:type="dxa"/>
            <w:vAlign w:val="center"/>
          </w:tcPr>
          <w:p w:rsidR="002E00FA" w:rsidRDefault="002E00FA">
            <w:pPr>
              <w:pStyle w:val="ConsPlusNormal"/>
              <w:jc w:val="center"/>
            </w:pPr>
            <w:r>
              <w:t>-</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bottom w:val="nil"/>
            </w:tcBorders>
          </w:tcPr>
          <w:p w:rsidR="002E00FA" w:rsidRDefault="002E00FA">
            <w:pPr>
              <w:pStyle w:val="ConsPlusNormal"/>
              <w:jc w:val="both"/>
            </w:pPr>
            <w:r>
              <w:t>налоговые расходы, в том числе:</w:t>
            </w:r>
          </w:p>
        </w:tc>
        <w:tc>
          <w:tcPr>
            <w:tcW w:w="73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567" w:type="dxa"/>
            <w:tcBorders>
              <w:bottom w:val="nil"/>
            </w:tcBorders>
            <w:vAlign w:val="center"/>
          </w:tcPr>
          <w:p w:rsidR="002E00FA" w:rsidRDefault="002E00FA">
            <w:pPr>
              <w:pStyle w:val="ConsPlusNormal"/>
            </w:pPr>
          </w:p>
        </w:tc>
        <w:tc>
          <w:tcPr>
            <w:tcW w:w="1587" w:type="dxa"/>
            <w:tcBorders>
              <w:bottom w:val="nil"/>
            </w:tcBorders>
            <w:vAlign w:val="center"/>
          </w:tcPr>
          <w:p w:rsidR="002E00FA" w:rsidRDefault="002E00FA">
            <w:pPr>
              <w:pStyle w:val="ConsPlusNormal"/>
            </w:pPr>
          </w:p>
        </w:tc>
        <w:tc>
          <w:tcPr>
            <w:tcW w:w="850" w:type="dxa"/>
            <w:tcBorders>
              <w:bottom w:val="nil"/>
            </w:tcBorders>
            <w:vAlign w:val="center"/>
          </w:tcPr>
          <w:p w:rsidR="002E00FA" w:rsidRDefault="002E00FA">
            <w:pPr>
              <w:pStyle w:val="ConsPlusNormal"/>
            </w:pP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0</w:t>
            </w:r>
          </w:p>
        </w:tc>
        <w:tc>
          <w:tcPr>
            <w:tcW w:w="1134" w:type="dxa"/>
            <w:tcBorders>
              <w:bottom w:val="nil"/>
            </w:tcBorders>
            <w:vAlign w:val="center"/>
          </w:tcPr>
          <w:p w:rsidR="002E00FA" w:rsidRDefault="002E00FA">
            <w:pPr>
              <w:pStyle w:val="ConsPlusNormal"/>
              <w:jc w:val="center"/>
            </w:pPr>
            <w:r>
              <w:t>не менее 202 000,0</w:t>
            </w:r>
          </w:p>
        </w:tc>
        <w:tc>
          <w:tcPr>
            <w:tcW w:w="1134" w:type="dxa"/>
            <w:tcBorders>
              <w:bottom w:val="nil"/>
            </w:tcBorders>
            <w:vAlign w:val="center"/>
          </w:tcPr>
          <w:p w:rsidR="002E00FA" w:rsidRDefault="002E00FA">
            <w:pPr>
              <w:pStyle w:val="ConsPlusNormal"/>
              <w:jc w:val="center"/>
            </w:pPr>
            <w:r>
              <w:t>не менее 2 000,0</w:t>
            </w:r>
          </w:p>
        </w:tc>
        <w:tc>
          <w:tcPr>
            <w:tcW w:w="1134" w:type="dxa"/>
            <w:tcBorders>
              <w:bottom w:val="nil"/>
            </w:tcBorders>
            <w:vAlign w:val="center"/>
          </w:tcPr>
          <w:p w:rsidR="002E00FA" w:rsidRDefault="002E00FA">
            <w:pPr>
              <w:pStyle w:val="ConsPlusNormal"/>
              <w:jc w:val="center"/>
            </w:pPr>
            <w:r>
              <w:t>не менее 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top w:val="nil"/>
              <w:bottom w:val="nil"/>
            </w:tcBorders>
          </w:tcPr>
          <w:p w:rsidR="002E00FA" w:rsidRDefault="002E00FA">
            <w:pPr>
              <w:pStyle w:val="ConsPlusNormal"/>
              <w:jc w:val="both"/>
            </w:pPr>
            <w:r>
              <w:t>налоговые льготы по налогу на прибыль организаций, подлежащему зачислению в областной бюджет Новосибирской области</w:t>
            </w:r>
          </w:p>
        </w:tc>
        <w:tc>
          <w:tcPr>
            <w:tcW w:w="73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567" w:type="dxa"/>
            <w:tcBorders>
              <w:top w:val="nil"/>
              <w:bottom w:val="nil"/>
            </w:tcBorders>
            <w:vAlign w:val="center"/>
          </w:tcPr>
          <w:p w:rsidR="002E00FA" w:rsidRDefault="002E00FA">
            <w:pPr>
              <w:pStyle w:val="ConsPlusNormal"/>
            </w:pPr>
          </w:p>
        </w:tc>
        <w:tc>
          <w:tcPr>
            <w:tcW w:w="1587" w:type="dxa"/>
            <w:tcBorders>
              <w:top w:val="nil"/>
              <w:bottom w:val="nil"/>
            </w:tcBorders>
            <w:vAlign w:val="center"/>
          </w:tcPr>
          <w:p w:rsidR="002E00FA" w:rsidRDefault="002E00FA">
            <w:pPr>
              <w:pStyle w:val="ConsPlusNormal"/>
            </w:pPr>
          </w:p>
        </w:tc>
        <w:tc>
          <w:tcPr>
            <w:tcW w:w="850" w:type="dxa"/>
            <w:tcBorders>
              <w:top w:val="nil"/>
              <w:bottom w:val="nil"/>
            </w:tcBorders>
            <w:vAlign w:val="center"/>
          </w:tcPr>
          <w:p w:rsidR="002E00FA" w:rsidRDefault="002E00FA">
            <w:pPr>
              <w:pStyle w:val="ConsPlusNormal"/>
            </w:pP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не менее 200 000,0</w:t>
            </w:r>
          </w:p>
        </w:tc>
        <w:tc>
          <w:tcPr>
            <w:tcW w:w="1134" w:type="dxa"/>
            <w:tcBorders>
              <w:top w:val="nil"/>
              <w:bottom w:val="nil"/>
            </w:tcBorders>
            <w:vAlign w:val="center"/>
          </w:tcPr>
          <w:p w:rsidR="002E00FA" w:rsidRDefault="002E00FA">
            <w:pPr>
              <w:pStyle w:val="ConsPlusNormal"/>
              <w:jc w:val="center"/>
            </w:pPr>
            <w:r>
              <w:t>0</w:t>
            </w:r>
          </w:p>
        </w:tc>
        <w:tc>
          <w:tcPr>
            <w:tcW w:w="1134" w:type="dxa"/>
            <w:tcBorders>
              <w:top w:val="nil"/>
              <w:bottom w:val="nil"/>
            </w:tcBorders>
            <w:vAlign w:val="center"/>
          </w:tcPr>
          <w:p w:rsidR="002E00FA" w:rsidRDefault="002E00FA">
            <w:pPr>
              <w:pStyle w:val="ConsPlusNormal"/>
              <w:jc w:val="center"/>
            </w:pPr>
            <w:r>
              <w:t>0</w:t>
            </w:r>
          </w:p>
        </w:tc>
        <w:tc>
          <w:tcPr>
            <w:tcW w:w="1417" w:type="dxa"/>
            <w:vMerge/>
          </w:tcPr>
          <w:p w:rsidR="002E00FA" w:rsidRDefault="002E00FA">
            <w:pPr>
              <w:pStyle w:val="ConsPlusNormal"/>
            </w:pPr>
          </w:p>
        </w:tc>
        <w:tc>
          <w:tcPr>
            <w:tcW w:w="2381" w:type="dxa"/>
            <w:vMerge/>
          </w:tcPr>
          <w:p w:rsidR="002E00FA" w:rsidRDefault="002E00FA">
            <w:pPr>
              <w:pStyle w:val="ConsPlusNormal"/>
            </w:pPr>
          </w:p>
        </w:tc>
      </w:tr>
      <w:tr w:rsidR="002E00FA">
        <w:tblPrEx>
          <w:tblBorders>
            <w:insideH w:val="nil"/>
          </w:tblBorders>
        </w:tblPrEx>
        <w:tc>
          <w:tcPr>
            <w:tcW w:w="1871" w:type="dxa"/>
            <w:vMerge/>
          </w:tcPr>
          <w:p w:rsidR="002E00FA" w:rsidRDefault="002E00FA">
            <w:pPr>
              <w:pStyle w:val="ConsPlusNormal"/>
            </w:pPr>
          </w:p>
        </w:tc>
        <w:tc>
          <w:tcPr>
            <w:tcW w:w="1871" w:type="dxa"/>
            <w:tcBorders>
              <w:top w:val="nil"/>
            </w:tcBorders>
          </w:tcPr>
          <w:p w:rsidR="002E00FA" w:rsidRDefault="002E00FA">
            <w:pPr>
              <w:pStyle w:val="ConsPlusNormal"/>
              <w:jc w:val="both"/>
            </w:pPr>
            <w:r>
              <w:t xml:space="preserve">налоговые льготы по налогу на </w:t>
            </w:r>
            <w:r>
              <w:lastRenderedPageBreak/>
              <w:t>имущество организаций</w:t>
            </w:r>
          </w:p>
        </w:tc>
        <w:tc>
          <w:tcPr>
            <w:tcW w:w="73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567" w:type="dxa"/>
            <w:tcBorders>
              <w:top w:val="nil"/>
            </w:tcBorders>
            <w:vAlign w:val="center"/>
          </w:tcPr>
          <w:p w:rsidR="002E00FA" w:rsidRDefault="002E00FA">
            <w:pPr>
              <w:pStyle w:val="ConsPlusNormal"/>
            </w:pPr>
          </w:p>
        </w:tc>
        <w:tc>
          <w:tcPr>
            <w:tcW w:w="1587" w:type="dxa"/>
            <w:tcBorders>
              <w:top w:val="nil"/>
            </w:tcBorders>
            <w:vAlign w:val="center"/>
          </w:tcPr>
          <w:p w:rsidR="002E00FA" w:rsidRDefault="002E00FA">
            <w:pPr>
              <w:pStyle w:val="ConsPlusNormal"/>
            </w:pPr>
          </w:p>
        </w:tc>
        <w:tc>
          <w:tcPr>
            <w:tcW w:w="850" w:type="dxa"/>
            <w:tcBorders>
              <w:top w:val="nil"/>
            </w:tcBorders>
            <w:vAlign w:val="center"/>
          </w:tcPr>
          <w:p w:rsidR="002E00FA" w:rsidRDefault="002E00FA">
            <w:pPr>
              <w:pStyle w:val="ConsPlusNormal"/>
            </w:pP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134" w:type="dxa"/>
            <w:tcBorders>
              <w:top w:val="nil"/>
            </w:tcBorders>
            <w:vAlign w:val="center"/>
          </w:tcPr>
          <w:p w:rsidR="002E00FA" w:rsidRDefault="002E00FA">
            <w:pPr>
              <w:pStyle w:val="ConsPlusNormal"/>
              <w:jc w:val="center"/>
            </w:pPr>
            <w:r>
              <w:t>не менее 2 000,0</w:t>
            </w:r>
          </w:p>
        </w:tc>
        <w:tc>
          <w:tcPr>
            <w:tcW w:w="1417" w:type="dxa"/>
            <w:vMerge/>
          </w:tcPr>
          <w:p w:rsidR="002E00FA" w:rsidRDefault="002E00FA">
            <w:pPr>
              <w:pStyle w:val="ConsPlusNormal"/>
            </w:pPr>
          </w:p>
        </w:tc>
        <w:tc>
          <w:tcPr>
            <w:tcW w:w="2381" w:type="dxa"/>
            <w:vMerge/>
          </w:tcPr>
          <w:p w:rsidR="002E00FA" w:rsidRDefault="002E00FA">
            <w:pPr>
              <w:pStyle w:val="ConsPlusNormal"/>
            </w:pPr>
          </w:p>
        </w:tc>
      </w:tr>
    </w:tbl>
    <w:p w:rsidR="002E00FA" w:rsidRDefault="002E00FA">
      <w:pPr>
        <w:pStyle w:val="ConsPlusNormal"/>
        <w:sectPr w:rsidR="002E00FA">
          <w:pgSz w:w="16838" w:h="11905" w:orient="landscape"/>
          <w:pgMar w:top="1701" w:right="1134" w:bottom="850" w:left="1134" w:header="0" w:footer="0" w:gutter="0"/>
          <w:cols w:space="720"/>
          <w:titlePg/>
        </w:sectPr>
      </w:pPr>
    </w:p>
    <w:p w:rsidR="002E00FA" w:rsidRDefault="002E00FA">
      <w:pPr>
        <w:pStyle w:val="ConsPlusNormal"/>
        <w:ind w:firstLine="540"/>
        <w:jc w:val="both"/>
      </w:pPr>
    </w:p>
    <w:p w:rsidR="002E00FA" w:rsidRDefault="002E00FA">
      <w:pPr>
        <w:pStyle w:val="ConsPlusNormal"/>
        <w:ind w:firstLine="540"/>
        <w:jc w:val="both"/>
      </w:pPr>
      <w:r>
        <w:t>--------------------------------</w:t>
      </w:r>
    </w:p>
    <w:p w:rsidR="002E00FA" w:rsidRDefault="002E00FA">
      <w:pPr>
        <w:pStyle w:val="ConsPlusNormal"/>
        <w:spacing w:before="220"/>
        <w:ind w:firstLine="540"/>
        <w:jc w:val="both"/>
      </w:pPr>
      <w:bookmarkStart w:id="1" w:name="P2298"/>
      <w:bookmarkEnd w:id="1"/>
      <w:r>
        <w:t>&lt;*&gt; В связи с тем,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 стоимость единицы не планируется.</w:t>
      </w:r>
    </w:p>
    <w:p w:rsidR="002E00FA" w:rsidRDefault="002E00FA">
      <w:pPr>
        <w:pStyle w:val="ConsPlusNormal"/>
        <w:ind w:firstLine="540"/>
        <w:jc w:val="both"/>
      </w:pPr>
    </w:p>
    <w:p w:rsidR="002E00FA" w:rsidRDefault="002E00FA">
      <w:pPr>
        <w:pStyle w:val="ConsPlusNormal"/>
        <w:ind w:firstLine="540"/>
        <w:jc w:val="both"/>
      </w:pPr>
      <w:r>
        <w:t>Применяемые сокращения:</w:t>
      </w:r>
    </w:p>
    <w:p w:rsidR="002E00FA" w:rsidRDefault="002E00FA">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2E00FA" w:rsidRDefault="002E00FA">
      <w:pPr>
        <w:pStyle w:val="ConsPlusNormal"/>
        <w:ind w:firstLine="540"/>
        <w:jc w:val="both"/>
      </w:pPr>
    </w:p>
    <w:p w:rsidR="002E00FA" w:rsidRDefault="002E00FA">
      <w:pPr>
        <w:pStyle w:val="ConsPlusNormal"/>
        <w:ind w:firstLine="540"/>
        <w:jc w:val="both"/>
      </w:pPr>
    </w:p>
    <w:p w:rsidR="002E00FA" w:rsidRDefault="002E00FA">
      <w:pPr>
        <w:pStyle w:val="ConsPlusNormal"/>
        <w:pBdr>
          <w:bottom w:val="single" w:sz="6" w:space="0" w:color="auto"/>
        </w:pBdr>
        <w:spacing w:before="100" w:after="100"/>
        <w:jc w:val="both"/>
        <w:rPr>
          <w:sz w:val="2"/>
          <w:szCs w:val="2"/>
        </w:rPr>
      </w:pPr>
    </w:p>
    <w:p w:rsidR="0041075E" w:rsidRDefault="0041075E">
      <w:bookmarkStart w:id="2" w:name="_GoBack"/>
      <w:bookmarkEnd w:id="2"/>
    </w:p>
    <w:sectPr w:rsidR="004107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FA"/>
    <w:rsid w:val="002E00FA"/>
    <w:rsid w:val="0041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DA4A-EBF9-48D0-80C9-2FF5CC6D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0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00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00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00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00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00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00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00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F204025C12EFB689FA0C56528D73089DBCA3FF0127400784A15BE0BD87DDD84923271BD808A3F72E9CC26D734F15105FSCgAJ" TargetMode="External"/><Relationship Id="rId18" Type="http://schemas.openxmlformats.org/officeDocument/2006/relationships/hyperlink" Target="consultantplus://offline/ref=6FF204025C12EFB689FA0C56528D73089DBCA3FF0125450783A75BE0BD87DDD84923271BCA08FBFB2E9BDC6D715A4341199CDF71EB594A1AAF29D8C2S6g3J" TargetMode="External"/><Relationship Id="rId26" Type="http://schemas.openxmlformats.org/officeDocument/2006/relationships/hyperlink" Target="consultantplus://offline/ref=6FF204025C12EFB689FA125B44E12D0190B5F9F503274F51D9F15DB7E2D7DB8D0963214E894CF1FB2F90883C33041A105AD7D275F2454A1CSBg2J" TargetMode="External"/><Relationship Id="rId3" Type="http://schemas.openxmlformats.org/officeDocument/2006/relationships/webSettings" Target="webSettings.xml"/><Relationship Id="rId21" Type="http://schemas.openxmlformats.org/officeDocument/2006/relationships/hyperlink" Target="consultantplus://offline/ref=6FF204025C12EFB689FA125B44E12D0190B5F9F503274F51D9F15DB7E2D7DB8D0963214E894CF1FB2F90883C33041A105AD7D275F2454A1CSBg2J" TargetMode="External"/><Relationship Id="rId34" Type="http://schemas.openxmlformats.org/officeDocument/2006/relationships/hyperlink" Target="consultantplus://offline/ref=6FF204025C12EFB689FA0C56528D73089DBCA3FF0125450783A75BE0BD87DDD84923271BCA08FBFB2E9BD86A7F5A4341199CDF71EB594A1AAF29D8C2S6g3J" TargetMode="External"/><Relationship Id="rId7" Type="http://schemas.openxmlformats.org/officeDocument/2006/relationships/hyperlink" Target="consultantplus://offline/ref=A47B18BEBDC8C27195AE331973742B1F40CE758DA438ABB7BD8356635E61749D4DE717793AC5842A09D083CF5C020BF4BAC6F973B5A939DBACA6BA85R1g2J" TargetMode="External"/><Relationship Id="rId12" Type="http://schemas.openxmlformats.org/officeDocument/2006/relationships/hyperlink" Target="consultantplus://offline/ref=6FF204025C12EFB689FA0C56528D73089DBCA3FF012745028CA55BE0BD87DDD84923271BD808A3F72E9CC26D734F15105FSCgAJ" TargetMode="External"/><Relationship Id="rId17" Type="http://schemas.openxmlformats.org/officeDocument/2006/relationships/hyperlink" Target="consultantplus://offline/ref=6FF204025C12EFB689FA0C56528D73089DBCA3FF01264D0586A25BE0BD87DDD84923271BCA08FBFB2E9BDC6D715A4341199CDF71EB594A1AAF29D8C2S6g3J" TargetMode="External"/><Relationship Id="rId25" Type="http://schemas.openxmlformats.org/officeDocument/2006/relationships/hyperlink" Target="consultantplus://offline/ref=6FF204025C12EFB689FA0C56528D73089DBCA3FF0126400287A55BE0BD87DDD84923271BCA08FBFB2E9BDC6D7F5A4341199CDF71EB594A1AAF29D8C2S6g3J" TargetMode="External"/><Relationship Id="rId33" Type="http://schemas.openxmlformats.org/officeDocument/2006/relationships/hyperlink" Target="consultantplus://offline/ref=6FF204025C12EFB689FA0C56528D73089DBCA3FF0125450783A75BE0BD87DDD84923271BCA08FBFB2E9BDF65765A4341199CDF71EB594A1AAF29D8C2S6g3J" TargetMode="External"/><Relationship Id="rId2" Type="http://schemas.openxmlformats.org/officeDocument/2006/relationships/settings" Target="settings.xml"/><Relationship Id="rId16" Type="http://schemas.openxmlformats.org/officeDocument/2006/relationships/hyperlink" Target="consultantplus://offline/ref=6FF204025C12EFB689FA0C56528D73089DBCA3FF01264C0F87A45BE0BD87DDD84923271BCA08FBFB2E9BDC6D715A4341199CDF71EB594A1AAF29D8C2S6g3J" TargetMode="External"/><Relationship Id="rId20" Type="http://schemas.openxmlformats.org/officeDocument/2006/relationships/hyperlink" Target="consultantplus://offline/ref=6FF204025C12EFB689FA125B44E12D0190B5F9F503274F51D9F15DB7E2D7DB8D0963214E894CF1FB2F90883C33041A105AD7D275F2454A1CSBg2J" TargetMode="External"/><Relationship Id="rId29" Type="http://schemas.openxmlformats.org/officeDocument/2006/relationships/hyperlink" Target="consultantplus://offline/ref=6FF204025C12EFB689FA0C56528D73089DBCA3FF01264D0586A25BE0BD87DDD84923271BCA08FBFB2E9BDC68755A4341199CDF71EB594A1AAF29D8C2S6g3J" TargetMode="External"/><Relationship Id="rId1" Type="http://schemas.openxmlformats.org/officeDocument/2006/relationships/styles" Target="styles.xml"/><Relationship Id="rId6" Type="http://schemas.openxmlformats.org/officeDocument/2006/relationships/hyperlink" Target="consultantplus://offline/ref=A47B18BEBDC8C27195AE331973742B1F40CE758DA438A7BABD8256635E61749D4DE717793AC5842A09D083CF5C020BF4BAC6F973B5A939DBACA6BA85R1g2J" TargetMode="External"/><Relationship Id="rId11" Type="http://schemas.openxmlformats.org/officeDocument/2006/relationships/hyperlink" Target="consultantplus://offline/ref=6FF204025C12EFB689FA0C56528D73089DBCA3FF0127400780A65BE0BD87DDD84923271BD808A3F72E9CC26D734F15105FSCgAJ" TargetMode="External"/><Relationship Id="rId24" Type="http://schemas.openxmlformats.org/officeDocument/2006/relationships/hyperlink" Target="consultantplus://offline/ref=6FF204025C12EFB689FA0C56528D73089DBCA3FF01264D0586A25BE0BD87DDD84923271BCA08FBFB2E9BDC6E715A4341199CDF71EB594A1AAF29D8C2S6g3J" TargetMode="External"/><Relationship Id="rId32" Type="http://schemas.openxmlformats.org/officeDocument/2006/relationships/hyperlink" Target="consultantplus://offline/ref=6FF204025C12EFB689FA0C56528D73089DBCA3FF0125450783A75BE0BD87DDD84923271BCA08FBFB2E9BDE65725A4341199CDF71EB594A1AAF29D8C2S6g3J" TargetMode="External"/><Relationship Id="rId5" Type="http://schemas.openxmlformats.org/officeDocument/2006/relationships/hyperlink" Target="consultantplus://offline/ref=A47B18BEBDC8C27195AE331973742B1F40CE758DA438A1B8BB8656635E61749D4DE717793AC5842A09D083CF5C020BF4BAC6F973B5A939DBACA6BA85R1g2J" TargetMode="External"/><Relationship Id="rId15" Type="http://schemas.openxmlformats.org/officeDocument/2006/relationships/hyperlink" Target="consultantplus://offline/ref=6FF204025C12EFB689FA0C56528D73089DBCA3FF0126400287A55BE0BD87DDD84923271BCA08FBFB2E9BDC6D715A4341199CDF71EB594A1AAF29D8C2S6g3J" TargetMode="External"/><Relationship Id="rId23" Type="http://schemas.openxmlformats.org/officeDocument/2006/relationships/hyperlink" Target="consultantplus://offline/ref=6FF204025C12EFB689FA0C56528D73089DBCA3FF01264D0586A25BE0BD87DDD84923271BCA08FBFB2E9BDC6F755A4341199CDF71EB594A1AAF29D8C2S6g3J" TargetMode="External"/><Relationship Id="rId28" Type="http://schemas.openxmlformats.org/officeDocument/2006/relationships/hyperlink" Target="consultantplus://offline/ref=6FF204025C12EFB689FA0C56528D73089DBCA3FF01264D0586A25BE0BD87DDD84923271BCA08FBFB2E9BDC68765A4341199CDF71EB594A1AAF29D8C2S6g3J" TargetMode="External"/><Relationship Id="rId36" Type="http://schemas.openxmlformats.org/officeDocument/2006/relationships/theme" Target="theme/theme1.xml"/><Relationship Id="rId10" Type="http://schemas.openxmlformats.org/officeDocument/2006/relationships/hyperlink" Target="consultantplus://offline/ref=6FF204025C12EFB689FA0C56528D73089DBCA3FF012743078DA05BE0BD87DDD84923271BCA08FBFB2E9ED868725A4341199CDF71EB594A1AAF29D8C2S6g3J" TargetMode="External"/><Relationship Id="rId19" Type="http://schemas.openxmlformats.org/officeDocument/2006/relationships/hyperlink" Target="consultantplus://offline/ref=6FF204025C12EFB689FA0C56528D73089DBCA3FF0126400287A55BE0BD87DDD84923271BCA08FBFB2E9BDC6D705A4341199CDF71EB594A1AAF29D8C2S6g3J" TargetMode="External"/><Relationship Id="rId31" Type="http://schemas.openxmlformats.org/officeDocument/2006/relationships/hyperlink" Target="consultantplus://offline/ref=6FF204025C12EFB689FA0C56528D73089DBCA3FF0125450783A75BE0BD87DDD84923271BCA08FBFB2E9BDD6B725A4341199CDF71EB594A1AAF29D8C2S6g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7B18BEBDC8C27195AE331973742B1F40CE758DA43BA2BFB98056635E61749D4DE717793AC5842A09D083CF5C020BF4BAC6F973B5A939DBACA6BA85R1g2J" TargetMode="External"/><Relationship Id="rId14" Type="http://schemas.openxmlformats.org/officeDocument/2006/relationships/hyperlink" Target="consultantplus://offline/ref=6FF204025C12EFB689FA0C56528D73089DBCA3FF0126460081A15BE0BD87DDD84923271BCA08FBFB2E9BDC6D715A4341199CDF71EB594A1AAF29D8C2S6g3J" TargetMode="External"/><Relationship Id="rId22" Type="http://schemas.openxmlformats.org/officeDocument/2006/relationships/hyperlink" Target="consultantplus://offline/ref=6FF204025C12EFB689FA0C56528D73089DBCA3FF01264D0586A25BE0BD87DDD84923271BCA08FBFB2E9BDC6D7F5A4341199CDF71EB594A1AAF29D8C2S6g3J" TargetMode="External"/><Relationship Id="rId27" Type="http://schemas.openxmlformats.org/officeDocument/2006/relationships/hyperlink" Target="consultantplus://offline/ref=6FF204025C12EFB689FA125B44E12D0190B5F9F503274F51D9F15DB7E2D7DB8D0963214E894CF1FB2F90883C33041A105AD7D275F2454A1CSBg2J" TargetMode="External"/><Relationship Id="rId30" Type="http://schemas.openxmlformats.org/officeDocument/2006/relationships/hyperlink" Target="consultantplus://offline/ref=6FF204025C12EFB689FA0C56528D73089DBCA3FF0125450783A75BE0BD87DDD84923271BCA08FBFB2E9BDC6D705A4341199CDF71EB594A1AAF29D8C2S6g3J" TargetMode="External"/><Relationship Id="rId35" Type="http://schemas.openxmlformats.org/officeDocument/2006/relationships/fontTable" Target="fontTable.xml"/><Relationship Id="rId8" Type="http://schemas.openxmlformats.org/officeDocument/2006/relationships/hyperlink" Target="consultantplus://offline/ref=A47B18BEBDC8C27195AE331973742B1F40CE758DA438AABDBC8556635E61749D4DE717793AC5842A09D083CF5C020BF4BAC6F973B5A939DBACA6BA85R1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7994</Words>
  <Characters>45570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2023-04-07T09:32:00Z</dcterms:created>
  <dcterms:modified xsi:type="dcterms:W3CDTF">2023-04-07T09:33:00Z</dcterms:modified>
</cp:coreProperties>
</file>