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20.02.2015 N 68-п</w:t>
              <w:br/>
              <w:t xml:space="preserve">(ред. от 17.04.2023)</w:t>
              <w:br/>
              <w:t xml:space="preserve">"Об утверждении государственной программы Новосибирской области "Стимулирование развития жилищного строительства в Новосибирской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25.04.2023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20 февраля 2015 г. N 68-п</w:t>
      </w:r>
    </w:p>
    <w:p>
      <w:pPr>
        <w:pStyle w:val="2"/>
        <w:jc w:val="center"/>
      </w:pPr>
      <w:r>
        <w:rPr>
          <w:sz w:val="20"/>
        </w:rPr>
      </w:r>
    </w:p>
    <w:p>
      <w:pPr>
        <w:pStyle w:val="2"/>
        <w:jc w:val="center"/>
      </w:pPr>
      <w:r>
        <w:rPr>
          <w:sz w:val="20"/>
        </w:rPr>
        <w:t xml:space="preserve">ОБ УТВЕРЖДЕНИИ ГОСУДАРСТВЕННОЙ ПРОГРАММЫ НОВОСИБИРСКОЙ</w:t>
      </w:r>
    </w:p>
    <w:p>
      <w:pPr>
        <w:pStyle w:val="2"/>
        <w:jc w:val="center"/>
      </w:pPr>
      <w:r>
        <w:rPr>
          <w:sz w:val="20"/>
        </w:rPr>
        <w:t xml:space="preserve">ОБЛАСТИ "СТИМУЛИРОВАНИЕ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25.05.2015 </w:t>
            </w:r>
            <w:hyperlink w:history="0" r:id="rId7"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N 198-п</w:t>
              </w:r>
            </w:hyperlink>
            <w:r>
              <w:rPr>
                <w:sz w:val="20"/>
                <w:color w:val="392c69"/>
              </w:rPr>
              <w:t xml:space="preserve">, от 15.02.2016 </w:t>
            </w:r>
            <w:hyperlink w:history="0" r:id="rId8"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color w:val="392c69"/>
              </w:rPr>
              <w:t xml:space="preserve">, от 15.02.2017 </w:t>
            </w:r>
            <w:hyperlink w:history="0" r:id="rId9"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color w:val="392c69"/>
              </w:rPr>
              <w:t xml:space="preserve">,</w:t>
            </w:r>
          </w:p>
          <w:p>
            <w:pPr>
              <w:pStyle w:val="0"/>
              <w:jc w:val="center"/>
            </w:pPr>
            <w:r>
              <w:rPr>
                <w:sz w:val="20"/>
                <w:color w:val="392c69"/>
              </w:rPr>
              <w:t xml:space="preserve">от 23.10.2017 </w:t>
            </w:r>
            <w:hyperlink w:history="0" r:id="rId10"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color w:val="392c69"/>
              </w:rPr>
              <w:t xml:space="preserve">, от 27.12.2017 </w:t>
            </w:r>
            <w:hyperlink w:history="0" r:id="rId11" w:tooltip="Постановление Правительства Новосибирской области от 27.12.2017 N 474-п &quot;О внесении изменений в постановление Правительства Новосибирской области от 20.02.2015 N 68-п&quot; {КонсультантПлюс}">
              <w:r>
                <w:rPr>
                  <w:sz w:val="20"/>
                  <w:color w:val="0000ff"/>
                </w:rPr>
                <w:t xml:space="preserve">N 474-п</w:t>
              </w:r>
            </w:hyperlink>
            <w:r>
              <w:rPr>
                <w:sz w:val="20"/>
                <w:color w:val="392c69"/>
              </w:rPr>
              <w:t xml:space="preserve">, от 06.07.2018 </w:t>
            </w:r>
            <w:hyperlink w:history="0" r:id="rId1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w:t>
            </w:r>
          </w:p>
          <w:p>
            <w:pPr>
              <w:pStyle w:val="0"/>
              <w:jc w:val="center"/>
            </w:pPr>
            <w:r>
              <w:rPr>
                <w:sz w:val="20"/>
                <w:color w:val="392c69"/>
              </w:rPr>
              <w:t xml:space="preserve">от 19.11.2018 </w:t>
            </w:r>
            <w:hyperlink w:history="0" r:id="rId13"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 от 05.02.2019 </w:t>
            </w:r>
            <w:hyperlink w:history="0" r:id="rId14"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color w:val="392c69"/>
              </w:rPr>
              <w:t xml:space="preserve">, от 19.03.2019 </w:t>
            </w:r>
            <w:hyperlink w:history="0" r:id="rId1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w:t>
            </w:r>
          </w:p>
          <w:p>
            <w:pPr>
              <w:pStyle w:val="0"/>
              <w:jc w:val="center"/>
            </w:pPr>
            <w:r>
              <w:rPr>
                <w:sz w:val="20"/>
                <w:color w:val="392c69"/>
              </w:rPr>
              <w:t xml:space="preserve">от 01.04.2019 </w:t>
            </w:r>
            <w:hyperlink w:history="0" r:id="rId16" w:tooltip="Постановление Правительства Новосибирской области от 01.04.2019 N 121-п &quot;О внесении изменений в постановление Правительства Новосибирской области от 20.02.2015 N 68-п&quot; {КонсультантПлюс}">
              <w:r>
                <w:rPr>
                  <w:sz w:val="20"/>
                  <w:color w:val="0000ff"/>
                </w:rPr>
                <w:t xml:space="preserve">N 121-п</w:t>
              </w:r>
            </w:hyperlink>
            <w:r>
              <w:rPr>
                <w:sz w:val="20"/>
                <w:color w:val="392c69"/>
              </w:rPr>
              <w:t xml:space="preserve">, от 28.10.2019 </w:t>
            </w:r>
            <w:hyperlink w:history="0" r:id="rId17"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color w:val="392c69"/>
              </w:rPr>
              <w:t xml:space="preserve">, от 02.06.2020 </w:t>
            </w:r>
            <w:hyperlink w:history="0" r:id="rId18"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w:t>
            </w:r>
          </w:p>
          <w:p>
            <w:pPr>
              <w:pStyle w:val="0"/>
              <w:jc w:val="center"/>
            </w:pPr>
            <w:r>
              <w:rPr>
                <w:sz w:val="20"/>
                <w:color w:val="392c69"/>
              </w:rPr>
              <w:t xml:space="preserve">от 29.09.2020 </w:t>
            </w:r>
            <w:hyperlink w:history="0" r:id="rId19"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color w:val="392c69"/>
              </w:rPr>
              <w:t xml:space="preserve">, от 10.11.2020 </w:t>
            </w:r>
            <w:hyperlink w:history="0" r:id="rId20"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N 466-п</w:t>
              </w:r>
            </w:hyperlink>
            <w:r>
              <w:rPr>
                <w:sz w:val="20"/>
                <w:color w:val="392c69"/>
              </w:rPr>
              <w:t xml:space="preserve">, от 25.03.2021 </w:t>
            </w:r>
            <w:hyperlink w:history="0" r:id="rId21"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color w:val="392c69"/>
              </w:rPr>
              <w:t xml:space="preserve">,</w:t>
            </w:r>
          </w:p>
          <w:p>
            <w:pPr>
              <w:pStyle w:val="0"/>
              <w:jc w:val="center"/>
            </w:pPr>
            <w:r>
              <w:rPr>
                <w:sz w:val="20"/>
                <w:color w:val="392c69"/>
              </w:rPr>
              <w:t xml:space="preserve">от 20.09.2021 </w:t>
            </w:r>
            <w:hyperlink w:history="0" r:id="rId22"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N 367-п</w:t>
              </w:r>
            </w:hyperlink>
            <w:r>
              <w:rPr>
                <w:sz w:val="20"/>
                <w:color w:val="392c69"/>
              </w:rPr>
              <w:t xml:space="preserve">, от 15.03.2022 </w:t>
            </w:r>
            <w:hyperlink w:history="0" r:id="rId23"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 от 26.04.2022 </w:t>
            </w:r>
            <w:hyperlink w:history="0" r:id="rId24"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color w:val="392c69"/>
              </w:rPr>
              <w:t xml:space="preserve">,</w:t>
            </w:r>
          </w:p>
          <w:p>
            <w:pPr>
              <w:pStyle w:val="0"/>
              <w:jc w:val="center"/>
            </w:pPr>
            <w:r>
              <w:rPr>
                <w:sz w:val="20"/>
                <w:color w:val="392c69"/>
              </w:rPr>
              <w:t xml:space="preserve">от 15.06.2022 </w:t>
            </w:r>
            <w:hyperlink w:history="0" r:id="rId25" w:tooltip="Постановление Правительства Новосибирской области от 15.06.2022 N 266-п &quot;О внесении изменений в постановление Правительства Новосибирской области от 20.02.2015 N 68-п&quot; {КонсультантПлюс}">
              <w:r>
                <w:rPr>
                  <w:sz w:val="20"/>
                  <w:color w:val="0000ff"/>
                </w:rPr>
                <w:t xml:space="preserve">N 266-п</w:t>
              </w:r>
            </w:hyperlink>
            <w:r>
              <w:rPr>
                <w:sz w:val="20"/>
                <w:color w:val="392c69"/>
              </w:rPr>
              <w:t xml:space="preserve">, от 26.07.2022 </w:t>
            </w:r>
            <w:hyperlink w:history="0" r:id="rId26" w:tooltip="Постановление Правительства Новосибирской области от 26.07.2022 N 337-п &quot;О внесении изменения в постановление Правительства Новосибирской области от 20.02.2015 N 68-п&quot; {КонсультантПлюс}">
              <w:r>
                <w:rPr>
                  <w:sz w:val="20"/>
                  <w:color w:val="0000ff"/>
                </w:rPr>
                <w:t xml:space="preserve">N 337-п</w:t>
              </w:r>
            </w:hyperlink>
            <w:r>
              <w:rPr>
                <w:sz w:val="20"/>
                <w:color w:val="392c69"/>
              </w:rPr>
              <w:t xml:space="preserve">, от 18.10.2022 </w:t>
            </w:r>
            <w:hyperlink w:history="0" r:id="rId27" w:tooltip="Постановление Правительства Новосибирской области от 18.10.2022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w:t>
            </w:r>
          </w:p>
          <w:p>
            <w:pPr>
              <w:pStyle w:val="0"/>
              <w:jc w:val="center"/>
            </w:pPr>
            <w:r>
              <w:rPr>
                <w:sz w:val="20"/>
                <w:color w:val="392c69"/>
              </w:rPr>
              <w:t xml:space="preserve">от 29.12.2022 </w:t>
            </w:r>
            <w:hyperlink w:history="0" r:id="rId28"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color w:val="392c69"/>
              </w:rPr>
              <w:t xml:space="preserve">, от 21.03.2023 </w:t>
            </w:r>
            <w:hyperlink w:history="0" r:id="rId29"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N 100-п</w:t>
              </w:r>
            </w:hyperlink>
            <w:r>
              <w:rPr>
                <w:sz w:val="20"/>
                <w:color w:val="392c69"/>
              </w:rPr>
              <w:t xml:space="preserve">, от 17.04.2023 </w:t>
            </w:r>
            <w:hyperlink w:history="0" r:id="rId30" w:tooltip="Постановление Правительства Новосибирской области от 17.04.2023 N 158-п &quot;О внесении изменений в постановление Правительства Новосибирской области от 20.02.2015 N 68-п&quot; {КонсультантПлюс}">
              <w:r>
                <w:rPr>
                  <w:sz w:val="20"/>
                  <w:color w:val="0000ff"/>
                </w:rPr>
                <w:t xml:space="preserve">N 158-п</w:t>
              </w:r>
            </w:hyperlink>
            <w:r>
              <w:rPr>
                <w:sz w:val="20"/>
                <w:color w:val="392c69"/>
              </w:rPr>
              <w:t xml:space="preserve">,</w:t>
            </w:r>
          </w:p>
          <w:p>
            <w:pPr>
              <w:pStyle w:val="0"/>
              <w:jc w:val="center"/>
            </w:pPr>
            <w:r>
              <w:rPr>
                <w:sz w:val="20"/>
                <w:color w:val="392c69"/>
              </w:rPr>
              <w:t xml:space="preserve">с изм., внесенными </w:t>
            </w:r>
            <w:hyperlink w:history="0" r:id="rId31" w:tooltip="Постановление Правительства Новосибирской области от 16.03.2022 N 94-п (ред. от 16.05.2022)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16.03.2022 N 94-п)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32" w:tooltip="Постановление Правительства Новосибирской области от 28.03.2014 N 125-п (ред. от 14.11.2022) &quot;О Порядке принятия решений о разработке государственных программ Новосибирской области, а также формирования и реализации указанных программ&quot; {КонсультантПлюс}">
        <w:r>
          <w:rPr>
            <w:sz w:val="20"/>
            <w:color w:val="0000ff"/>
          </w:rPr>
          <w:t xml:space="preserve">постановлением</w:t>
        </w:r>
      </w:hyperlink>
      <w:r>
        <w:rPr>
          <w:sz w:val="20"/>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pPr>
        <w:pStyle w:val="0"/>
        <w:spacing w:before="200" w:line-rule="auto"/>
        <w:ind w:firstLine="540"/>
        <w:jc w:val="both"/>
      </w:pPr>
      <w:r>
        <w:rPr>
          <w:sz w:val="20"/>
        </w:rPr>
        <w:t xml:space="preserve">1. Утвердить прилагаемую государственную </w:t>
      </w:r>
      <w:hyperlink w:history="0" w:anchor="P45" w:tooltip="ГОСУДАРСТВЕННАЯ ПРОГРАММА">
        <w:r>
          <w:rPr>
            <w:sz w:val="20"/>
            <w:color w:val="0000ff"/>
          </w:rPr>
          <w:t xml:space="preserve">программу</w:t>
        </w:r>
      </w:hyperlink>
      <w:r>
        <w:rPr>
          <w:sz w:val="20"/>
        </w:rPr>
        <w:t xml:space="preserve"> Новосибирской области "Стимулирование развития жилищного строительства в Новосибирской области" (далее - государственная программа).</w:t>
      </w:r>
    </w:p>
    <w:p>
      <w:pPr>
        <w:pStyle w:val="0"/>
        <w:jc w:val="both"/>
      </w:pPr>
      <w:r>
        <w:rPr>
          <w:sz w:val="20"/>
        </w:rPr>
        <w:t xml:space="preserve">(в ред. </w:t>
      </w:r>
      <w:hyperlink w:history="0" r:id="rId3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2. Установить:</w:t>
      </w:r>
    </w:p>
    <w:p>
      <w:pPr>
        <w:pStyle w:val="0"/>
        <w:spacing w:before="200" w:line-rule="auto"/>
        <w:ind w:firstLine="540"/>
        <w:jc w:val="both"/>
      </w:pPr>
      <w:r>
        <w:rPr>
          <w:sz w:val="20"/>
        </w:rPr>
        <w:t xml:space="preserve">1) </w:t>
      </w:r>
      <w:hyperlink w:history="0" w:anchor="P9730" w:tooltip="ПОРЯДОК">
        <w:r>
          <w:rPr>
            <w:sz w:val="20"/>
            <w:color w:val="0000ff"/>
          </w:rPr>
          <w:t xml:space="preserve">Порядок</w:t>
        </w:r>
      </w:hyperlink>
      <w:r>
        <w:rPr>
          <w:sz w:val="20"/>
        </w:rPr>
        <w:t xml:space="preserve"> финансирования мероприятий, предусмотренных государственной программой, согласно приложению N 1 к настоящему постановлению;</w:t>
      </w:r>
    </w:p>
    <w:p>
      <w:pPr>
        <w:pStyle w:val="0"/>
        <w:spacing w:before="200" w:line-rule="auto"/>
        <w:ind w:firstLine="540"/>
        <w:jc w:val="both"/>
      </w:pPr>
      <w:r>
        <w:rPr>
          <w:sz w:val="20"/>
        </w:rPr>
        <w:t xml:space="preserve">2) утратил силу. - </w:t>
      </w:r>
      <w:hyperlink w:history="0" r:id="rId34"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29.09.2020 N 411-п;</w:t>
      </w:r>
    </w:p>
    <w:p>
      <w:pPr>
        <w:pStyle w:val="0"/>
        <w:spacing w:before="200" w:line-rule="auto"/>
        <w:ind w:firstLine="540"/>
        <w:jc w:val="both"/>
      </w:pPr>
      <w:r>
        <w:rPr>
          <w:sz w:val="20"/>
        </w:rPr>
        <w:t xml:space="preserve">3) </w:t>
      </w:r>
      <w:hyperlink w:history="0" w:anchor="P9837" w:tooltip="ПОРЯДОК">
        <w:r>
          <w:rPr>
            <w:sz w:val="20"/>
            <w:color w:val="0000ff"/>
          </w:rPr>
          <w:t xml:space="preserve">Порядок</w:t>
        </w:r>
      </w:hyperlink>
      <w:r>
        <w:rPr>
          <w:sz w:val="20"/>
        </w:rPr>
        <w:t xml:space="preserve"> предоставления субсидий юридическим лицам (за исключением государственных (муниципальных) учреждений) на возмещение недополученных доходов в связи с оформлением отдельными категориями граждан ипотечных жилищных кредитов (займов) согласно приложению N 3 к настоящему постановлению.</w:t>
      </w:r>
    </w:p>
    <w:p>
      <w:pPr>
        <w:pStyle w:val="0"/>
        <w:jc w:val="both"/>
      </w:pPr>
      <w:r>
        <w:rPr>
          <w:sz w:val="20"/>
        </w:rPr>
        <w:t xml:space="preserve">(пп. 3 введен </w:t>
      </w:r>
      <w:hyperlink w:history="0" r:id="rId35" w:tooltip="Постановление Правительства Новосибирской области от 01.04.2019 N 12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01.04.2019 N 121-п)</w:t>
      </w:r>
    </w:p>
    <w:p>
      <w:pPr>
        <w:pStyle w:val="0"/>
        <w:spacing w:before="200" w:line-rule="auto"/>
        <w:ind w:firstLine="540"/>
        <w:jc w:val="both"/>
      </w:pPr>
      <w:r>
        <w:rPr>
          <w:sz w:val="20"/>
        </w:rPr>
        <w:t xml:space="preserve">3. Контроль за исполнением настоящего постановления возложить на заместителя Губернатора Новосибирской области Теленчинова Р.А.</w:t>
      </w:r>
    </w:p>
    <w:p>
      <w:pPr>
        <w:pStyle w:val="0"/>
        <w:jc w:val="both"/>
      </w:pPr>
      <w:r>
        <w:rPr>
          <w:sz w:val="20"/>
        </w:rPr>
        <w:t xml:space="preserve">(в ред. постановлений Правительства Новосибирской области от 06.07.2018 </w:t>
      </w:r>
      <w:hyperlink w:history="0" r:id="rId36"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37"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15.03.2022 </w:t>
      </w:r>
      <w:hyperlink w:history="0" r:id="rId38"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В.Ф.ГОРОДЕЦКИЙ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20.02.2015 N 68-п</w:t>
      </w:r>
    </w:p>
    <w:p>
      <w:pPr>
        <w:pStyle w:val="0"/>
        <w:ind w:firstLine="540"/>
        <w:jc w:val="both"/>
      </w:pPr>
      <w:r>
        <w:rPr>
          <w:sz w:val="20"/>
        </w:rPr>
      </w:r>
    </w:p>
    <w:bookmarkStart w:id="45" w:name="P45"/>
    <w:bookmarkEnd w:id="45"/>
    <w:p>
      <w:pPr>
        <w:pStyle w:val="2"/>
        <w:jc w:val="center"/>
      </w:pPr>
      <w:r>
        <w:rPr>
          <w:sz w:val="20"/>
        </w:rPr>
        <w:t xml:space="preserve">ГОСУДАРСТВЕННАЯ ПРОГРАММА</w:t>
      </w:r>
    </w:p>
    <w:p>
      <w:pPr>
        <w:pStyle w:val="2"/>
        <w:jc w:val="center"/>
      </w:pPr>
      <w:r>
        <w:rPr>
          <w:sz w:val="20"/>
        </w:rPr>
        <w:t xml:space="preserve">НОВОСИБИРСКОЙ ОБЛАСТИ "СТИМУЛИРОВАНИЕ РАЗВИТИЯ</w:t>
      </w:r>
    </w:p>
    <w:p>
      <w:pPr>
        <w:pStyle w:val="2"/>
        <w:jc w:val="center"/>
      </w:pPr>
      <w:r>
        <w:rPr>
          <w:sz w:val="20"/>
        </w:rPr>
        <w:t xml:space="preserve">ЖИЛИЩНОГО 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25.05.2015 </w:t>
            </w:r>
            <w:hyperlink w:history="0" r:id="rId39"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N 198-п</w:t>
              </w:r>
            </w:hyperlink>
            <w:r>
              <w:rPr>
                <w:sz w:val="20"/>
                <w:color w:val="392c69"/>
              </w:rPr>
              <w:t xml:space="preserve">, от 15.02.2016 </w:t>
            </w:r>
            <w:hyperlink w:history="0" r:id="rId40"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color w:val="392c69"/>
              </w:rPr>
              <w:t xml:space="preserve">, от 15.02.2017 </w:t>
            </w:r>
            <w:hyperlink w:history="0" r:id="rId41"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color w:val="392c69"/>
              </w:rPr>
              <w:t xml:space="preserve">,</w:t>
            </w:r>
          </w:p>
          <w:p>
            <w:pPr>
              <w:pStyle w:val="0"/>
              <w:jc w:val="center"/>
            </w:pPr>
            <w:r>
              <w:rPr>
                <w:sz w:val="20"/>
                <w:color w:val="392c69"/>
              </w:rPr>
              <w:t xml:space="preserve">от 23.10.2017 </w:t>
            </w:r>
            <w:hyperlink w:history="0" r:id="rId42"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color w:val="392c69"/>
              </w:rPr>
              <w:t xml:space="preserve">, от 27.12.2017 </w:t>
            </w:r>
            <w:hyperlink w:history="0" r:id="rId43" w:tooltip="Постановление Правительства Новосибирской области от 27.12.2017 N 474-п &quot;О внесении изменений в постановление Правительства Новосибирской области от 20.02.2015 N 68-п&quot; {КонсультантПлюс}">
              <w:r>
                <w:rPr>
                  <w:sz w:val="20"/>
                  <w:color w:val="0000ff"/>
                </w:rPr>
                <w:t xml:space="preserve">N 474-п</w:t>
              </w:r>
            </w:hyperlink>
            <w:r>
              <w:rPr>
                <w:sz w:val="20"/>
                <w:color w:val="392c69"/>
              </w:rPr>
              <w:t xml:space="preserve">, от 06.07.2018 </w:t>
            </w:r>
            <w:hyperlink w:history="0" r:id="rId44"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w:t>
            </w:r>
          </w:p>
          <w:p>
            <w:pPr>
              <w:pStyle w:val="0"/>
              <w:jc w:val="center"/>
            </w:pPr>
            <w:r>
              <w:rPr>
                <w:sz w:val="20"/>
                <w:color w:val="392c69"/>
              </w:rPr>
              <w:t xml:space="preserve">от 19.11.2018 </w:t>
            </w:r>
            <w:hyperlink w:history="0" r:id="rId45"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 от 05.02.2019 </w:t>
            </w:r>
            <w:hyperlink w:history="0" r:id="rId46"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color w:val="392c69"/>
              </w:rPr>
              <w:t xml:space="preserve">, от 19.03.2019 </w:t>
            </w:r>
            <w:hyperlink w:history="0" r:id="rId4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w:t>
            </w:r>
          </w:p>
          <w:p>
            <w:pPr>
              <w:pStyle w:val="0"/>
              <w:jc w:val="center"/>
            </w:pPr>
            <w:r>
              <w:rPr>
                <w:sz w:val="20"/>
                <w:color w:val="392c69"/>
              </w:rPr>
              <w:t xml:space="preserve">от 01.04.2019 </w:t>
            </w:r>
            <w:hyperlink w:history="0" r:id="rId48" w:tooltip="Постановление Правительства Новосибирской области от 01.04.2019 N 121-п &quot;О внесении изменений в постановление Правительства Новосибирской области от 20.02.2015 N 68-п&quot; {КонсультантПлюс}">
              <w:r>
                <w:rPr>
                  <w:sz w:val="20"/>
                  <w:color w:val="0000ff"/>
                </w:rPr>
                <w:t xml:space="preserve">N 121-п</w:t>
              </w:r>
            </w:hyperlink>
            <w:r>
              <w:rPr>
                <w:sz w:val="20"/>
                <w:color w:val="392c69"/>
              </w:rPr>
              <w:t xml:space="preserve">, от 28.10.2019 </w:t>
            </w:r>
            <w:hyperlink w:history="0" r:id="rId49"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color w:val="392c69"/>
              </w:rPr>
              <w:t xml:space="preserve">, от 02.06.2020 </w:t>
            </w:r>
            <w:hyperlink w:history="0" r:id="rId50"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w:t>
            </w:r>
          </w:p>
          <w:p>
            <w:pPr>
              <w:pStyle w:val="0"/>
              <w:jc w:val="center"/>
            </w:pPr>
            <w:r>
              <w:rPr>
                <w:sz w:val="20"/>
                <w:color w:val="392c69"/>
              </w:rPr>
              <w:t xml:space="preserve">от 29.09.2020 </w:t>
            </w:r>
            <w:hyperlink w:history="0" r:id="rId51"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color w:val="392c69"/>
              </w:rPr>
              <w:t xml:space="preserve">, от 10.11.2020 </w:t>
            </w:r>
            <w:hyperlink w:history="0" r:id="rId52"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N 466-п</w:t>
              </w:r>
            </w:hyperlink>
            <w:r>
              <w:rPr>
                <w:sz w:val="20"/>
                <w:color w:val="392c69"/>
              </w:rPr>
              <w:t xml:space="preserve">, от 25.03.2021 </w:t>
            </w:r>
            <w:hyperlink w:history="0" r:id="rId53"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color w:val="392c69"/>
              </w:rPr>
              <w:t xml:space="preserve">,</w:t>
            </w:r>
          </w:p>
          <w:p>
            <w:pPr>
              <w:pStyle w:val="0"/>
              <w:jc w:val="center"/>
            </w:pPr>
            <w:r>
              <w:rPr>
                <w:sz w:val="20"/>
                <w:color w:val="392c69"/>
              </w:rPr>
              <w:t xml:space="preserve">от 15.03.2022 </w:t>
            </w:r>
            <w:hyperlink w:history="0" r:id="rId54"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 от 26.04.2022 </w:t>
            </w:r>
            <w:hyperlink w:history="0" r:id="rId55"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color w:val="392c69"/>
              </w:rPr>
              <w:t xml:space="preserve">, от 15.06.2022 </w:t>
            </w:r>
            <w:hyperlink w:history="0" r:id="rId56" w:tooltip="Постановление Правительства Новосибирской области от 15.06.2022 N 266-п &quot;О внесении изменений в постановление Правительства Новосибирской области от 20.02.2015 N 68-п&quot; {КонсультантПлюс}">
              <w:r>
                <w:rPr>
                  <w:sz w:val="20"/>
                  <w:color w:val="0000ff"/>
                </w:rPr>
                <w:t xml:space="preserve">N 266-п</w:t>
              </w:r>
            </w:hyperlink>
            <w:r>
              <w:rPr>
                <w:sz w:val="20"/>
                <w:color w:val="392c69"/>
              </w:rPr>
              <w:t xml:space="preserve">,</w:t>
            </w:r>
          </w:p>
          <w:p>
            <w:pPr>
              <w:pStyle w:val="0"/>
              <w:jc w:val="center"/>
            </w:pPr>
            <w:r>
              <w:rPr>
                <w:sz w:val="20"/>
                <w:color w:val="392c69"/>
              </w:rPr>
              <w:t xml:space="preserve">от 26.07.2022 </w:t>
            </w:r>
            <w:hyperlink w:history="0" r:id="rId57" w:tooltip="Постановление Правительства Новосибирской области от 26.07.2022 N 337-п &quot;О внесении изменения в постановление Правительства Новосибирской области от 20.02.2015 N 68-п&quot; {КонсультантПлюс}">
              <w:r>
                <w:rPr>
                  <w:sz w:val="20"/>
                  <w:color w:val="0000ff"/>
                </w:rPr>
                <w:t xml:space="preserve">N 337-п</w:t>
              </w:r>
            </w:hyperlink>
            <w:r>
              <w:rPr>
                <w:sz w:val="20"/>
                <w:color w:val="392c69"/>
              </w:rPr>
              <w:t xml:space="preserve">, от 29.12.2022 </w:t>
            </w:r>
            <w:hyperlink w:history="0" r:id="rId58"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color w:val="392c69"/>
              </w:rPr>
              <w:t xml:space="preserve">, от 21.03.2023 </w:t>
            </w:r>
            <w:hyperlink w:history="0" r:id="rId59"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N 100-п</w:t>
              </w:r>
            </w:hyperlink>
            <w:r>
              <w:rPr>
                <w:sz w:val="20"/>
                <w:color w:val="392c69"/>
              </w:rPr>
              <w:t xml:space="preserve">,</w:t>
            </w:r>
          </w:p>
          <w:p>
            <w:pPr>
              <w:pStyle w:val="0"/>
              <w:jc w:val="center"/>
            </w:pPr>
            <w:r>
              <w:rPr>
                <w:sz w:val="20"/>
                <w:color w:val="392c69"/>
              </w:rPr>
              <w:t xml:space="preserve">от 17.04.2023 </w:t>
            </w:r>
            <w:hyperlink w:history="0" r:id="rId60" w:tooltip="Постановление Правительства Новосибирской области от 17.04.2023 N 158-п &quot;О внесении изменений в постановление Правительства Новосибирской области от 20.02.2015 N 68-п&quot; {КонсультантПлюс}">
              <w:r>
                <w:rPr>
                  <w:sz w:val="20"/>
                  <w:color w:val="0000ff"/>
                </w:rPr>
                <w:t xml:space="preserve">N 158-п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ПАСПОРТ</w:t>
      </w:r>
    </w:p>
    <w:p>
      <w:pPr>
        <w:pStyle w:val="2"/>
        <w:jc w:val="center"/>
      </w:pPr>
      <w:r>
        <w:rPr>
          <w:sz w:val="20"/>
        </w:rPr>
        <w:t xml:space="preserve">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928"/>
        <w:gridCol w:w="7143"/>
      </w:tblGrid>
      <w:tr>
        <w:tc>
          <w:tcPr>
            <w:tcW w:w="1928" w:type="dxa"/>
            <w:tcBorders>
              <w:top w:val="single" w:sz="4"/>
              <w:bottom w:val="nil"/>
            </w:tcBorders>
          </w:tcPr>
          <w:p>
            <w:pPr>
              <w:pStyle w:val="0"/>
            </w:pPr>
            <w:r>
              <w:rPr>
                <w:sz w:val="20"/>
              </w:rPr>
              <w:t xml:space="preserve">Наименование государственной программы</w:t>
            </w:r>
          </w:p>
        </w:tc>
        <w:tc>
          <w:tcPr>
            <w:tcW w:w="7143" w:type="dxa"/>
            <w:tcBorders>
              <w:top w:val="single" w:sz="4"/>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c>
          <w:tcPr>
            <w:gridSpan w:val="2"/>
            <w:tcW w:w="9071" w:type="dxa"/>
            <w:tcBorders>
              <w:top w:val="nil"/>
              <w:bottom w:val="single" w:sz="4"/>
            </w:tcBorders>
          </w:tcPr>
          <w:p>
            <w:pPr>
              <w:pStyle w:val="0"/>
              <w:jc w:val="both"/>
            </w:pPr>
            <w:r>
              <w:rPr>
                <w:sz w:val="20"/>
              </w:rPr>
              <w:t xml:space="preserve">(в ред. </w:t>
            </w:r>
            <w:hyperlink w:history="0" r:id="rId6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8" w:type="dxa"/>
            <w:tcBorders>
              <w:top w:val="single" w:sz="4"/>
              <w:bottom w:val="nil"/>
            </w:tcBorders>
          </w:tcPr>
          <w:p>
            <w:pPr>
              <w:pStyle w:val="0"/>
            </w:pPr>
            <w:r>
              <w:rPr>
                <w:sz w:val="20"/>
              </w:rPr>
              <w:t xml:space="preserve">Разработчики</w:t>
            </w:r>
          </w:p>
          <w:p>
            <w:pPr>
              <w:pStyle w:val="0"/>
            </w:pPr>
            <w:r>
              <w:rPr>
                <w:sz w:val="20"/>
              </w:rPr>
              <w:t xml:space="preserve">государственной программы</w:t>
            </w:r>
          </w:p>
        </w:tc>
        <w:tc>
          <w:tcPr>
            <w:tcW w:w="7143" w:type="dxa"/>
            <w:tcBorders>
              <w:top w:val="single" w:sz="4"/>
              <w:bottom w:val="nil"/>
            </w:tcBorders>
          </w:tcPr>
          <w:p>
            <w:pPr>
              <w:pStyle w:val="0"/>
              <w:jc w:val="both"/>
            </w:pPr>
            <w:r>
              <w:rPr>
                <w:sz w:val="20"/>
              </w:rPr>
              <w:t xml:space="preserve">Министерство строительства Новосибирской области (далее - Минстрой НСО),</w:t>
            </w:r>
          </w:p>
          <w:p>
            <w:pPr>
              <w:pStyle w:val="0"/>
              <w:jc w:val="both"/>
            </w:pPr>
            <w:r>
              <w:rPr>
                <w:sz w:val="20"/>
              </w:rPr>
              <w:t xml:space="preserve">рабочая группа, утвержденная приказом министерства строительства и жилищно-коммунального хозяйства Новосибирской области от 17.02.2014 N 22</w:t>
            </w:r>
          </w:p>
        </w:tc>
      </w:tr>
      <w:tr>
        <w:tc>
          <w:tcPr>
            <w:gridSpan w:val="2"/>
            <w:tcW w:w="9071" w:type="dxa"/>
            <w:tcBorders>
              <w:top w:val="nil"/>
              <w:bottom w:val="single" w:sz="4"/>
            </w:tcBorders>
          </w:tcPr>
          <w:p>
            <w:pPr>
              <w:pStyle w:val="0"/>
              <w:jc w:val="both"/>
            </w:pPr>
            <w:r>
              <w:rPr>
                <w:sz w:val="20"/>
              </w:rPr>
              <w:t xml:space="preserve">(в ред. </w:t>
            </w:r>
            <w:hyperlink w:history="0" r:id="rId6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c>
          <w:tcPr>
            <w:tcW w:w="1928" w:type="dxa"/>
            <w:tcBorders>
              <w:top w:val="single" w:sz="4"/>
              <w:bottom w:val="nil"/>
            </w:tcBorders>
          </w:tcPr>
          <w:p>
            <w:pPr>
              <w:pStyle w:val="0"/>
            </w:pPr>
            <w:r>
              <w:rPr>
                <w:sz w:val="20"/>
              </w:rPr>
              <w:t xml:space="preserve">Государственный заказчик (государственный заказчик-координатор) государственной программы</w:t>
            </w:r>
          </w:p>
        </w:tc>
        <w:tc>
          <w:tcPr>
            <w:tcW w:w="7143" w:type="dxa"/>
            <w:tcBorders>
              <w:top w:val="single" w:sz="4"/>
              <w:bottom w:val="nil"/>
            </w:tcBorders>
          </w:tcPr>
          <w:p>
            <w:pPr>
              <w:pStyle w:val="0"/>
              <w:jc w:val="both"/>
            </w:pPr>
            <w:r>
              <w:rPr>
                <w:sz w:val="20"/>
              </w:rPr>
              <w:t xml:space="preserve">Минстрой НСО</w:t>
            </w:r>
          </w:p>
        </w:tc>
      </w:tr>
      <w:tr>
        <w:tc>
          <w:tcPr>
            <w:gridSpan w:val="2"/>
            <w:tcW w:w="9071" w:type="dxa"/>
            <w:tcBorders>
              <w:top w:val="nil"/>
              <w:bottom w:val="single" w:sz="4"/>
            </w:tcBorders>
          </w:tcPr>
          <w:p>
            <w:pPr>
              <w:pStyle w:val="0"/>
              <w:jc w:val="both"/>
            </w:pPr>
            <w:r>
              <w:rPr>
                <w:sz w:val="20"/>
              </w:rPr>
              <w:t xml:space="preserve">(в ред. </w:t>
            </w:r>
            <w:hyperlink w:history="0" r:id="rId6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c>
          <w:tcPr>
            <w:tcW w:w="1928" w:type="dxa"/>
            <w:tcBorders>
              <w:top w:val="single" w:sz="4"/>
              <w:bottom w:val="nil"/>
            </w:tcBorders>
          </w:tcPr>
          <w:p>
            <w:pPr>
              <w:pStyle w:val="0"/>
            </w:pPr>
            <w:r>
              <w:rPr>
                <w:sz w:val="20"/>
              </w:rPr>
              <w:t xml:space="preserve">Руководитель государственной программы</w:t>
            </w:r>
          </w:p>
        </w:tc>
        <w:tc>
          <w:tcPr>
            <w:tcW w:w="7143" w:type="dxa"/>
            <w:tcBorders>
              <w:top w:val="single" w:sz="4"/>
              <w:bottom w:val="nil"/>
            </w:tcBorders>
          </w:tcPr>
          <w:p>
            <w:pPr>
              <w:pStyle w:val="0"/>
              <w:jc w:val="both"/>
            </w:pPr>
            <w:r>
              <w:rPr>
                <w:sz w:val="20"/>
              </w:rPr>
              <w:t xml:space="preserve">Министр строительства Новосибирской области - Колмаков А.В.</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06.07.2018 </w:t>
            </w:r>
            <w:hyperlink w:history="0" r:id="rId64"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65"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15.03.2022 </w:t>
            </w:r>
            <w:hyperlink w:history="0" r:id="rId66"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 от 29.12.2022 </w:t>
            </w:r>
            <w:hyperlink w:history="0" r:id="rId67"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r>
        <w:tc>
          <w:tcPr>
            <w:tcW w:w="1928" w:type="dxa"/>
            <w:tcBorders>
              <w:top w:val="single" w:sz="4"/>
              <w:bottom w:val="nil"/>
            </w:tcBorders>
          </w:tcPr>
          <w:p>
            <w:pPr>
              <w:pStyle w:val="0"/>
            </w:pPr>
            <w:r>
              <w:rPr>
                <w:sz w:val="20"/>
              </w:rPr>
              <w:t xml:space="preserve">Исполнители подпрограмм государственной программы, мероприятий государственной программы</w:t>
            </w:r>
          </w:p>
        </w:tc>
        <w:tc>
          <w:tcPr>
            <w:tcW w:w="7143" w:type="dxa"/>
            <w:tcBorders>
              <w:top w:val="single" w:sz="4"/>
              <w:bottom w:val="nil"/>
            </w:tcBorders>
          </w:tcPr>
          <w:p>
            <w:pPr>
              <w:pStyle w:val="0"/>
              <w:jc w:val="both"/>
            </w:pPr>
            <w:r>
              <w:rPr>
                <w:sz w:val="20"/>
              </w:rPr>
              <w:t xml:space="preserve">Минстрой НСО, акционерное общество "Новосибирское областное агентство ипотечного кредитования" (далее - АО "НОАИК") в соответствии с официально подтвержденными намерениями об участии в реализации мероприятий государственной программы, органы местного самоуправления муниципальных образований Новосибирской области (по согласованию), акционерное общество "Агентство развития жилищного строительства Новосибирской области" (далее - АО "АРЖС НСО"), министерство образования Новосибирской области, министерство транспорта и дорожного хозяйства Новосибирской области, министерство жилищно-коммунального хозяйства и энергетики Новосибирской области</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19.11.2018 </w:t>
            </w:r>
            <w:hyperlink w:history="0" r:id="rId68"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29.09.2020 </w:t>
            </w:r>
            <w:hyperlink w:history="0" r:id="rId69"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rPr>
              <w:t xml:space="preserve">, от 25.03.2021 </w:t>
            </w:r>
            <w:hyperlink w:history="0" r:id="rId70"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w:t>
            </w:r>
          </w:p>
        </w:tc>
      </w:tr>
      <w:tr>
        <w:tc>
          <w:tcPr>
            <w:tcW w:w="1928" w:type="dxa"/>
            <w:tcBorders>
              <w:top w:val="single" w:sz="4"/>
              <w:bottom w:val="nil"/>
            </w:tcBorders>
          </w:tcPr>
          <w:p>
            <w:pPr>
              <w:pStyle w:val="0"/>
            </w:pPr>
            <w:r>
              <w:rPr>
                <w:sz w:val="20"/>
              </w:rPr>
              <w:t xml:space="preserve">Цели и задачи государственной программы</w:t>
            </w:r>
          </w:p>
        </w:tc>
        <w:tc>
          <w:tcPr>
            <w:tcW w:w="7143" w:type="dxa"/>
            <w:tcBorders>
              <w:top w:val="single" w:sz="4"/>
              <w:bottom w:val="nil"/>
            </w:tcBorders>
          </w:tcPr>
          <w:p>
            <w:pPr>
              <w:pStyle w:val="0"/>
              <w:jc w:val="both"/>
            </w:pPr>
            <w:r>
              <w:rPr>
                <w:sz w:val="20"/>
              </w:rPr>
              <w:t xml:space="preserve">Цель государственной программы - стимулирование развития жилищного строительства, формирование рынка доступного и комфортного жилья на территории Новосибирской области.</w:t>
            </w:r>
          </w:p>
          <w:p>
            <w:pPr>
              <w:pStyle w:val="0"/>
              <w:jc w:val="both"/>
            </w:pPr>
            <w:r>
              <w:rPr>
                <w:sz w:val="20"/>
              </w:rPr>
              <w:t xml:space="preserve">Задачи государственной программы:</w:t>
            </w:r>
          </w:p>
          <w:p>
            <w:pPr>
              <w:pStyle w:val="0"/>
              <w:jc w:val="both"/>
            </w:pPr>
            <w:r>
              <w:rPr>
                <w:sz w:val="20"/>
              </w:rPr>
              <w:t xml:space="preserve">1. Создание условий для осуществления градостроительной деятельности на территории Новосибирской области.</w:t>
            </w:r>
          </w:p>
          <w:p>
            <w:pPr>
              <w:pStyle w:val="0"/>
              <w:jc w:val="both"/>
            </w:pPr>
            <w:r>
              <w:rPr>
                <w:sz w:val="20"/>
              </w:rPr>
              <w:t xml:space="preserve">2. Содействие эффективному использованию земельных участков под жилищное строительство.</w:t>
            </w:r>
          </w:p>
          <w:p>
            <w:pPr>
              <w:pStyle w:val="0"/>
              <w:jc w:val="both"/>
            </w:pPr>
            <w:r>
              <w:rPr>
                <w:sz w:val="20"/>
              </w:rPr>
              <w:t xml:space="preserve">3. Улучшение жилищных условий различных категорий граждан и создание условий для развития ипотечного кредитования</w:t>
            </w:r>
          </w:p>
        </w:tc>
      </w:tr>
      <w:tr>
        <w:tc>
          <w:tcPr>
            <w:gridSpan w:val="2"/>
            <w:tcW w:w="9071" w:type="dxa"/>
            <w:tcBorders>
              <w:top w:val="nil"/>
              <w:bottom w:val="single" w:sz="4"/>
            </w:tcBorders>
          </w:tcPr>
          <w:p>
            <w:pPr>
              <w:pStyle w:val="0"/>
              <w:jc w:val="both"/>
            </w:pPr>
            <w:r>
              <w:rPr>
                <w:sz w:val="20"/>
              </w:rPr>
              <w:t xml:space="preserve">(в ред. </w:t>
            </w:r>
            <w:hyperlink w:history="0" r:id="rId71"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tc>
      </w:tr>
      <w:tr>
        <w:tc>
          <w:tcPr>
            <w:tcW w:w="1928" w:type="dxa"/>
            <w:tcBorders>
              <w:top w:val="single" w:sz="4"/>
              <w:bottom w:val="nil"/>
            </w:tcBorders>
          </w:tcPr>
          <w:p>
            <w:pPr>
              <w:pStyle w:val="0"/>
            </w:pPr>
            <w:r>
              <w:rPr>
                <w:sz w:val="20"/>
              </w:rPr>
              <w:t xml:space="preserve">Перечень подпрограмм государственной программы</w:t>
            </w:r>
          </w:p>
        </w:tc>
        <w:tc>
          <w:tcPr>
            <w:tcW w:w="7143" w:type="dxa"/>
            <w:tcBorders>
              <w:top w:val="single" w:sz="4"/>
              <w:bottom w:val="nil"/>
            </w:tcBorders>
          </w:tcPr>
          <w:p>
            <w:pPr>
              <w:pStyle w:val="0"/>
              <w:jc w:val="both"/>
            </w:pPr>
            <w:hyperlink w:history="0" w:anchor="P5438" w:tooltip="Подпрограмма">
              <w:r>
                <w:rPr>
                  <w:sz w:val="20"/>
                  <w:color w:val="0000ff"/>
                </w:rPr>
                <w:t xml:space="preserve">Подпрограмма</w:t>
              </w:r>
            </w:hyperlink>
            <w:r>
              <w:rPr>
                <w:sz w:val="20"/>
              </w:rPr>
              <w:t xml:space="preserve"> "Градостроительная подготовка территорий Новосибирской области" государственной программы.</w:t>
            </w:r>
          </w:p>
          <w:p>
            <w:pPr>
              <w:pStyle w:val="0"/>
              <w:jc w:val="both"/>
            </w:pPr>
            <w:hyperlink w:history="0" w:anchor="P5667" w:tooltip="Подпрограмма">
              <w:r>
                <w:rPr>
                  <w:sz w:val="20"/>
                  <w:color w:val="0000ff"/>
                </w:rPr>
                <w:t xml:space="preserve">Подпрограмма</w:t>
              </w:r>
            </w:hyperlink>
            <w:r>
              <w:rPr>
                <w:sz w:val="20"/>
              </w:rPr>
              <w:t xml:space="preserve"> "Фонд пространственных данных Новосибирской области" государственной программы.</w:t>
            </w:r>
          </w:p>
          <w:p>
            <w:pPr>
              <w:pStyle w:val="0"/>
              <w:jc w:val="both"/>
            </w:pPr>
            <w:hyperlink w:history="0" w:anchor="P5822" w:tooltip="Подпрограмма">
              <w:r>
                <w:rPr>
                  <w:sz w:val="20"/>
                  <w:color w:val="0000ff"/>
                </w:rPr>
                <w:t xml:space="preserve">Подпрограмма</w:t>
              </w:r>
            </w:hyperlink>
            <w:r>
              <w:rPr>
                <w:sz w:val="20"/>
              </w:rPr>
              <w:t xml:space="preserve"> "Градостроительная подготовка территорий Новосибирской области и фонд пространственных данных Новосибирской области" государственной программы.</w:t>
            </w:r>
          </w:p>
          <w:p>
            <w:pPr>
              <w:pStyle w:val="0"/>
              <w:jc w:val="both"/>
            </w:pPr>
            <w:hyperlink w:history="0" w:anchor="P5959" w:tooltip="Подпрограмма">
              <w:r>
                <w:rPr>
                  <w:sz w:val="20"/>
                  <w:color w:val="0000ff"/>
                </w:rPr>
                <w:t xml:space="preserve">Подпрограмма</w:t>
              </w:r>
            </w:hyperlink>
            <w:r>
              <w:rPr>
                <w:sz w:val="20"/>
              </w:rPr>
              <w:t xml:space="preserve"> "Инженерное обустройство площадок комплексной застройки Новосибирской области" государственной программы.</w:t>
            </w:r>
          </w:p>
          <w:p>
            <w:pPr>
              <w:pStyle w:val="0"/>
              <w:jc w:val="both"/>
            </w:pPr>
            <w:hyperlink w:history="0" w:anchor="P6143" w:tooltip="Подпрограмма">
              <w:r>
                <w:rPr>
                  <w:sz w:val="20"/>
                  <w:color w:val="0000ff"/>
                </w:rPr>
                <w:t xml:space="preserve">Подпрограмма</w:t>
              </w:r>
            </w:hyperlink>
            <w:r>
              <w:rPr>
                <w:sz w:val="20"/>
              </w:rPr>
              <w:t xml:space="preserve"> "Земельные ресурсы и инфраструктура" государственной программы.</w:t>
            </w:r>
          </w:p>
          <w:p>
            <w:pPr>
              <w:pStyle w:val="0"/>
              <w:jc w:val="both"/>
            </w:pPr>
            <w:hyperlink w:history="0" w:anchor="P6315" w:tooltip="Подпрограмма">
              <w:r>
                <w:rPr>
                  <w:sz w:val="20"/>
                  <w:color w:val="0000ff"/>
                </w:rPr>
                <w:t xml:space="preserve">Подпрограмма</w:t>
              </w:r>
            </w:hyperlink>
            <w:r>
              <w:rPr>
                <w:sz w:val="20"/>
              </w:rPr>
              <w:t xml:space="preserve"> "Государственная поддержка при завершении строительства "проблемных" жилых домов" государственной программы.</w:t>
            </w:r>
          </w:p>
          <w:p>
            <w:pPr>
              <w:pStyle w:val="0"/>
              <w:jc w:val="both"/>
            </w:pPr>
            <w:hyperlink w:history="0" w:anchor="P6436" w:tooltip="Подпрограмма">
              <w:r>
                <w:rPr>
                  <w:sz w:val="20"/>
                  <w:color w:val="0000ff"/>
                </w:rPr>
                <w:t xml:space="preserve">Подпрограмма</w:t>
              </w:r>
            </w:hyperlink>
            <w:r>
              <w:rPr>
                <w:sz w:val="20"/>
              </w:rPr>
              <w:t xml:space="preserve"> "Государственная поддержка граждан при приобретении (строительстве) жилья и стимулирование развития ипотечного кредитования" государственной программы.</w:t>
            </w:r>
          </w:p>
          <w:p>
            <w:pPr>
              <w:pStyle w:val="0"/>
              <w:jc w:val="both"/>
            </w:pPr>
            <w:hyperlink w:history="0" w:anchor="P6600" w:tooltip="Подпрограмма">
              <w:r>
                <w:rPr>
                  <w:sz w:val="20"/>
                  <w:color w:val="0000ff"/>
                </w:rPr>
                <w:t xml:space="preserve">Подпрограмма</w:t>
              </w:r>
            </w:hyperlink>
            <w:r>
              <w:rPr>
                <w:sz w:val="20"/>
              </w:rPr>
              <w:t xml:space="preserve">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w:t>
            </w:r>
          </w:p>
          <w:p>
            <w:pPr>
              <w:pStyle w:val="0"/>
              <w:jc w:val="both"/>
            </w:pPr>
            <w:hyperlink w:history="0" w:anchor="P6695" w:tooltip="Подпрограмма">
              <w:r>
                <w:rPr>
                  <w:sz w:val="20"/>
                  <w:color w:val="0000ff"/>
                </w:rPr>
                <w:t xml:space="preserve">Подпрограмма</w:t>
              </w:r>
            </w:hyperlink>
            <w:r>
              <w:rPr>
                <w:sz w:val="20"/>
              </w:rPr>
              <w:t xml:space="preserve">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w:t>
            </w:r>
          </w:p>
          <w:p>
            <w:pPr>
              <w:pStyle w:val="0"/>
              <w:jc w:val="both"/>
            </w:pPr>
            <w:hyperlink w:history="0" w:anchor="P6812" w:tooltip="ПОДПРОГРАММА">
              <w:r>
                <w:rPr>
                  <w:sz w:val="20"/>
                  <w:color w:val="0000ff"/>
                </w:rPr>
                <w:t xml:space="preserve">Подпрограмма</w:t>
              </w:r>
            </w:hyperlink>
            <w:r>
              <w:rPr>
                <w:sz w:val="20"/>
              </w:rPr>
              <w:t xml:space="preserve"> "Государственная поддержка муниципальных образований Новосибирской области при строительстве специализированного жилищного фонда" государственной программы.</w:t>
            </w:r>
          </w:p>
          <w:p>
            <w:pPr>
              <w:pStyle w:val="0"/>
              <w:jc w:val="both"/>
            </w:pPr>
            <w:hyperlink w:history="0" w:anchor="P6901" w:tooltip="Подпрограмма">
              <w:r>
                <w:rPr>
                  <w:sz w:val="20"/>
                  <w:color w:val="0000ff"/>
                </w:rPr>
                <w:t xml:space="preserve">Подпрограмма</w:t>
              </w:r>
            </w:hyperlink>
            <w:r>
              <w:rPr>
                <w:sz w:val="20"/>
              </w:rPr>
              <w:t xml:space="preserve"> "Государственная поддержка отдельных категорий работников бюджетной сферы при ипотечном жилищном кредитовании" государственной программы.</w:t>
            </w:r>
          </w:p>
          <w:p>
            <w:pPr>
              <w:pStyle w:val="0"/>
              <w:jc w:val="both"/>
            </w:pPr>
            <w:hyperlink w:history="0" w:anchor="P7008" w:tooltip="Подпрограмма">
              <w:r>
                <w:rPr>
                  <w:sz w:val="20"/>
                  <w:color w:val="0000ff"/>
                </w:rPr>
                <w:t xml:space="preserve">Подпрограмма</w:t>
              </w:r>
            </w:hyperlink>
            <w:r>
              <w:rPr>
                <w:sz w:val="20"/>
              </w:rPr>
              <w:t xml:space="preserve"> "Государственная поддержка отдельных категорий граждан, являющихся нанимателями по договорам коммерческого найма жилых помещений" государственной программы.</w:t>
            </w:r>
          </w:p>
          <w:p>
            <w:pPr>
              <w:pStyle w:val="0"/>
              <w:jc w:val="both"/>
            </w:pPr>
            <w:hyperlink w:history="0" w:anchor="P7109" w:tooltip="Подпрограмма">
              <w:r>
                <w:rPr>
                  <w:sz w:val="20"/>
                  <w:color w:val="0000ff"/>
                </w:rPr>
                <w:t xml:space="preserve">Подпрограмма</w:t>
              </w:r>
            </w:hyperlink>
            <w:r>
              <w:rPr>
                <w:sz w:val="20"/>
              </w:rPr>
              <w:t xml:space="preserve"> "Развитие рынка наемного жилья" государственной программы</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15.02.2017 </w:t>
            </w:r>
            <w:hyperlink w:history="0" r:id="rId72"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7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02.06.2020 </w:t>
            </w:r>
            <w:hyperlink w:history="0" r:id="rId74"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25.03.2021 </w:t>
            </w:r>
            <w:hyperlink w:history="0" r:id="rId75"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w:t>
            </w:r>
          </w:p>
        </w:tc>
      </w:tr>
      <w:tr>
        <w:tc>
          <w:tcPr>
            <w:tcW w:w="1928" w:type="dxa"/>
            <w:tcBorders>
              <w:top w:val="single" w:sz="4"/>
              <w:bottom w:val="nil"/>
            </w:tcBorders>
          </w:tcPr>
          <w:p>
            <w:pPr>
              <w:pStyle w:val="0"/>
            </w:pPr>
            <w:r>
              <w:rPr>
                <w:sz w:val="20"/>
              </w:rPr>
              <w:t xml:space="preserve">Сроки (этапы) реализации государственной программы</w:t>
            </w:r>
          </w:p>
        </w:tc>
        <w:tc>
          <w:tcPr>
            <w:tcW w:w="7143" w:type="dxa"/>
            <w:tcBorders>
              <w:top w:val="single" w:sz="4"/>
              <w:bottom w:val="nil"/>
            </w:tcBorders>
          </w:tcPr>
          <w:p>
            <w:pPr>
              <w:pStyle w:val="0"/>
              <w:jc w:val="both"/>
            </w:pPr>
            <w:r>
              <w:rPr>
                <w:sz w:val="20"/>
              </w:rPr>
              <w:t xml:space="preserve">Период реализации государственной программы - 2015 - 2025 годы.</w:t>
            </w:r>
          </w:p>
          <w:p>
            <w:pPr>
              <w:pStyle w:val="0"/>
              <w:jc w:val="both"/>
            </w:pPr>
            <w:r>
              <w:rPr>
                <w:sz w:val="20"/>
              </w:rPr>
              <w:t xml:space="preserve">Этапы реализации государственной программы не выделяются</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19.03.2019 </w:t>
            </w:r>
            <w:hyperlink w:history="0" r:id="rId7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77"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29.12.2022 </w:t>
            </w:r>
            <w:hyperlink w:history="0" r:id="rId78"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r>
        <w:tc>
          <w:tcPr>
            <w:tcW w:w="1928" w:type="dxa"/>
            <w:tcBorders>
              <w:top w:val="single" w:sz="4"/>
              <w:bottom w:val="nil"/>
            </w:tcBorders>
          </w:tcPr>
          <w:p>
            <w:pPr>
              <w:pStyle w:val="0"/>
            </w:pPr>
            <w:r>
              <w:rPr>
                <w:sz w:val="20"/>
              </w:rPr>
              <w:t xml:space="preserve">Объемы финансирования государственной программы</w:t>
            </w:r>
          </w:p>
        </w:tc>
        <w:tc>
          <w:tcPr>
            <w:tcW w:w="7143" w:type="dxa"/>
            <w:tcBorders>
              <w:top w:val="single" w:sz="4"/>
              <w:bottom w:val="nil"/>
            </w:tcBorders>
          </w:tcPr>
          <w:p>
            <w:pPr>
              <w:pStyle w:val="0"/>
              <w:jc w:val="both"/>
            </w:pPr>
            <w:r>
              <w:rPr>
                <w:sz w:val="20"/>
              </w:rPr>
              <w:t xml:space="preserve">Общий объем расходов на финансирование мероприятий государственной программы за планируемый период составит 23 350 244,5 тыс. руб.,</w:t>
            </w:r>
          </w:p>
          <w:p>
            <w:pPr>
              <w:pStyle w:val="0"/>
              <w:jc w:val="both"/>
            </w:pPr>
            <w:r>
              <w:rPr>
                <w:sz w:val="20"/>
              </w:rPr>
              <w:t xml:space="preserve">в том числе по годам:</w:t>
            </w:r>
          </w:p>
          <w:p>
            <w:pPr>
              <w:pStyle w:val="0"/>
              <w:jc w:val="both"/>
            </w:pPr>
            <w:r>
              <w:rPr>
                <w:sz w:val="20"/>
              </w:rPr>
              <w:t xml:space="preserve">2015 год - 3 135 534,3 тыс. руб.;</w:t>
            </w:r>
          </w:p>
          <w:p>
            <w:pPr>
              <w:pStyle w:val="0"/>
              <w:jc w:val="both"/>
            </w:pPr>
            <w:r>
              <w:rPr>
                <w:sz w:val="20"/>
              </w:rPr>
              <w:t xml:space="preserve">2016 год - 1 014 990,4 тыс. руб.;</w:t>
            </w:r>
          </w:p>
          <w:p>
            <w:pPr>
              <w:pStyle w:val="0"/>
              <w:jc w:val="both"/>
            </w:pPr>
            <w:r>
              <w:rPr>
                <w:sz w:val="20"/>
              </w:rPr>
              <w:t xml:space="preserve">2017 год - 354 734,2 тыс. руб.;</w:t>
            </w:r>
          </w:p>
          <w:p>
            <w:pPr>
              <w:pStyle w:val="0"/>
              <w:jc w:val="both"/>
            </w:pPr>
            <w:r>
              <w:rPr>
                <w:sz w:val="20"/>
              </w:rPr>
              <w:t xml:space="preserve">2018 год - 298 776,7 тыс. руб.;</w:t>
            </w:r>
          </w:p>
          <w:p>
            <w:pPr>
              <w:pStyle w:val="0"/>
              <w:jc w:val="both"/>
            </w:pPr>
            <w:r>
              <w:rPr>
                <w:sz w:val="20"/>
              </w:rPr>
              <w:t xml:space="preserve">2019 год - 590 558,7 тыс. руб.;</w:t>
            </w:r>
          </w:p>
          <w:p>
            <w:pPr>
              <w:pStyle w:val="0"/>
              <w:jc w:val="both"/>
            </w:pPr>
            <w:r>
              <w:rPr>
                <w:sz w:val="20"/>
              </w:rPr>
              <w:t xml:space="preserve">2020 год - 189 046,2 тыс. руб.;</w:t>
            </w:r>
          </w:p>
          <w:p>
            <w:pPr>
              <w:pStyle w:val="0"/>
              <w:jc w:val="both"/>
            </w:pPr>
            <w:r>
              <w:rPr>
                <w:sz w:val="20"/>
              </w:rPr>
              <w:t xml:space="preserve">2021 год - 386 466,1 тыс. руб.;</w:t>
            </w:r>
          </w:p>
          <w:p>
            <w:pPr>
              <w:pStyle w:val="0"/>
              <w:jc w:val="both"/>
            </w:pPr>
            <w:r>
              <w:rPr>
                <w:sz w:val="20"/>
              </w:rPr>
              <w:t xml:space="preserve">2022 год - 3 916 836,6 тыс. руб.;</w:t>
            </w:r>
          </w:p>
          <w:p>
            <w:pPr>
              <w:pStyle w:val="0"/>
              <w:jc w:val="both"/>
            </w:pPr>
            <w:r>
              <w:rPr>
                <w:sz w:val="20"/>
              </w:rPr>
              <w:t xml:space="preserve">2023 год - 5 206 096,5 тыс. руб.;</w:t>
            </w:r>
          </w:p>
          <w:p>
            <w:pPr>
              <w:pStyle w:val="0"/>
              <w:jc w:val="both"/>
            </w:pPr>
            <w:r>
              <w:rPr>
                <w:sz w:val="20"/>
              </w:rPr>
              <w:t xml:space="preserve">2024 год - 6 941 783,4 тыс. руб.;</w:t>
            </w:r>
          </w:p>
          <w:p>
            <w:pPr>
              <w:pStyle w:val="0"/>
              <w:jc w:val="both"/>
            </w:pPr>
            <w:r>
              <w:rPr>
                <w:sz w:val="20"/>
              </w:rPr>
              <w:t xml:space="preserve">2025 год - 1 315 421,5 тыс. руб.</w:t>
            </w:r>
          </w:p>
          <w:p>
            <w:pPr>
              <w:pStyle w:val="0"/>
              <w:jc w:val="both"/>
            </w:pPr>
            <w:r>
              <w:rPr>
                <w:sz w:val="20"/>
              </w:rP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государственной программы приведена в </w:t>
            </w:r>
            <w:hyperlink w:history="0" w:anchor="P4516" w:tooltip="СВОДНЫЕ ФИНАНСОВЫЕ ЗАТРАТЫ И НАЛОГОВЫЕ РАСХОДЫ">
              <w:r>
                <w:rPr>
                  <w:sz w:val="20"/>
                  <w:color w:val="0000ff"/>
                </w:rPr>
                <w:t xml:space="preserve">приложении</w:t>
              </w:r>
            </w:hyperlink>
            <w:r>
              <w:rPr>
                <w:sz w:val="20"/>
              </w:rPr>
              <w:t xml:space="preserve"> к государственной программе "Сводные финансовые затраты и налоговые расходы"</w:t>
            </w:r>
          </w:p>
        </w:tc>
      </w:tr>
      <w:tr>
        <w:tc>
          <w:tcPr>
            <w:gridSpan w:val="2"/>
            <w:tcW w:w="9071" w:type="dxa"/>
            <w:tcBorders>
              <w:top w:val="nil"/>
              <w:bottom w:val="single" w:sz="4"/>
            </w:tcBorders>
          </w:tcPr>
          <w:p>
            <w:pPr>
              <w:pStyle w:val="0"/>
              <w:jc w:val="both"/>
            </w:pPr>
            <w:r>
              <w:rPr>
                <w:sz w:val="20"/>
              </w:rPr>
              <w:t xml:space="preserve">(в ред. </w:t>
            </w:r>
            <w:hyperlink w:history="0" r:id="rId79"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tc>
      </w:tr>
      <w:tr>
        <w:tc>
          <w:tcPr>
            <w:tcW w:w="1928" w:type="dxa"/>
            <w:tcBorders>
              <w:top w:val="single" w:sz="4"/>
              <w:bottom w:val="nil"/>
            </w:tcBorders>
          </w:tcPr>
          <w:p>
            <w:pPr>
              <w:pStyle w:val="0"/>
              <w:jc w:val="both"/>
            </w:pPr>
            <w:r>
              <w:rPr>
                <w:sz w:val="20"/>
              </w:rPr>
              <w:t xml:space="preserve">Объемы налоговых расходов в рамках государственной программы</w:t>
            </w:r>
          </w:p>
        </w:tc>
        <w:tc>
          <w:tcPr>
            <w:tcW w:w="7143" w:type="dxa"/>
            <w:tcBorders>
              <w:top w:val="single" w:sz="4"/>
              <w:bottom w:val="nil"/>
            </w:tcBorders>
          </w:tcPr>
          <w:p>
            <w:pPr>
              <w:pStyle w:val="0"/>
              <w:jc w:val="both"/>
            </w:pPr>
            <w:r>
              <w:rPr>
                <w:sz w:val="20"/>
              </w:rPr>
              <w:t xml:space="preserve">Общий объем налоговых расходов составляет 16 500,0 тыс. рублей,</w:t>
            </w:r>
          </w:p>
          <w:p>
            <w:pPr>
              <w:pStyle w:val="0"/>
              <w:jc w:val="both"/>
            </w:pPr>
            <w:r>
              <w:rPr>
                <w:sz w:val="20"/>
              </w:rPr>
              <w:t xml:space="preserve">в том числе по годам:</w:t>
            </w:r>
          </w:p>
          <w:p>
            <w:pPr>
              <w:pStyle w:val="0"/>
              <w:jc w:val="both"/>
            </w:pPr>
            <w:r>
              <w:rPr>
                <w:sz w:val="20"/>
              </w:rPr>
              <w:t xml:space="preserve">2020 год - 8 300,0 тыс. рублей;</w:t>
            </w:r>
          </w:p>
          <w:p>
            <w:pPr>
              <w:pStyle w:val="0"/>
              <w:jc w:val="both"/>
            </w:pPr>
            <w:r>
              <w:rPr>
                <w:sz w:val="20"/>
              </w:rPr>
              <w:t xml:space="preserve">2021 год - 8 200,0 тыс. рублей.</w:t>
            </w:r>
          </w:p>
          <w:p>
            <w:pPr>
              <w:pStyle w:val="0"/>
              <w:jc w:val="both"/>
            </w:pPr>
            <w:r>
              <w:rPr>
                <w:sz w:val="20"/>
              </w:rPr>
              <w:t xml:space="preserve">Суммы налоговых расходов подлежат ежегодному уточнению</w:t>
            </w:r>
          </w:p>
        </w:tc>
      </w:tr>
      <w:tr>
        <w:tc>
          <w:tcPr>
            <w:gridSpan w:val="2"/>
            <w:tcW w:w="9071" w:type="dxa"/>
            <w:tcBorders>
              <w:top w:val="nil"/>
              <w:bottom w:val="single" w:sz="4"/>
            </w:tcBorders>
          </w:tcPr>
          <w:p>
            <w:pPr>
              <w:pStyle w:val="0"/>
              <w:jc w:val="both"/>
            </w:pPr>
            <w:r>
              <w:rPr>
                <w:sz w:val="20"/>
              </w:rPr>
              <w:t xml:space="preserve">(строка введена </w:t>
            </w:r>
            <w:hyperlink w:history="0" r:id="rId80"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02.06.2020 N 215-п)</w:t>
            </w:r>
          </w:p>
        </w:tc>
      </w:tr>
      <w:tr>
        <w:tc>
          <w:tcPr>
            <w:tcW w:w="1928" w:type="dxa"/>
            <w:tcBorders>
              <w:top w:val="single" w:sz="4"/>
              <w:bottom w:val="nil"/>
            </w:tcBorders>
          </w:tcPr>
          <w:p>
            <w:pPr>
              <w:pStyle w:val="0"/>
            </w:pPr>
            <w:r>
              <w:rPr>
                <w:sz w:val="20"/>
              </w:rPr>
              <w:t xml:space="preserve">Основные целевые индикаторы государственной программы</w:t>
            </w:r>
          </w:p>
        </w:tc>
        <w:tc>
          <w:tcPr>
            <w:tcW w:w="7143" w:type="dxa"/>
            <w:tcBorders>
              <w:top w:val="single" w:sz="4"/>
              <w:bottom w:val="nil"/>
            </w:tcBorders>
          </w:tcPr>
          <w:p>
            <w:pPr>
              <w:pStyle w:val="0"/>
              <w:jc w:val="both"/>
            </w:pPr>
            <w:r>
              <w:rPr>
                <w:sz w:val="20"/>
              </w:rPr>
              <w:t xml:space="preserve">Общий объем ввода жилья на территории Новосибирской области, тыс. кв. м;</w:t>
            </w:r>
          </w:p>
          <w:p>
            <w:pPr>
              <w:pStyle w:val="0"/>
              <w:jc w:val="both"/>
            </w:pPr>
            <w:r>
              <w:rPr>
                <w:sz w:val="20"/>
              </w:rPr>
              <w:t xml:space="preserve">объем ввода стандартного жилья, тыс. кв. м;</w:t>
            </w:r>
          </w:p>
          <w:p>
            <w:pPr>
              <w:pStyle w:val="0"/>
              <w:jc w:val="both"/>
            </w:pPr>
            <w:r>
              <w:rPr>
                <w:sz w:val="20"/>
              </w:rPr>
              <w:t xml:space="preserve">объем ввода малоэтажного жилья, тыс. кв. м;</w:t>
            </w:r>
          </w:p>
          <w:p>
            <w:pPr>
              <w:pStyle w:val="0"/>
              <w:jc w:val="both"/>
            </w:pPr>
            <w:r>
              <w:rPr>
                <w:sz w:val="20"/>
              </w:rPr>
              <w:t xml:space="preserve">ввод жилья на душу населения, кв. м на человека;</w:t>
            </w:r>
          </w:p>
          <w:p>
            <w:pPr>
              <w:pStyle w:val="0"/>
              <w:jc w:val="both"/>
            </w:pPr>
            <w:r>
              <w:rPr>
                <w:sz w:val="20"/>
              </w:rPr>
              <w:t xml:space="preserve">удельный вес введенной общей площади жилых домов по отношению к общей площади жилищного фонда, %;</w:t>
            </w:r>
          </w:p>
          <w:p>
            <w:pPr>
              <w:pStyle w:val="0"/>
              <w:jc w:val="both"/>
            </w:pPr>
            <w:r>
              <w:rPr>
                <w:sz w:val="20"/>
              </w:rPr>
              <w:t xml:space="preserve">обеспеченность населения жильем, кв. м общей площади на 1 человека;</w:t>
            </w:r>
          </w:p>
          <w:p>
            <w:pPr>
              <w:pStyle w:val="0"/>
              <w:jc w:val="both"/>
            </w:pPr>
            <w:r>
              <w:rPr>
                <w:sz w:val="20"/>
              </w:rPr>
              <w:t xml:space="preserve">коэффициент доступности жилья для населения, лет;</w:t>
            </w:r>
          </w:p>
          <w:p>
            <w:pPr>
              <w:pStyle w:val="0"/>
              <w:jc w:val="both"/>
            </w:pPr>
            <w:r>
              <w:rPr>
                <w:sz w:val="20"/>
              </w:rPr>
              <w:t xml:space="preserve">количество выданных ипотечных кредитов, тыс. шт.;</w:t>
            </w:r>
          </w:p>
          <w:p>
            <w:pPr>
              <w:pStyle w:val="0"/>
              <w:jc w:val="both"/>
            </w:pPr>
            <w:r>
              <w:rPr>
                <w:sz w:val="20"/>
              </w:rPr>
              <w:t xml:space="preserve">абзац утратил силу. - </w:t>
            </w:r>
            <w:hyperlink w:history="0" r:id="rId81"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26.04.2022 N 174-п.</w:t>
            </w:r>
          </w:p>
          <w:p>
            <w:pPr>
              <w:pStyle w:val="0"/>
              <w:jc w:val="both"/>
            </w:pPr>
            <w:r>
              <w:rPr>
                <w:sz w:val="20"/>
              </w:rPr>
              <w:t xml:space="preserve">Подробный перечень целевых индикаторов с указанием плановых значений в разбивке по годам приведен в </w:t>
            </w:r>
            <w:hyperlink w:history="0" w:anchor="P295" w:tooltip="ЦЕЛИ, ЗАДАЧИ И ЦЕЛЕВЫЕ ИНДИКАТОРЫ">
              <w:r>
                <w:rPr>
                  <w:sz w:val="20"/>
                  <w:color w:val="0000ff"/>
                </w:rPr>
                <w:t xml:space="preserve">приложении N 1</w:t>
              </w:r>
            </w:hyperlink>
            <w:r>
              <w:rPr>
                <w:sz w:val="20"/>
              </w:rPr>
              <w:t xml:space="preserve"> к государственной программе "Цели, задачи и целевые индикаторы государственной программы Новосибирской области "Стимулирование развития жилищного строительства в Новосибирской области"</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19.11.2018 </w:t>
            </w:r>
            <w:hyperlink w:history="0" r:id="rId82"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19.03.2019 </w:t>
            </w:r>
            <w:hyperlink w:history="0" r:id="rId8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26.04.2022 </w:t>
            </w:r>
            <w:hyperlink w:history="0" r:id="rId84"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rPr>
              <w:t xml:space="preserve">, от 21.03.2023 </w:t>
            </w:r>
            <w:hyperlink w:history="0" r:id="rId85"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N 100-п</w:t>
              </w:r>
            </w:hyperlink>
            <w:r>
              <w:rPr>
                <w:sz w:val="20"/>
              </w:rPr>
              <w:t xml:space="preserve">)</w:t>
            </w:r>
          </w:p>
        </w:tc>
      </w:tr>
      <w:tr>
        <w:tc>
          <w:tcPr>
            <w:tcW w:w="1928" w:type="dxa"/>
            <w:tcBorders>
              <w:top w:val="single" w:sz="4"/>
              <w:bottom w:val="nil"/>
            </w:tcBorders>
          </w:tcPr>
          <w:p>
            <w:pPr>
              <w:pStyle w:val="0"/>
            </w:pPr>
            <w:r>
              <w:rPr>
                <w:sz w:val="20"/>
              </w:rPr>
              <w:t xml:space="preserve">Ожидаемые результаты реализации государственной программы, выраженные в количественно измеримых показателях</w:t>
            </w:r>
          </w:p>
        </w:tc>
        <w:tc>
          <w:tcPr>
            <w:tcW w:w="7143" w:type="dxa"/>
            <w:tcBorders>
              <w:top w:val="single" w:sz="4"/>
              <w:bottom w:val="nil"/>
            </w:tcBorders>
          </w:tcPr>
          <w:p>
            <w:pPr>
              <w:pStyle w:val="0"/>
              <w:jc w:val="both"/>
            </w:pPr>
            <w:r>
              <w:rPr>
                <w:sz w:val="20"/>
              </w:rPr>
              <w:t xml:space="preserve">В ходе реализации государственной программы планируется достичь следующих результатов:</w:t>
            </w:r>
          </w:p>
          <w:p>
            <w:pPr>
              <w:pStyle w:val="0"/>
              <w:jc w:val="both"/>
            </w:pPr>
            <w:r>
              <w:rPr>
                <w:sz w:val="20"/>
              </w:rPr>
              <w:t xml:space="preserve">общий объем ввода жилья на территории Новосибирской области ежегодно составит не менее 1600,0 тыс. кв. м, в том числе в г. Новосибирске - 1030,0 тыс. кв. м, в прочих муниципальных образованиях Новосибирской области - 550,0 тыс. кв. м;</w:t>
            </w:r>
          </w:p>
          <w:p>
            <w:pPr>
              <w:pStyle w:val="0"/>
              <w:jc w:val="both"/>
            </w:pPr>
            <w:r>
              <w:rPr>
                <w:sz w:val="20"/>
              </w:rPr>
              <w:t xml:space="preserve">абзац утратил силу. - </w:t>
            </w:r>
            <w:hyperlink w:history="0" r:id="rId86"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29.12.2022 N 652-п;</w:t>
            </w:r>
          </w:p>
          <w:p>
            <w:pPr>
              <w:pStyle w:val="0"/>
              <w:jc w:val="both"/>
            </w:pPr>
            <w:r>
              <w:rPr>
                <w:sz w:val="20"/>
              </w:rPr>
              <w:t xml:space="preserve">годовой объем ввода малоэтажного жилья ежегодно составит не менее 499,4 тыс. кв. м, в том числе в г. Новосибирске - 110,0 тыс. кв. м, в прочих муниципальных образованиях Новосибирской области - 389,4 тыс. кв. м;</w:t>
            </w:r>
          </w:p>
          <w:p>
            <w:pPr>
              <w:pStyle w:val="0"/>
              <w:jc w:val="both"/>
            </w:pPr>
            <w:r>
              <w:rPr>
                <w:sz w:val="20"/>
              </w:rPr>
              <w:t xml:space="preserve">ввод жилья на душу населения ежегодно составит не менее 0,57 кв. м на человека;</w:t>
            </w:r>
          </w:p>
          <w:p>
            <w:pPr>
              <w:pStyle w:val="0"/>
              <w:jc w:val="both"/>
            </w:pPr>
            <w:r>
              <w:rPr>
                <w:sz w:val="20"/>
              </w:rPr>
              <w:t xml:space="preserve">удельный вес введенной общей площади жилых домов по отношению к общей площади жилищного фонда ежегодно составит не менее 2,25%;</w:t>
            </w:r>
          </w:p>
          <w:p>
            <w:pPr>
              <w:pStyle w:val="0"/>
              <w:jc w:val="both"/>
            </w:pPr>
            <w:r>
              <w:rPr>
                <w:sz w:val="20"/>
              </w:rPr>
              <w:t xml:space="preserve">показатель обеспеченности населения жильем ежегодно составит не менее 23,4 кв. м общей площади на 1 человека;</w:t>
            </w:r>
          </w:p>
          <w:p>
            <w:pPr>
              <w:pStyle w:val="0"/>
              <w:jc w:val="both"/>
            </w:pPr>
            <w:r>
              <w:rPr>
                <w:sz w:val="20"/>
              </w:rPr>
              <w:t xml:space="preserve">коэффициент доступности жилья для населения составит 2,8 года, что на 0,4 года меньше значения данного показателя в 2014 году;</w:t>
            </w:r>
          </w:p>
          <w:p>
            <w:pPr>
              <w:pStyle w:val="0"/>
              <w:jc w:val="both"/>
            </w:pPr>
            <w:r>
              <w:rPr>
                <w:sz w:val="20"/>
              </w:rPr>
              <w:t xml:space="preserve">создание условий для граждан в Новосибирской области для улучшения жилищных условий;</w:t>
            </w:r>
          </w:p>
          <w:p>
            <w:pPr>
              <w:pStyle w:val="0"/>
              <w:jc w:val="both"/>
            </w:pPr>
            <w:r>
              <w:rPr>
                <w:sz w:val="20"/>
              </w:rPr>
              <w:t xml:space="preserve">количество выданных ипотечных жилищных кредитов достигнет 35 тыс. шт. в год, увеличение значения данного показателя составит 47% по сравнению с 2014 годом;</w:t>
            </w:r>
          </w:p>
          <w:p>
            <w:pPr>
              <w:pStyle w:val="0"/>
              <w:jc w:val="both"/>
            </w:pPr>
            <w:r>
              <w:rPr>
                <w:sz w:val="20"/>
              </w:rPr>
              <w:t xml:space="preserve">абзац утратил силу. - </w:t>
            </w:r>
            <w:hyperlink w:history="0" r:id="rId87"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26.04.2022 N 174-п</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19.11.2018 </w:t>
            </w:r>
            <w:hyperlink w:history="0" r:id="rId88"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05.02.2019 </w:t>
            </w:r>
            <w:hyperlink w:history="0" r:id="rId89"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9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28.10.2019 </w:t>
            </w:r>
            <w:hyperlink w:history="0" r:id="rId91"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02.06.2020 </w:t>
            </w:r>
            <w:hyperlink w:history="0" r:id="rId92"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25.03.2021 </w:t>
            </w:r>
            <w:hyperlink w:history="0" r:id="rId93"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 от 26.04.2022 </w:t>
            </w:r>
            <w:hyperlink w:history="0" r:id="rId94"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rPr>
              <w:t xml:space="preserve">, от 29.12.2022 </w:t>
            </w:r>
            <w:hyperlink w:history="0" r:id="rId95"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r>
        <w:tblPrEx>
          <w:tblBorders>
            <w:insideH w:val="single" w:sz="4"/>
          </w:tblBorders>
        </w:tblPrEx>
        <w:tc>
          <w:tcPr>
            <w:tcW w:w="1928" w:type="dxa"/>
            <w:tcBorders>
              <w:top w:val="single" w:sz="4"/>
              <w:bottom w:val="single" w:sz="4"/>
            </w:tcBorders>
          </w:tcPr>
          <w:p>
            <w:pPr>
              <w:pStyle w:val="0"/>
            </w:pPr>
            <w:r>
              <w:rPr>
                <w:sz w:val="20"/>
              </w:rPr>
              <w:t xml:space="preserve">Электронный адрес размещения государственной программы в сети Интернет</w:t>
            </w:r>
          </w:p>
        </w:tc>
        <w:tc>
          <w:tcPr>
            <w:tcW w:w="7143" w:type="dxa"/>
            <w:tcBorders>
              <w:top w:val="single" w:sz="4"/>
              <w:bottom w:val="single" w:sz="4"/>
            </w:tcBorders>
          </w:tcPr>
          <w:p>
            <w:pPr>
              <w:pStyle w:val="0"/>
              <w:jc w:val="both"/>
            </w:pPr>
            <w:r>
              <w:rPr>
                <w:sz w:val="20"/>
              </w:rPr>
              <w:t xml:space="preserve">http://minstroy.nso.ru/Documentation/Pages/programs.aspx</w:t>
            </w:r>
          </w:p>
        </w:tc>
      </w:tr>
    </w:tbl>
    <w:p>
      <w:pPr>
        <w:pStyle w:val="0"/>
        <w:ind w:firstLine="540"/>
        <w:jc w:val="both"/>
      </w:pPr>
      <w:r>
        <w:rPr>
          <w:sz w:val="20"/>
        </w:rPr>
      </w:r>
    </w:p>
    <w:p>
      <w:pPr>
        <w:pStyle w:val="2"/>
        <w:outlineLvl w:val="1"/>
        <w:jc w:val="center"/>
      </w:pPr>
      <w:r>
        <w:rPr>
          <w:sz w:val="20"/>
        </w:rPr>
        <w:t xml:space="preserve">II. Обоснование необходимости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В 2013 году органами власти в сфере жилищного строительства были приняты меры, направленные на создание условий для увеличения объемов строительства жилых домов, в первую очередь стандартного жилья, развитие комплексного строительства и совершенствование механизмов поддержки граждан в решении жилищных проблем.</w:t>
      </w:r>
    </w:p>
    <w:p>
      <w:pPr>
        <w:pStyle w:val="0"/>
        <w:jc w:val="both"/>
      </w:pPr>
      <w:r>
        <w:rPr>
          <w:sz w:val="20"/>
        </w:rPr>
        <w:t xml:space="preserve">(в ред. </w:t>
      </w:r>
      <w:hyperlink w:history="0" r:id="rId96"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Приняты меры, направленные на сохранение лидирующих позиций Новосибирской области по объемам жилищного строительства, в 2013 году в Новосибирской области введено рекордное количество жилья - 1,7 млн. кв. м (109,7% к уровню 2012 года). Это лучший показатель в Сибирском федеральном округе. Более 32% введенного в Новосибирской области жилья составляет малоэтажное, введено более 557,1 тыс. кв. м такого жилья (105,5% к уровню 2012 года). Малоэтажное жилье строится во всех районах Новосибирской области как индивидуальными застройщиками, так и строительными компаниями.</w:t>
      </w:r>
    </w:p>
    <w:p>
      <w:pPr>
        <w:pStyle w:val="0"/>
        <w:spacing w:before="200" w:line-rule="auto"/>
        <w:ind w:firstLine="540"/>
        <w:jc w:val="both"/>
      </w:pPr>
      <w:r>
        <w:rPr>
          <w:sz w:val="20"/>
        </w:rPr>
        <w:t xml:space="preserve">Новосибирская область входит в число регионов Российской Федерации, которые традиционно обеспечивают высокий показатель объема вводимого в эксплуатацию жилья по стране, и занимает 12 место (2,4% от общероссийского ввода жилья).</w:t>
      </w:r>
    </w:p>
    <w:p>
      <w:pPr>
        <w:pStyle w:val="0"/>
        <w:spacing w:before="200" w:line-rule="auto"/>
        <w:ind w:firstLine="540"/>
        <w:jc w:val="both"/>
      </w:pPr>
      <w:r>
        <w:rPr>
          <w:sz w:val="20"/>
        </w:rPr>
        <w:t xml:space="preserve">В Сибирском федеральном округе Новосибирская область занимает первое место по вводу жилых домов. За 2013 год на территории Новосибирской области обеспечен наибольший ввод жилья среди регионов Сибирского федерального округа (22% от ввода жилья в СФО).</w:t>
      </w:r>
    </w:p>
    <w:p>
      <w:pPr>
        <w:pStyle w:val="0"/>
        <w:spacing w:before="200" w:line-rule="auto"/>
        <w:ind w:firstLine="540"/>
        <w:jc w:val="both"/>
      </w:pPr>
      <w:r>
        <w:rPr>
          <w:sz w:val="20"/>
        </w:rPr>
        <w:t xml:space="preserve">Ввод жилья на душу населения в Новосибирской области превысил среднероссийский показатель и составил 0,62 кв. м. Обеспеченность населения жильем увеличилась по сравнению с 2012 годом на 0,6 кв. м и составила к концу 2013 года 22,8 кв. м в среднем на одного жителя Новосибирской области.</w:t>
      </w:r>
    </w:p>
    <w:p>
      <w:pPr>
        <w:pStyle w:val="0"/>
        <w:spacing w:before="200" w:line-rule="auto"/>
        <w:ind w:firstLine="540"/>
        <w:jc w:val="both"/>
      </w:pPr>
      <w:r>
        <w:rPr>
          <w:sz w:val="20"/>
        </w:rPr>
        <w:t xml:space="preserve">В 2013 году на территории Новосибирской области реализовывались долгосрочные целевые программы по стимулированию развития жилищного строительства и обеспечению жильем молодых семей. В 2013 году в сферу жилищного строительства в рамках вышеобозначенных программ направлено 2,5 млрд. рублей средств областного бюджета Новосибирской области.</w:t>
      </w:r>
    </w:p>
    <w:p>
      <w:pPr>
        <w:pStyle w:val="0"/>
        <w:spacing w:before="200" w:line-rule="auto"/>
        <w:ind w:firstLine="540"/>
        <w:jc w:val="both"/>
      </w:pPr>
      <w:r>
        <w:rPr>
          <w:sz w:val="20"/>
        </w:rPr>
        <w:t xml:space="preserve">Для жилищного строительства предоставлено почти 3,2 тыс. участков общей площадью 746,3 га, в том числе для индивидуального жилищного строительства - 2,9 тыс. участков общей площадью 323 га. Более 124 млн. рублей средств областного бюджета Новосибирской области направлено на строительство объектов инженерной инфраструктуры площадок комплексной застройки в Новосибирском, Чистоозерном, Искитимском, Краснозерском, Сузунском, Чановском, Куйбышевском, Купинском, Тогучинском районах Новосибирской области.</w:t>
      </w:r>
    </w:p>
    <w:p>
      <w:pPr>
        <w:pStyle w:val="0"/>
        <w:spacing w:before="200" w:line-rule="auto"/>
        <w:ind w:firstLine="540"/>
        <w:jc w:val="both"/>
      </w:pPr>
      <w:r>
        <w:rPr>
          <w:sz w:val="20"/>
        </w:rPr>
        <w:t xml:space="preserve">Реализуются проекты строительства в Новосибирской области малоэтажного стандартного жилья на земельных участках, находящихся в собственности Федерального фонда содействия развитию жилищного строительства (в настоящее время - Единый институт развития в жилищной сфере).</w:t>
      </w:r>
    </w:p>
    <w:p>
      <w:pPr>
        <w:pStyle w:val="0"/>
        <w:jc w:val="both"/>
      </w:pPr>
      <w:r>
        <w:rPr>
          <w:sz w:val="20"/>
        </w:rPr>
        <w:t xml:space="preserve">(в ред. постановлений Правительства Новосибирской области от 15.02.2017 </w:t>
      </w:r>
      <w:hyperlink w:history="0" r:id="rId97"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9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99"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p>
      <w:pPr>
        <w:pStyle w:val="0"/>
        <w:spacing w:before="200" w:line-rule="auto"/>
        <w:ind w:firstLine="540"/>
        <w:jc w:val="both"/>
      </w:pPr>
      <w:r>
        <w:rPr>
          <w:sz w:val="20"/>
        </w:rPr>
        <w:t xml:space="preserve">В рамках взаимодействия с Единым институтом развития в жилищной сфере рассматриваются вопросы территориального планирования, градостроительного зонирования, планировки территории, вопросы архитектурно-строительного проектирования, а также обустройства территорий посредством строительства объектов инфраструктуры. Данное взаимодействие осуществляется в соответствии с действующим законодательством в пределах компетенции и по согласованию с соответствующими федеральными органами власти.</w:t>
      </w:r>
    </w:p>
    <w:p>
      <w:pPr>
        <w:pStyle w:val="0"/>
        <w:jc w:val="both"/>
      </w:pPr>
      <w:r>
        <w:rPr>
          <w:sz w:val="20"/>
        </w:rPr>
        <w:t xml:space="preserve">(в ред. постановлений Правительства Новосибирской области от 15.02.2017 </w:t>
      </w:r>
      <w:hyperlink w:history="0" r:id="rId100"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101"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p>
      <w:pPr>
        <w:pStyle w:val="0"/>
        <w:spacing w:before="200" w:line-rule="auto"/>
        <w:ind w:firstLine="540"/>
        <w:jc w:val="both"/>
      </w:pPr>
      <w:r>
        <w:rPr>
          <w:sz w:val="20"/>
        </w:rPr>
        <w:t xml:space="preserve">В настоящее время на территории Новосибирской области реализуются 13 проектов на земельных участках общей площадью более 740,8 га, из них под комплексное освоение в целях жилищного строительства 590,5 га, под жилищное строительство 33,6 га, под жилищное строительство с использованием механизма создания жилищно-строительных кооперативов - всего 116,7 га.</w:t>
      </w:r>
    </w:p>
    <w:p>
      <w:pPr>
        <w:pStyle w:val="0"/>
        <w:jc w:val="both"/>
      </w:pPr>
      <w:r>
        <w:rPr>
          <w:sz w:val="20"/>
        </w:rPr>
        <w:t xml:space="preserve">(в ред. </w:t>
      </w:r>
      <w:hyperlink w:history="0" r:id="rId102"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Абзацы одиннадцатый - двенадцатый утратили силу. - </w:t>
      </w:r>
      <w:hyperlink w:history="0" r:id="rId103"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Особое внимание в 2013 году уделялось вопросам территориального планирования, из областного бюджета Новосибирской области на эти цели направлено 216,7 млн. рублей (в 2,8 раза больше чем в предыдущем году), в том числе 151,6 млн. рублей - на предоставление муниципальным образованиям Новосибирской области государственной поддержки в целях обеспечения их актуальной градостроительной документацией.</w:t>
      </w:r>
    </w:p>
    <w:p>
      <w:pPr>
        <w:pStyle w:val="0"/>
        <w:spacing w:before="200" w:line-rule="auto"/>
        <w:ind w:firstLine="540"/>
        <w:jc w:val="both"/>
      </w:pPr>
      <w:r>
        <w:rPr>
          <w:sz w:val="20"/>
        </w:rPr>
        <w:t xml:space="preserve">На конец 2013 года документы территориального планирования утвердили 444 муниципальных образования Новосибирской области: схемы территориального планирования - 28 муниципальных районов, генеральные планы - 5 городских округов, 24 городских поселения, 387 сельских поселений; документы градостроительного зонирования - 5 городских округов, 26 городских поселений, 325 сельских поселений. На 01.01.2015 документы территориального планирования утвердили 478 муниципальных образований Новосибирской области: схемы территориального планирования 29 муниципальных районов, генеральные планы - 5 городских округов и 26 городских поселений, генеральные планы - 418 сельских поселений (4 сельских поселения приняли решения об отсутствии необходимости подготовки генерального плана).</w:t>
      </w:r>
    </w:p>
    <w:p>
      <w:pPr>
        <w:pStyle w:val="0"/>
        <w:spacing w:before="200" w:line-rule="auto"/>
        <w:ind w:firstLine="540"/>
        <w:jc w:val="both"/>
      </w:pPr>
      <w:r>
        <w:rPr>
          <w:sz w:val="20"/>
        </w:rPr>
        <w:t xml:space="preserve">Проводится масштабная работа по формированию Новосибирской агломерации, которая будет способствовать повышению инвестиционной привлекательности территорий. Постановлением Правительства Новосибирской области от 28.04.2014 N 186-п утверждена </w:t>
      </w:r>
      <w:hyperlink w:history="0" r:id="rId104" w:tooltip="Постановление Правительства Новосибирской области от 28.04.2014 N 186-п (ред. от 14.04.2020) &quot;Об утверждении схемы территориального планирования Новосибирской агломерации Новосибирской области&quot; ------------ Утратил силу или отменен {КонсультантПлюс}">
        <w:r>
          <w:rPr>
            <w:sz w:val="20"/>
            <w:color w:val="0000ff"/>
          </w:rPr>
          <w:t xml:space="preserve">Схема</w:t>
        </w:r>
      </w:hyperlink>
      <w:r>
        <w:rPr>
          <w:sz w:val="20"/>
        </w:rPr>
        <w:t xml:space="preserve"> территориального планирования Новосибирской агломерации Новосибирской области, в рамках которой основными векторами развития Новосибирской агломерации должны стать проекты развития зон опережающего развития, а также комплексная транспортная схема Новосибирской агломерации.</w:t>
      </w:r>
    </w:p>
    <w:p>
      <w:pPr>
        <w:pStyle w:val="0"/>
        <w:jc w:val="both"/>
      </w:pPr>
      <w:r>
        <w:rPr>
          <w:sz w:val="20"/>
        </w:rPr>
        <w:t xml:space="preserve">(в ред. </w:t>
      </w:r>
      <w:hyperlink w:history="0" r:id="rId105"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В Новосибирской области проводится работа по решению вопросов долгостроев - объектов жилищного строительства, при строительстве которых были нарушены сроки ввода в эксплуатацию (далее - "проблемные" объекты).</w:t>
      </w:r>
    </w:p>
    <w:p>
      <w:pPr>
        <w:pStyle w:val="0"/>
        <w:spacing w:before="200" w:line-rule="auto"/>
        <w:ind w:firstLine="540"/>
        <w:jc w:val="both"/>
      </w:pPr>
      <w:r>
        <w:rPr>
          <w:sz w:val="20"/>
        </w:rPr>
        <w:t xml:space="preserve">По всем "проблемным" объектам проводится системная работа в целях завершения их строительства в части оптимизации технических условий, ускорения процесса оформления разрешительной документации, снижения размера арендной платы за землю, содействия в поисках инвесторов. В 2013 году введено 9 "проблемных" объектов.</w:t>
      </w:r>
    </w:p>
    <w:p>
      <w:pPr>
        <w:pStyle w:val="0"/>
        <w:spacing w:before="200" w:line-rule="auto"/>
        <w:ind w:firstLine="540"/>
        <w:jc w:val="both"/>
      </w:pPr>
      <w:r>
        <w:rPr>
          <w:sz w:val="20"/>
        </w:rPr>
        <w:t xml:space="preserve">Гражданам, вложившим денежные средства в строительство многоквартирных домов в Новосибирской области и пострадавшим от действий недобросовестных застройщиков, предоставляются субсидии из областного бюджета Новосибирской области на оплату дополнительных расходов, необходимых для завершения строительства многоквартирных домов. В 2013 году такие субсидии предоставлены 98 гражданам.</w:t>
      </w:r>
    </w:p>
    <w:p>
      <w:pPr>
        <w:pStyle w:val="0"/>
        <w:spacing w:before="200" w:line-rule="auto"/>
        <w:ind w:firstLine="540"/>
        <w:jc w:val="both"/>
      </w:pPr>
      <w:r>
        <w:rPr>
          <w:sz w:val="20"/>
        </w:rPr>
        <w:t xml:space="preserve">Продолжена реализация региональных программ по поддержке жителей Новосибирской области в решении жилищных проблем, разрабатываются и внедряются новые меры государственной поддержки. В 2013 году при бюджетной поддержке за счет средств областного бюджета Новосибирской области и федерального бюджета жилищные условия улучшили почти 7 тыс. жителей Новосибирской области - молодые, многодетные семьи, работники бюджетной сферы, индивидуальные застройщики, ветераны и инвалиды, военнослужащие. Более 2,5 тыс. семей ежемесячно получают поддержку за счет средств областного бюджета Новосибирской области (по обязательствам прошлых лет) на компенсацию части процентной ставки по оформленным кредитам на строительство (приобретение) жилья.</w:t>
      </w:r>
    </w:p>
    <w:p>
      <w:pPr>
        <w:pStyle w:val="0"/>
        <w:spacing w:before="200" w:line-rule="auto"/>
        <w:ind w:firstLine="540"/>
        <w:jc w:val="both"/>
      </w:pPr>
      <w:r>
        <w:rPr>
          <w:sz w:val="20"/>
        </w:rPr>
        <w:t xml:space="preserve">Со второй половины 2012 года в Новосибирской области реализуются дополнительные меры поддержки молодых учителей государственных и муниципальных образовательных организаций в решении жилищных проблем в соответствии с </w:t>
      </w:r>
      <w:hyperlink w:history="0" r:id="rId106" w:tooltip="Постановление Правительства Новосибирской области от 06.08.2012 N 368-п (ред. от 24.12.2018) &quot;О предоставлении субсидий отдельным категориям работников бюджетной сферы при ипотечном жилищном кредитовании&quot; {КонсультантПлюс}">
        <w:r>
          <w:rPr>
            <w:sz w:val="20"/>
            <w:color w:val="0000ff"/>
          </w:rPr>
          <w:t xml:space="preserve">постановлением</w:t>
        </w:r>
      </w:hyperlink>
      <w:r>
        <w:rPr>
          <w:sz w:val="20"/>
        </w:rPr>
        <w:t xml:space="preserve"> Правительства Новосибирской области от 06.08.2012 N 368-п "О предоставлении субсидий отдельным категориям работников бюджетной сферы при ипотечном жилищном кредитовании". Жилищные условия улучшили 74 молодых учителя. В 2014 году решен жилищный вопрос 72 граждан.</w:t>
      </w:r>
    </w:p>
    <w:p>
      <w:pPr>
        <w:pStyle w:val="0"/>
        <w:jc w:val="both"/>
      </w:pPr>
      <w:r>
        <w:rPr>
          <w:sz w:val="20"/>
        </w:rPr>
        <w:t xml:space="preserve">(в ред. </w:t>
      </w:r>
      <w:hyperlink w:history="0" r:id="rId107"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25.03.2021 N 88-п)</w:t>
      </w:r>
    </w:p>
    <w:p>
      <w:pPr>
        <w:pStyle w:val="0"/>
        <w:spacing w:before="200" w:line-rule="auto"/>
        <w:ind w:firstLine="540"/>
        <w:jc w:val="both"/>
      </w:pPr>
      <w:r>
        <w:rPr>
          <w:sz w:val="20"/>
        </w:rPr>
        <w:t xml:space="preserve">Продолжается работа по поддержке индивидуальных застройщиков, жителям области в рамках реализации </w:t>
      </w:r>
      <w:hyperlink w:history="0" r:id="rId108" w:tooltip="Постановление Губернатора Новосибирской области от 01.04.2010 N 102 (ред. от 31.10.2014) &quot;О государственной поддержке застройщиков, осуществляющих строительство индивидуальных жилых домов в муниципальных районах Новосибирской области&quot; {КонсультантПлюс}">
        <w:r>
          <w:rPr>
            <w:sz w:val="20"/>
            <w:color w:val="0000ff"/>
          </w:rPr>
          <w:t xml:space="preserve">постановления</w:t>
        </w:r>
      </w:hyperlink>
      <w:r>
        <w:rPr>
          <w:sz w:val="20"/>
        </w:rPr>
        <w:t xml:space="preserve"> Губернатора Новосибирской области от 01.04.2010 N 102 "О государственной поддержке застройщиков, осуществляющих строительство индивидуальных жилых домов в муниципальных районах Новосибирской области".</w:t>
      </w:r>
    </w:p>
    <w:p>
      <w:pPr>
        <w:pStyle w:val="0"/>
        <w:jc w:val="both"/>
      </w:pPr>
      <w:r>
        <w:rPr>
          <w:sz w:val="20"/>
        </w:rPr>
        <w:t xml:space="preserve">(в ред. </w:t>
      </w:r>
      <w:hyperlink w:history="0" r:id="rId10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Абзацы двадцать второй - двадцать четвертый утратили силу. - </w:t>
      </w:r>
      <w:hyperlink w:history="0" r:id="rId11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В 2013 году в реестры на получение целевых субсидий включены более 2,9 тыс. застройщиков, предоставлено 2,6 тыс. субсидий; по итогам года введено около 130 тыс. кв. м индивидуального жилья. Средняя стоимость строительства 1 кв. м составила около 26 тыс. рублей, это почти на 30% ниже средней стоимости строительства в сельской местности.</w:t>
      </w:r>
    </w:p>
    <w:p>
      <w:pPr>
        <w:pStyle w:val="0"/>
        <w:spacing w:before="200" w:line-rule="auto"/>
        <w:ind w:firstLine="540"/>
        <w:jc w:val="both"/>
      </w:pPr>
      <w:r>
        <w:rPr>
          <w:sz w:val="20"/>
        </w:rPr>
        <w:t xml:space="preserve">Более 300 млн. рублей средств областного бюджета Новосибирской области направлено в 2013 году на строительство служебного жилья, обеспечение жильем многодетных семей. Средства направлены на улучшение жилищных условий 80 работников бюджетной сферы и 53 многодетных семей.</w:t>
      </w:r>
    </w:p>
    <w:p>
      <w:pPr>
        <w:pStyle w:val="0"/>
        <w:spacing w:before="200" w:line-rule="auto"/>
        <w:ind w:firstLine="540"/>
        <w:jc w:val="both"/>
      </w:pPr>
      <w:r>
        <w:rPr>
          <w:sz w:val="20"/>
        </w:rPr>
        <w:t xml:space="preserve">Эффективной мерой социальной поддержки многодетных семей в решении жилищного вопроса является бесплатное предоставление земельных участков под индивидуальное жилищное строительство. За 2013 год гражданам, имеющим трех и более детей, предоставлено 938 земельных участков.</w:t>
      </w:r>
    </w:p>
    <w:p>
      <w:pPr>
        <w:pStyle w:val="0"/>
        <w:spacing w:before="200" w:line-rule="auto"/>
        <w:ind w:firstLine="540"/>
        <w:jc w:val="both"/>
      </w:pPr>
      <w:r>
        <w:rPr>
          <w:sz w:val="20"/>
        </w:rPr>
        <w:t xml:space="preserve">Во исполнение </w:t>
      </w:r>
      <w:hyperlink w:history="0" r:id="rId111"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Указа</w:t>
        </w:r>
      </w:hyperlink>
      <w:r>
        <w:rPr>
          <w:sz w:val="20"/>
        </w:rPr>
        <w:t xml:space="preserve"> Президента Российской Федерации от 07.05.2008 N 714 "Об обеспечении жильем ветеранов Великой Отечественной войны 1941 - 1945 годов" в 2013 году обеспечено жильем 350 ветеранов Великой Отечественной войны (за 2010 - 2013 годы - более 4 тыс. ветеранов). В 2014 году обеспечено 52 ветерана Великой Отечественной войны. За счет привлеченных средств федерального бюджета в 2013 году обеспечено жильем 47 инвалидов и 12 ветеранов боевых действий. В 2014 году обеспечены жильем 25 инвалидов и 3 ветерана боевых действий. В рамках реализации федеральной целевой </w:t>
      </w:r>
      <w:hyperlink w:history="0" r:id="rId112" w:tooltip="Постановление Правительства РФ от 17.12.2010 N 1050 (ред. от 26.01.2023) &quot;О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"Жилище" на 2011 - 2015 годы, утвержденной постановлением Правительства Российской Федерации от 17.12.2010 N 1050 "О федеральной целевой программе "Жилище" на 2011 - 2015 годы", выдано 26 государственных жилищных сертификатов для обеспечения жильем вынужденных переселенцев, граждан, подвергшихся воздействию радиации вследствие радиационных аварий и катастроф, граждан, выехавших из районов Крайнего Севера и приравненных к ним местностей.</w:t>
      </w:r>
    </w:p>
    <w:p>
      <w:pPr>
        <w:pStyle w:val="0"/>
        <w:spacing w:before="200" w:line-rule="auto"/>
        <w:ind w:firstLine="540"/>
        <w:jc w:val="both"/>
      </w:pPr>
      <w:r>
        <w:rPr>
          <w:sz w:val="20"/>
        </w:rPr>
        <w:t xml:space="preserve">Кроме того, на территории Новосибирской области действует региональная </w:t>
      </w:r>
      <w:hyperlink w:history="0" r:id="rId113" w:tooltip="Постановление Правительства Новосибирской области от 20.11.2012 N 517-п (ред. от 14.09.2015) &quot;Об утверждении региональной программы &quot;Развитие предприятий промышленности строительных материалов и индустриального домостроения на территории Новосибирской области на 2012 - 2020 годы&quot; {КонсультантПлюс}">
        <w:r>
          <w:rPr>
            <w:sz w:val="20"/>
            <w:color w:val="0000ff"/>
          </w:rPr>
          <w:t xml:space="preserve">программа</w:t>
        </w:r>
      </w:hyperlink>
      <w:r>
        <w:rPr>
          <w:sz w:val="20"/>
        </w:rPr>
        <w:t xml:space="preserve"> "Развитие предприятий промышленности строительных материалов и индустриального домостроения на территории Новосибирской области на 2012 - 2020 годы", утвержденная постановлением Правительства Новосибирской области от 20.11.2012 N 517-п "Об утверждении региональной программы "Развитие предприятий промышленности строительных материалов и индустриального домостроения на территории Новосибирской области на 2012 - 2020 годы". Программа определяет вектор развития стройиндустрии Новосибирской области, ориентирована на организацию строительного комплекса, направлена на повышение информативности, а также стимулирование предприятий отрасли к участию в получении государственной поддержки по различным направлениям. Цель программы - увеличение объемов производства современных высококачественных, строительных материалов, изделий и конструкций на территории Новосибирской области с учетом потребностей и имеющейся региональной сырьевой базы для полного обеспечения планируемых темпов жилищного, социально-культурного, промышленного строительства. Задачами </w:t>
      </w:r>
      <w:hyperlink w:history="0" r:id="rId114" w:tooltip="Постановление Правительства Новосибирской области от 20.11.2012 N 517-п (ред. от 14.09.2015) &quot;Об утверждении региональной программы &quot;Развитие предприятий промышленности строительных материалов и индустриального домостроения на территории Новосибирской области на 2012 - 2020 годы&quot; {КонсультантПлюс}">
        <w:r>
          <w:rPr>
            <w:sz w:val="20"/>
            <w:color w:val="0000ff"/>
          </w:rPr>
          <w:t xml:space="preserve">программы</w:t>
        </w:r>
      </w:hyperlink>
      <w:r>
        <w:rPr>
          <w:sz w:val="20"/>
        </w:rPr>
        <w:t xml:space="preserve"> являются стимулирование строительства новых предприятий стройиндустрии, в том числе ранее не выпускаемой на территории Новосибирской области инновационной продукции, модернизация и техническое перевооружение действующих предприятий стройиндустрии, привлечение инвестиций, оказание государственной поддержки инвестиционным проектам, направленным на реализацию мероприятий по модернизации, перевооружению и развитию производства строительных материалов, изделий и конструкций.</w:t>
      </w:r>
    </w:p>
    <w:p>
      <w:pPr>
        <w:pStyle w:val="0"/>
        <w:spacing w:before="200" w:line-rule="auto"/>
        <w:ind w:firstLine="540"/>
        <w:jc w:val="both"/>
      </w:pPr>
      <w:r>
        <w:rPr>
          <w:sz w:val="20"/>
        </w:rPr>
        <w:t xml:space="preserve">Стоит отметить, что динамика развития жилищной сферы в период до 2020 года будет определяться воздействием ряда факторов. В результате предпринятых в последние годы мер государственного регулирования и наличия неудовлетворенного платежеспособного спроса со стороны ряда категорий граждан ежегодные объемы ввода жилья будут расти, что позволит стабилизировать уровень цен на жилье в реальном выражении. При этом изменится структура предложения жилья за счет увеличения доли стандартного жилья, арендного жилья, а также жилья, вводимого жилищными и жилищно-строительными кооперативами. Получат дальнейшее развитие различные формы государственно-частного партнерства, в том числе при комплексном освоении территорий под жилую застройку. Вместе с тем сохранится высокая зависимость жилищной сферы от динамики макроэкономических показателей, которые будут оказывать существенное влияние на доходы населения, а также на процентную ставку и иные параметры ипотечного жилищного кредитования, определяющие уровень доступности жилья. Основным фактором, который будет сдерживать дальнейшие темпы роста ипотечного рынка, является дорожающее фондирование банковского сектора, что объясняется новым витком нестабильности на мировых финансовых рынках. Все это определяет существенные риски реализации государственной программы.</w:t>
      </w:r>
    </w:p>
    <w:p>
      <w:pPr>
        <w:pStyle w:val="0"/>
        <w:jc w:val="both"/>
      </w:pPr>
      <w:r>
        <w:rPr>
          <w:sz w:val="20"/>
        </w:rPr>
        <w:t xml:space="preserve">(в ред. </w:t>
      </w:r>
      <w:hyperlink w:history="0" r:id="rId115"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Среди наиболее острых проблем, сдерживающих развитие жилищного строительства по итогам 2014 года, остаются:</w:t>
      </w:r>
    </w:p>
    <w:p>
      <w:pPr>
        <w:pStyle w:val="0"/>
        <w:spacing w:before="200" w:line-rule="auto"/>
        <w:ind w:firstLine="540"/>
        <w:jc w:val="both"/>
      </w:pPr>
      <w:r>
        <w:rPr>
          <w:sz w:val="20"/>
        </w:rPr>
        <w:t xml:space="preserve">1. Высокий уровень цен на рынке нового жилья. По итогам IV квартала 2013 года средняя цена 1 квадратного метра общей площади жилья на первичном рынке составила 50225 рублей, в том числе стандартной квартиры - 46470 рублей.</w:t>
      </w:r>
    </w:p>
    <w:p>
      <w:pPr>
        <w:pStyle w:val="0"/>
        <w:spacing w:before="200" w:line-rule="auto"/>
        <w:ind w:firstLine="540"/>
        <w:jc w:val="both"/>
      </w:pPr>
      <w:r>
        <w:rPr>
          <w:sz w:val="20"/>
        </w:rPr>
        <w:t xml:space="preserve">2. Недостаточное предложение земельных участков под жилищное строительство, обеспеченных инженерно-коммунальной инфраструктурой. В целях развития жилищного строительства муниципальными образованиями Новосибирской области планируется вовлечение в оборот порядка 3,9 тыс. га земельных участков под комплексное жилищное строительство, в том числе не менее 655 га ежегодно, обеспеченных инженерной инфраструктурой. В 2014 году в целях жилищного строительства предоставлено 671,5 га земельных участков.</w:t>
      </w:r>
    </w:p>
    <w:p>
      <w:pPr>
        <w:pStyle w:val="0"/>
        <w:spacing w:before="200" w:line-rule="auto"/>
        <w:ind w:firstLine="540"/>
        <w:jc w:val="both"/>
      </w:pPr>
      <w:r>
        <w:rPr>
          <w:sz w:val="20"/>
        </w:rPr>
        <w:t xml:space="preserve">В настоящее время объем бюджетного финансирования в инженерную подготовку площадок комплексного жилищного строительства не удовлетворяет потребностям рынка жилищного строительства, что в свою очередь сдерживает вовлечение подготовленных площадок в строительный оборот.</w:t>
      </w:r>
    </w:p>
    <w:p>
      <w:pPr>
        <w:pStyle w:val="0"/>
        <w:spacing w:before="200" w:line-rule="auto"/>
        <w:ind w:firstLine="540"/>
        <w:jc w:val="both"/>
      </w:pPr>
      <w:r>
        <w:rPr>
          <w:sz w:val="20"/>
        </w:rPr>
        <w:t xml:space="preserve">3. Низкий уровень доходов населения при высокой доле текущего потребления. По итогам 2014 года в Новосибирской области средний денежный доход на душу населения составил 22358,7 рубля, при этом средний душевой потребительский расход за январь - сентябрь 2014 года на душу населения составил 24417,7 рубля.</w:t>
      </w:r>
    </w:p>
    <w:p>
      <w:pPr>
        <w:pStyle w:val="0"/>
        <w:spacing w:before="200" w:line-rule="auto"/>
        <w:ind w:firstLine="540"/>
        <w:jc w:val="both"/>
      </w:pPr>
      <w:r>
        <w:rPr>
          <w:sz w:val="20"/>
        </w:rPr>
        <w:t xml:space="preserve">4. Высокие процентные ставки, снижающие доступность жилищных кредитов. По состоянию на 01.01.2015 средневзвешенная ставка по ипотечным жилищным кредитам в Новосибирской области составила 12,4%.</w:t>
      </w:r>
    </w:p>
    <w:p>
      <w:pPr>
        <w:pStyle w:val="0"/>
        <w:spacing w:before="200" w:line-rule="auto"/>
        <w:ind w:firstLine="540"/>
        <w:jc w:val="both"/>
      </w:pPr>
      <w:r>
        <w:rPr>
          <w:sz w:val="20"/>
        </w:rPr>
        <w:t xml:space="preserve">5. Недостаточный уровень накоплений граждан для оплаты первого взноса для получения ипотечных жилищных кредитов. Доля накоплений граждан составляет в среднем 2,8% от денежного дохода.</w:t>
      </w:r>
    </w:p>
    <w:p>
      <w:pPr>
        <w:pStyle w:val="0"/>
        <w:spacing w:before="200" w:line-rule="auto"/>
        <w:ind w:firstLine="540"/>
        <w:jc w:val="both"/>
      </w:pPr>
      <w:r>
        <w:rPr>
          <w:sz w:val="20"/>
        </w:rPr>
        <w:t xml:space="preserve">Необходимость реализации Указов Президента Российской Федерации от 07.05.2012 </w:t>
      </w:r>
      <w:hyperlink w:history="0" r:id="rId116" w:tooltip="Указ Президента РФ от 07.05.2012 N 600 &quot;О мерах по обеспечению граждан Российской Федерации доступным и комфортным жильем и повышению качества жилищно-коммунальных услуг&quot; {КонсультантПлюс}">
        <w:r>
          <w:rPr>
            <w:sz w:val="20"/>
            <w:color w:val="0000ff"/>
          </w:rPr>
          <w:t xml:space="preserve">N 600</w:t>
        </w:r>
      </w:hyperlink>
      <w:r>
        <w:rPr>
          <w:sz w:val="20"/>
        </w:rPr>
        <w:t xml:space="preserve"> "О мерах по обеспечению граждан Российской Федерации доступным и комфортным жильем и повышению качества жилищно-коммунальных услуг", от 07.05.2018 </w:t>
      </w:r>
      <w:hyperlink w:history="0" r:id="rId117"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N 204</w:t>
        </w:r>
      </w:hyperlink>
      <w:r>
        <w:rPr>
          <w:sz w:val="20"/>
        </w:rPr>
        <w:t xml:space="preserve"> "О национальных целях и стратегических задачах развития Российской Федерации до 2024 года", от 21.07.2020 </w:t>
      </w:r>
      <w:hyperlink w:history="0" r:id="rId118"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N 474</w:t>
        </w:r>
      </w:hyperlink>
      <w:r>
        <w:rPr>
          <w:sz w:val="20"/>
        </w:rPr>
        <w:t xml:space="preserve"> "О национальных целях и стратегических задачах развития Российской Федерации до 2030 года" и решения указанных выше проблем требует принятия комплекса мероприятий, направленных на повышение доступности жилья для населения Новосибирской области, в том числе за счет развития комплексного жилищного строительства, включая строительство объектов социальной инфраструктуры на территориях массовой жилой застройки, в рамках федерального проекта "Жилье" государственной </w:t>
      </w:r>
      <w:hyperlink w:history="0" r:id="rId119"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развития малоэтажного жилищного строительства, внедрения новых подходов к расселению аварийного жилищного фонда, в том числе на основе государственно-частного партнерства, с привлечением инвестиционных средств застройщиков. Применение программно-целевого метода в целях стимулирования развития жилищного строительства на территории Новосибирской области обусловлено необходимостью реализации указанного выше комплекса мер.</w:t>
      </w:r>
    </w:p>
    <w:p>
      <w:pPr>
        <w:pStyle w:val="0"/>
        <w:jc w:val="both"/>
      </w:pPr>
      <w:r>
        <w:rPr>
          <w:sz w:val="20"/>
        </w:rPr>
        <w:t xml:space="preserve">(в ред. постановлений Правительства Новосибирской области от 19.11.2018 </w:t>
      </w:r>
      <w:hyperlink w:history="0" r:id="rId120"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19.03.2019 </w:t>
      </w:r>
      <w:hyperlink w:history="0" r:id="rId12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29.12.2022 </w:t>
      </w:r>
      <w:hyperlink w:history="0" r:id="rId122"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p>
      <w:pPr>
        <w:pStyle w:val="0"/>
        <w:spacing w:before="200" w:line-rule="auto"/>
        <w:ind w:firstLine="540"/>
        <w:jc w:val="both"/>
      </w:pPr>
      <w:r>
        <w:rPr>
          <w:sz w:val="20"/>
        </w:rPr>
        <w:t xml:space="preserve">В рамках государственной программы будут реализованы следующие приоритеты государственной политики в сфере жилищного строительства:</w:t>
      </w:r>
    </w:p>
    <w:p>
      <w:pPr>
        <w:pStyle w:val="0"/>
        <w:spacing w:before="200" w:line-rule="auto"/>
        <w:ind w:firstLine="540"/>
        <w:jc w:val="both"/>
      </w:pPr>
      <w:r>
        <w:rPr>
          <w:sz w:val="20"/>
        </w:rPr>
        <w:t xml:space="preserve">1. Развитие комплексного жилищного строительства, включая строительство объектов социальной инфраструктуры на площадках комплексной застройки при реализации проектов по развитию жилищного строительства в рамках федерального проекта "Жилье" государственной </w:t>
      </w:r>
      <w:hyperlink w:history="0" r:id="rId123"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развитие малоэтажного жилищного строительства, за счет обеспечения муниципальных образований Новосибирской области актуальной градостроительной документацией, предусмотренной Градостроительным </w:t>
      </w:r>
      <w:hyperlink w:history="0" r:id="rId124"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 а также выполнения инженерного обустройства площадок комплексной застройки Новосибирской области. Вовлечение в жилищное строительство неэффективно используемых земель.</w:t>
      </w:r>
    </w:p>
    <w:p>
      <w:pPr>
        <w:pStyle w:val="0"/>
        <w:jc w:val="both"/>
      </w:pPr>
      <w:r>
        <w:rPr>
          <w:sz w:val="20"/>
        </w:rPr>
        <w:t xml:space="preserve">(в ред. постановлений Правительства Новосибирской области от 15.02.2017 </w:t>
      </w:r>
      <w:hyperlink w:history="0" r:id="rId125"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19.11.2018 </w:t>
      </w:r>
      <w:hyperlink w:history="0" r:id="rId126"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19.03.2019 </w:t>
      </w:r>
      <w:hyperlink w:history="0" r:id="rId12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w:t>
      </w:r>
    </w:p>
    <w:p>
      <w:pPr>
        <w:pStyle w:val="0"/>
        <w:spacing w:before="200" w:line-rule="auto"/>
        <w:ind w:firstLine="540"/>
        <w:jc w:val="both"/>
      </w:pPr>
      <w:r>
        <w:rPr>
          <w:sz w:val="20"/>
        </w:rPr>
        <w:t xml:space="preserve">2. Повышение доступности жилья и качества жилищного обеспечения населения за счет исполнения государственных обязательств по обеспечению жильем отдельных категорий граждан и снижения средней стоимости квадратного метра жилья.</w:t>
      </w:r>
    </w:p>
    <w:p>
      <w:pPr>
        <w:pStyle w:val="0"/>
        <w:spacing w:before="200" w:line-rule="auto"/>
        <w:ind w:firstLine="540"/>
        <w:jc w:val="both"/>
      </w:pPr>
      <w:r>
        <w:rPr>
          <w:sz w:val="20"/>
        </w:rPr>
        <w:t xml:space="preserve">3. Развитие рынка доступного арендного жилья.</w:t>
      </w:r>
    </w:p>
    <w:p>
      <w:pPr>
        <w:pStyle w:val="0"/>
        <w:spacing w:before="200" w:line-rule="auto"/>
        <w:ind w:firstLine="540"/>
        <w:jc w:val="both"/>
      </w:pPr>
      <w:r>
        <w:rPr>
          <w:sz w:val="20"/>
        </w:rPr>
        <w:t xml:space="preserve">4. Оказание целенаправленной помощи отдельным категориям граждан, которые не могут самостоятельно приобрести жилье.</w:t>
      </w:r>
    </w:p>
    <w:p>
      <w:pPr>
        <w:pStyle w:val="0"/>
        <w:spacing w:before="200" w:line-rule="auto"/>
        <w:ind w:firstLine="540"/>
        <w:jc w:val="both"/>
      </w:pPr>
      <w:r>
        <w:rPr>
          <w:sz w:val="20"/>
        </w:rPr>
        <w:t xml:space="preserve">5. Совершенствование рынка ипотечного кредитования.</w:t>
      </w:r>
    </w:p>
    <w:p>
      <w:pPr>
        <w:pStyle w:val="0"/>
        <w:spacing w:before="200" w:line-rule="auto"/>
        <w:ind w:firstLine="540"/>
        <w:jc w:val="both"/>
      </w:pPr>
      <w:r>
        <w:rPr>
          <w:sz w:val="20"/>
        </w:rPr>
        <w:t xml:space="preserve">6. 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 ставка по которому должна быть менее 8 процентов.</w:t>
      </w:r>
    </w:p>
    <w:p>
      <w:pPr>
        <w:pStyle w:val="0"/>
        <w:jc w:val="both"/>
      </w:pPr>
      <w:r>
        <w:rPr>
          <w:sz w:val="20"/>
        </w:rPr>
        <w:t xml:space="preserve">(п. 6 введен </w:t>
      </w:r>
      <w:hyperlink w:history="0" r:id="rId128"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19.11.2018 N 481-п)</w:t>
      </w:r>
    </w:p>
    <w:p>
      <w:pPr>
        <w:pStyle w:val="0"/>
        <w:ind w:firstLine="540"/>
        <w:jc w:val="both"/>
      </w:pPr>
      <w:r>
        <w:rPr>
          <w:sz w:val="20"/>
        </w:rPr>
      </w:r>
    </w:p>
    <w:p>
      <w:pPr>
        <w:pStyle w:val="2"/>
        <w:outlineLvl w:val="1"/>
        <w:jc w:val="center"/>
      </w:pPr>
      <w:r>
        <w:rPr>
          <w:sz w:val="20"/>
        </w:rPr>
        <w:t xml:space="preserve">III. Цели и задачи, важнейшие целевые</w:t>
      </w:r>
    </w:p>
    <w:p>
      <w:pPr>
        <w:pStyle w:val="2"/>
        <w:jc w:val="center"/>
      </w:pPr>
      <w:r>
        <w:rPr>
          <w:sz w:val="20"/>
        </w:rPr>
        <w:t xml:space="preserve">индикаторы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29"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2"/>
        <w:outlineLvl w:val="1"/>
        <w:jc w:val="center"/>
      </w:pPr>
      <w:r>
        <w:rPr>
          <w:sz w:val="20"/>
        </w:rPr>
        <w:t xml:space="preserve">IV. Система основных мероприятий государственной программы</w:t>
      </w:r>
    </w:p>
    <w:p>
      <w:pPr>
        <w:pStyle w:val="0"/>
        <w:ind w:firstLine="540"/>
        <w:jc w:val="both"/>
      </w:pPr>
      <w:r>
        <w:rPr>
          <w:sz w:val="20"/>
        </w:rPr>
      </w:r>
    </w:p>
    <w:p>
      <w:pPr>
        <w:pStyle w:val="0"/>
        <w:ind w:firstLine="540"/>
        <w:jc w:val="both"/>
      </w:pPr>
      <w:r>
        <w:rPr>
          <w:sz w:val="20"/>
        </w:rPr>
        <w:t xml:space="preserve">Подпрограммы государственной программы направлены на достижение цели по стимулированию развития жилищного строительства и формированию рынка доступного и комфортного жилья на территории Новосибирской области.</w:t>
      </w:r>
    </w:p>
    <w:p>
      <w:pPr>
        <w:pStyle w:val="0"/>
        <w:spacing w:before="200" w:line-rule="auto"/>
        <w:ind w:firstLine="540"/>
        <w:jc w:val="both"/>
      </w:pPr>
      <w:r>
        <w:rPr>
          <w:sz w:val="20"/>
        </w:rPr>
        <w:t xml:space="preserve">Основные мероприятия государственной программы приведены в </w:t>
      </w:r>
      <w:hyperlink w:history="0" w:anchor="P1610" w:tooltip="ОСНОВНЫЕ МЕРОПРИЯТИЯ">
        <w:r>
          <w:rPr>
            <w:sz w:val="20"/>
            <w:color w:val="0000ff"/>
          </w:rPr>
          <w:t xml:space="preserve">приложении N 2</w:t>
        </w:r>
      </w:hyperlink>
      <w:r>
        <w:rPr>
          <w:sz w:val="20"/>
        </w:rPr>
        <w:t xml:space="preserve"> к государственной программе.</w:t>
      </w:r>
    </w:p>
    <w:p>
      <w:pPr>
        <w:pStyle w:val="0"/>
        <w:spacing w:before="200" w:line-rule="auto"/>
        <w:ind w:firstLine="540"/>
        <w:jc w:val="both"/>
      </w:pPr>
      <w:r>
        <w:rPr>
          <w:sz w:val="20"/>
        </w:rPr>
        <w:t xml:space="preserve">Для решения задачи государственной программы по созданию условий для осуществления градостроительной деятельности на территории Новосибирской области предусмотрены подпрограммы государственной программы "</w:t>
      </w:r>
      <w:hyperlink w:history="0" w:anchor="P5438" w:tooltip="Подпрограмма">
        <w:r>
          <w:rPr>
            <w:sz w:val="20"/>
            <w:color w:val="0000ff"/>
          </w:rPr>
          <w:t xml:space="preserve">Градостроительная подготовка</w:t>
        </w:r>
      </w:hyperlink>
      <w:r>
        <w:rPr>
          <w:sz w:val="20"/>
        </w:rPr>
        <w:t xml:space="preserve"> территорий Новосибирской области", "</w:t>
      </w:r>
      <w:hyperlink w:history="0" w:anchor="P5667" w:tooltip="Подпрограмма">
        <w:r>
          <w:rPr>
            <w:sz w:val="20"/>
            <w:color w:val="0000ff"/>
          </w:rPr>
          <w:t xml:space="preserve">Фонд пространственных данных</w:t>
        </w:r>
      </w:hyperlink>
      <w:r>
        <w:rPr>
          <w:sz w:val="20"/>
        </w:rPr>
        <w:t xml:space="preserve"> Новосибирской области". С 2020 года предусмотрена </w:t>
      </w:r>
      <w:hyperlink w:history="0" w:anchor="P5822" w:tooltip="Подпрограмма">
        <w:r>
          <w:rPr>
            <w:sz w:val="20"/>
            <w:color w:val="0000ff"/>
          </w:rPr>
          <w:t xml:space="preserve">подпрограмма</w:t>
        </w:r>
      </w:hyperlink>
      <w:r>
        <w:rPr>
          <w:sz w:val="20"/>
        </w:rPr>
        <w:t xml:space="preserve"> государственной программы "Градостроительная подготовка территорий Новосибирской области и фонд пространственных данных Новосибирской области". Мероприятия данных подпрограмм направлены на достижение цели по обеспечению муниципальных образований Новосибирской области актуальной градостроительной документацией, предусмотренной Градостроительным </w:t>
      </w:r>
      <w:hyperlink w:history="0" r:id="rId130"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 Подробное описание мероприятий данных подпрограмм приведено в приложениях N 4, N 4.1 и N 4.2 к государственной программе.</w:t>
      </w:r>
    </w:p>
    <w:p>
      <w:pPr>
        <w:pStyle w:val="0"/>
        <w:jc w:val="both"/>
      </w:pPr>
      <w:r>
        <w:rPr>
          <w:sz w:val="20"/>
        </w:rPr>
        <w:t xml:space="preserve">(в ред. </w:t>
      </w:r>
      <w:hyperlink w:history="0" r:id="rId131"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02.06.2020 N 215-п)</w:t>
      </w:r>
    </w:p>
    <w:p>
      <w:pPr>
        <w:pStyle w:val="0"/>
        <w:spacing w:before="200" w:line-rule="auto"/>
        <w:ind w:firstLine="540"/>
        <w:jc w:val="both"/>
      </w:pPr>
      <w:r>
        <w:rPr>
          <w:sz w:val="20"/>
        </w:rPr>
        <w:t xml:space="preserve">В целях решения задачи государственной программы, направленной на содействие в обеспечении земельных участков, определенных под комплексную застройку, инженерной инфраструктурой, сокращение количества "проблемных" объектов, вовлечение в жилищное строительство неэффективно используемых земель, предусмотрены подпрограммы государственной программы "</w:t>
      </w:r>
      <w:hyperlink w:history="0" w:anchor="P5959" w:tooltip="Подпрограмма">
        <w:r>
          <w:rPr>
            <w:sz w:val="20"/>
            <w:color w:val="0000ff"/>
          </w:rPr>
          <w:t xml:space="preserve">Инженерное обустройство</w:t>
        </w:r>
      </w:hyperlink>
      <w:r>
        <w:rPr>
          <w:sz w:val="20"/>
        </w:rPr>
        <w:t xml:space="preserve"> площадок комплексной застройки Новосибирской области" и "</w:t>
      </w:r>
      <w:hyperlink w:history="0" w:anchor="P6143" w:tooltip="Подпрограмма">
        <w:r>
          <w:rPr>
            <w:sz w:val="20"/>
            <w:color w:val="0000ff"/>
          </w:rPr>
          <w:t xml:space="preserve">Земельные ресурсы</w:t>
        </w:r>
      </w:hyperlink>
      <w:r>
        <w:rPr>
          <w:sz w:val="20"/>
        </w:rPr>
        <w:t xml:space="preserve"> и инфраструктура", "</w:t>
      </w:r>
      <w:hyperlink w:history="0" w:anchor="P6315" w:tooltip="Подпрограмма">
        <w:r>
          <w:rPr>
            <w:sz w:val="20"/>
            <w:color w:val="0000ff"/>
          </w:rPr>
          <w:t xml:space="preserve">Государственная поддержка</w:t>
        </w:r>
      </w:hyperlink>
      <w:r>
        <w:rPr>
          <w:sz w:val="20"/>
        </w:rPr>
        <w:t xml:space="preserve"> при завершении строительства "проблемных" жилых домов".</w:t>
      </w:r>
    </w:p>
    <w:p>
      <w:pPr>
        <w:pStyle w:val="0"/>
        <w:jc w:val="both"/>
      </w:pPr>
      <w:r>
        <w:rPr>
          <w:sz w:val="20"/>
        </w:rPr>
        <w:t xml:space="preserve">(в ред. постановлений Правительства Новосибирской области от 15.02.2017 </w:t>
      </w:r>
      <w:hyperlink w:history="0" r:id="rId132"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13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p>
      <w:pPr>
        <w:pStyle w:val="0"/>
        <w:spacing w:before="200" w:line-rule="auto"/>
        <w:ind w:firstLine="540"/>
        <w:jc w:val="both"/>
      </w:pPr>
      <w:r>
        <w:rPr>
          <w:sz w:val="20"/>
        </w:rPr>
        <w:t xml:space="preserve">Абзац утратил силу. - </w:t>
      </w:r>
      <w:hyperlink w:history="0" r:id="rId134"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Подробное описание мероприятий указанных подпрограмм приведено в </w:t>
      </w:r>
      <w:hyperlink w:history="0" w:anchor="P5959" w:tooltip="Подпрограмма">
        <w:r>
          <w:rPr>
            <w:sz w:val="20"/>
            <w:color w:val="0000ff"/>
          </w:rPr>
          <w:t xml:space="preserve">приложениях N 5</w:t>
        </w:r>
      </w:hyperlink>
      <w:r>
        <w:rPr>
          <w:sz w:val="20"/>
        </w:rPr>
        <w:t xml:space="preserve"> и </w:t>
      </w:r>
      <w:hyperlink w:history="0" w:anchor="P6143" w:tooltip="Подпрограмма">
        <w:r>
          <w:rPr>
            <w:sz w:val="20"/>
            <w:color w:val="0000ff"/>
          </w:rPr>
          <w:t xml:space="preserve">N 5.1</w:t>
        </w:r>
      </w:hyperlink>
      <w:r>
        <w:rPr>
          <w:sz w:val="20"/>
        </w:rPr>
        <w:t xml:space="preserve">, </w:t>
      </w:r>
      <w:hyperlink w:history="0" w:anchor="P6315" w:tooltip="Подпрограмма">
        <w:r>
          <w:rPr>
            <w:sz w:val="20"/>
            <w:color w:val="0000ff"/>
          </w:rPr>
          <w:t xml:space="preserve">N 5.2</w:t>
        </w:r>
      </w:hyperlink>
      <w:r>
        <w:rPr>
          <w:sz w:val="20"/>
        </w:rPr>
        <w:t xml:space="preserve"> к государственной программе.</w:t>
      </w:r>
    </w:p>
    <w:p>
      <w:pPr>
        <w:pStyle w:val="0"/>
        <w:jc w:val="both"/>
      </w:pPr>
      <w:r>
        <w:rPr>
          <w:sz w:val="20"/>
        </w:rPr>
        <w:t xml:space="preserve">(в ред. постановлений Правительства Новосибирской области от 15.02.2017 </w:t>
      </w:r>
      <w:hyperlink w:history="0" r:id="rId135"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136"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p>
      <w:pPr>
        <w:pStyle w:val="0"/>
        <w:spacing w:before="200" w:line-rule="auto"/>
        <w:ind w:firstLine="540"/>
        <w:jc w:val="both"/>
      </w:pPr>
      <w:r>
        <w:rPr>
          <w:sz w:val="20"/>
        </w:rPr>
        <w:t xml:space="preserve">Для решения задачи государственной программы, направленной на улучшение жилищных условий различных категорий граждан и создание условий для развития ипотечного кредитования, предусмотрены следующие подпрограммы государственной программы:</w:t>
      </w:r>
    </w:p>
    <w:p>
      <w:pPr>
        <w:pStyle w:val="0"/>
        <w:spacing w:before="200" w:line-rule="auto"/>
        <w:ind w:firstLine="540"/>
        <w:jc w:val="both"/>
      </w:pPr>
      <w:r>
        <w:rPr>
          <w:sz w:val="20"/>
        </w:rPr>
        <w:t xml:space="preserve">1. "</w:t>
      </w:r>
      <w:hyperlink w:history="0" w:anchor="P6436" w:tooltip="Подпрограмма">
        <w:r>
          <w:rPr>
            <w:sz w:val="20"/>
            <w:color w:val="0000ff"/>
          </w:rPr>
          <w:t xml:space="preserve">Государственная поддержка</w:t>
        </w:r>
      </w:hyperlink>
      <w:r>
        <w:rPr>
          <w:sz w:val="20"/>
        </w:rPr>
        <w:t xml:space="preserve"> граждан при приобретении (строительстве) жилья и стимулирование развития ипотечного кредитования", направленная на оказание содействия в улучшении жилищных условий экономически активного населения и стимулирование развития ипотечного кредитования.</w:t>
      </w:r>
    </w:p>
    <w:p>
      <w:pPr>
        <w:pStyle w:val="0"/>
        <w:spacing w:before="200" w:line-rule="auto"/>
        <w:ind w:firstLine="540"/>
        <w:jc w:val="both"/>
      </w:pPr>
      <w:r>
        <w:rPr>
          <w:sz w:val="20"/>
        </w:rPr>
        <w:t xml:space="preserve">Подробное описание мероприятий указанной </w:t>
      </w:r>
      <w:hyperlink w:history="0" w:anchor="P6436" w:tooltip="Подпрограмма">
        <w:r>
          <w:rPr>
            <w:sz w:val="20"/>
            <w:color w:val="0000ff"/>
          </w:rPr>
          <w:t xml:space="preserve">подпрограммы</w:t>
        </w:r>
      </w:hyperlink>
      <w:r>
        <w:rPr>
          <w:sz w:val="20"/>
        </w:rPr>
        <w:t xml:space="preserve"> приведено в приложении N 6 к государственной программе.</w:t>
      </w:r>
    </w:p>
    <w:p>
      <w:pPr>
        <w:pStyle w:val="0"/>
        <w:spacing w:before="200" w:line-rule="auto"/>
        <w:ind w:firstLine="540"/>
        <w:jc w:val="both"/>
      </w:pPr>
      <w:r>
        <w:rPr>
          <w:sz w:val="20"/>
        </w:rPr>
        <w:t xml:space="preserve">2. </w:t>
      </w:r>
      <w:hyperlink w:history="0" w:anchor="P6600" w:tooltip="Подпрограмма">
        <w:r>
          <w:rPr>
            <w:sz w:val="20"/>
            <w:color w:val="0000ff"/>
          </w:rPr>
          <w:t xml:space="preserve">Подпрограмма</w:t>
        </w:r>
      </w:hyperlink>
      <w:r>
        <w:rPr>
          <w:sz w:val="20"/>
        </w:rPr>
        <w:t xml:space="preserve"> государственной 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 Данная подпрограмма направлена на улучшение жилищных условий многодетных малообеспеченных семей и предусматривает предоставление субсидий муниципальным районам и городским округам Новосибирской области на обеспечение жилыми помещениями многодетных малообеспеченных семей по договорам социального найма.</w:t>
      </w:r>
    </w:p>
    <w:p>
      <w:pPr>
        <w:pStyle w:val="0"/>
        <w:spacing w:before="200" w:line-rule="auto"/>
        <w:ind w:firstLine="540"/>
        <w:jc w:val="both"/>
      </w:pPr>
      <w:r>
        <w:rPr>
          <w:sz w:val="20"/>
        </w:rPr>
        <w:t xml:space="preserve">Подробное описание мероприятий указанной </w:t>
      </w:r>
      <w:hyperlink w:history="0" w:anchor="P6600" w:tooltip="Подпрограмма">
        <w:r>
          <w:rPr>
            <w:sz w:val="20"/>
            <w:color w:val="0000ff"/>
          </w:rPr>
          <w:t xml:space="preserve">подпрограммы</w:t>
        </w:r>
      </w:hyperlink>
      <w:r>
        <w:rPr>
          <w:sz w:val="20"/>
        </w:rPr>
        <w:t xml:space="preserve"> приведено в приложении N 7 к государственной программе.</w:t>
      </w:r>
    </w:p>
    <w:p>
      <w:pPr>
        <w:pStyle w:val="0"/>
        <w:spacing w:before="200" w:line-rule="auto"/>
        <w:ind w:firstLine="540"/>
        <w:jc w:val="both"/>
      </w:pPr>
      <w:r>
        <w:rPr>
          <w:sz w:val="20"/>
        </w:rPr>
        <w:t xml:space="preserve">3. </w:t>
      </w:r>
      <w:hyperlink w:history="0" w:anchor="P6695" w:tooltip="Подпрограмма">
        <w:r>
          <w:rPr>
            <w:sz w:val="20"/>
            <w:color w:val="0000ff"/>
          </w:rPr>
          <w:t xml:space="preserve">Подпрограмма</w:t>
        </w:r>
      </w:hyperlink>
      <w:r>
        <w:rPr>
          <w:sz w:val="20"/>
        </w:rPr>
        <w:t xml:space="preserve">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Данная подпрограмма направлена на закрепление кадров за счет улучшения жилищных условий отдельных категорий граждан, проживающих на территории Новосибирской области, и предусматривает предоставление субсидий муниципальным районам и городским округам Новосибирской области для строительства (приобретения на первичном рынке) служебного жилья для отдельных категорий граждан, проживающих и работающих на территории Новосибирской области.</w:t>
      </w:r>
    </w:p>
    <w:p>
      <w:pPr>
        <w:pStyle w:val="0"/>
        <w:spacing w:before="200" w:line-rule="auto"/>
        <w:ind w:firstLine="540"/>
        <w:jc w:val="both"/>
      </w:pPr>
      <w:r>
        <w:rPr>
          <w:sz w:val="20"/>
        </w:rPr>
        <w:t xml:space="preserve">Подробное описание мероприятий указанной </w:t>
      </w:r>
      <w:hyperlink w:history="0" w:anchor="P6695" w:tooltip="Подпрограмма">
        <w:r>
          <w:rPr>
            <w:sz w:val="20"/>
            <w:color w:val="0000ff"/>
          </w:rPr>
          <w:t xml:space="preserve">подпрограммы</w:t>
        </w:r>
      </w:hyperlink>
      <w:r>
        <w:rPr>
          <w:sz w:val="20"/>
        </w:rPr>
        <w:t xml:space="preserve"> приведено в приложении N 8 к государственной программе.</w:t>
      </w:r>
    </w:p>
    <w:p>
      <w:pPr>
        <w:pStyle w:val="0"/>
        <w:spacing w:before="200" w:line-rule="auto"/>
        <w:ind w:firstLine="540"/>
        <w:jc w:val="both"/>
      </w:pPr>
      <w:r>
        <w:rPr>
          <w:sz w:val="20"/>
        </w:rPr>
        <w:t xml:space="preserve">4. </w:t>
      </w:r>
      <w:hyperlink w:history="0" w:anchor="P6901" w:tooltip="Подпрограмма">
        <w:r>
          <w:rPr>
            <w:sz w:val="20"/>
            <w:color w:val="0000ff"/>
          </w:rPr>
          <w:t xml:space="preserve">Подпрограмма</w:t>
        </w:r>
      </w:hyperlink>
      <w:r>
        <w:rPr>
          <w:sz w:val="20"/>
        </w:rPr>
        <w:t xml:space="preserve"> государственной программы "Государственная поддержка отдельных категорий работников бюджетной сферы при ипотечном жилищном кредитовании". Данная подпрограмма направлена на повышение доступности жилья для молодых специалистов бюджетной сферы.</w:t>
      </w:r>
    </w:p>
    <w:p>
      <w:pPr>
        <w:pStyle w:val="0"/>
        <w:spacing w:before="200" w:line-rule="auto"/>
        <w:ind w:firstLine="540"/>
        <w:jc w:val="both"/>
      </w:pPr>
      <w:r>
        <w:rPr>
          <w:sz w:val="20"/>
        </w:rPr>
        <w:t xml:space="preserve">Подробное описание мероприятий указанной </w:t>
      </w:r>
      <w:hyperlink w:history="0" w:anchor="P6901" w:tooltip="Подпрограмма">
        <w:r>
          <w:rPr>
            <w:sz w:val="20"/>
            <w:color w:val="0000ff"/>
          </w:rPr>
          <w:t xml:space="preserve">подпрограммы</w:t>
        </w:r>
      </w:hyperlink>
      <w:r>
        <w:rPr>
          <w:sz w:val="20"/>
        </w:rPr>
        <w:t xml:space="preserve"> приведено в приложении N 9 к государственной программе.</w:t>
      </w:r>
    </w:p>
    <w:p>
      <w:pPr>
        <w:pStyle w:val="0"/>
        <w:spacing w:before="200" w:line-rule="auto"/>
        <w:ind w:firstLine="540"/>
        <w:jc w:val="both"/>
      </w:pPr>
      <w:r>
        <w:rPr>
          <w:sz w:val="20"/>
        </w:rPr>
        <w:t xml:space="preserve">5. </w:t>
      </w:r>
      <w:hyperlink w:history="0" w:anchor="P7008" w:tooltip="Подпрограмма">
        <w:r>
          <w:rPr>
            <w:sz w:val="20"/>
            <w:color w:val="0000ff"/>
          </w:rPr>
          <w:t xml:space="preserve">Подпрограмма</w:t>
        </w:r>
      </w:hyperlink>
      <w:r>
        <w:rPr>
          <w:sz w:val="20"/>
        </w:rPr>
        <w:t xml:space="preserve"> государственной программы "Государственная поддержка отдельных категорий граждан, являющихся нанимателями по договорам коммерческого найма жилых помещений" и </w:t>
      </w:r>
      <w:hyperlink w:history="0" w:anchor="P7109" w:tooltip="Подпрограмма">
        <w:r>
          <w:rPr>
            <w:sz w:val="20"/>
            <w:color w:val="0000ff"/>
          </w:rPr>
          <w:t xml:space="preserve">подпрограмма</w:t>
        </w:r>
      </w:hyperlink>
      <w:r>
        <w:rPr>
          <w:sz w:val="20"/>
        </w:rPr>
        <w:t xml:space="preserve"> государственной программы "Развитие рынка наемного жилья". Данные подпрограммы направлены на создание условий для повышения доступности жилья для граждан путем предоставления жилых помещений по договорам коммерческого и социального найма.</w:t>
      </w:r>
    </w:p>
    <w:p>
      <w:pPr>
        <w:pStyle w:val="0"/>
        <w:jc w:val="both"/>
      </w:pPr>
      <w:r>
        <w:rPr>
          <w:sz w:val="20"/>
        </w:rPr>
        <w:t xml:space="preserve">(в ред. </w:t>
      </w:r>
      <w:hyperlink w:history="0" r:id="rId137"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Подробное описание мероприятий указанных подпрограмм приведено в </w:t>
      </w:r>
      <w:hyperlink w:history="0" w:anchor="P7008" w:tooltip="Подпрограмма">
        <w:r>
          <w:rPr>
            <w:sz w:val="20"/>
            <w:color w:val="0000ff"/>
          </w:rPr>
          <w:t xml:space="preserve">приложениях N 10</w:t>
        </w:r>
      </w:hyperlink>
      <w:r>
        <w:rPr>
          <w:sz w:val="20"/>
        </w:rPr>
        <w:t xml:space="preserve"> и </w:t>
      </w:r>
      <w:hyperlink w:history="0" w:anchor="P7109" w:tooltip="Подпрограмма">
        <w:r>
          <w:rPr>
            <w:sz w:val="20"/>
            <w:color w:val="0000ff"/>
          </w:rPr>
          <w:t xml:space="preserve">N 10.1</w:t>
        </w:r>
      </w:hyperlink>
      <w:r>
        <w:rPr>
          <w:sz w:val="20"/>
        </w:rPr>
        <w:t xml:space="preserve"> к государственной программе.</w:t>
      </w:r>
    </w:p>
    <w:p>
      <w:pPr>
        <w:pStyle w:val="0"/>
        <w:jc w:val="both"/>
      </w:pPr>
      <w:r>
        <w:rPr>
          <w:sz w:val="20"/>
        </w:rPr>
        <w:t xml:space="preserve">(в ред. </w:t>
      </w:r>
      <w:hyperlink w:history="0" r:id="rId138"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Кроме того, создание жилищного фонда коммерческого найма вне рамок государственной программы может осуществляться застройщиками за счет собственных и (или) кредитных средств, в том числе с использованием ипотечного кредитного продукта "Арендное жилье" и других специальных программ, реализуемых в том числе через АО "НОАИК".</w:t>
      </w:r>
    </w:p>
    <w:p>
      <w:pPr>
        <w:pStyle w:val="0"/>
        <w:jc w:val="both"/>
      </w:pPr>
      <w:r>
        <w:rPr>
          <w:sz w:val="20"/>
        </w:rPr>
        <w:t xml:space="preserve">(в ред. </w:t>
      </w:r>
      <w:hyperlink w:history="0" r:id="rId13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Абзац утратил силу. - </w:t>
      </w:r>
      <w:hyperlink w:history="0" r:id="rId14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Органы местного самоуправления муниципальных образований Новосибирской области принимают участие в реализации подпрограмм государственной программы "</w:t>
      </w:r>
      <w:hyperlink w:history="0" w:anchor="P5438" w:tooltip="Подпрограмма">
        <w:r>
          <w:rPr>
            <w:sz w:val="20"/>
            <w:color w:val="0000ff"/>
          </w:rPr>
          <w:t xml:space="preserve">Градостроительная подготовка</w:t>
        </w:r>
      </w:hyperlink>
      <w:r>
        <w:rPr>
          <w:sz w:val="20"/>
        </w:rPr>
        <w:t xml:space="preserve"> территорий Новосибирской области", "</w:t>
      </w:r>
      <w:hyperlink w:history="0" w:anchor="P5959" w:tooltip="Подпрограмма">
        <w:r>
          <w:rPr>
            <w:sz w:val="20"/>
            <w:color w:val="0000ff"/>
          </w:rPr>
          <w:t xml:space="preserve">Инженерное обустройство</w:t>
        </w:r>
      </w:hyperlink>
      <w:r>
        <w:rPr>
          <w:sz w:val="20"/>
        </w:rPr>
        <w:t xml:space="preserve"> площадок комплексной застройки Новосибирской области", "</w:t>
      </w:r>
      <w:hyperlink w:history="0" w:anchor="P6143" w:tooltip="Подпрограмма">
        <w:r>
          <w:rPr>
            <w:sz w:val="20"/>
            <w:color w:val="0000ff"/>
          </w:rPr>
          <w:t xml:space="preserve">Земельные ресурсы</w:t>
        </w:r>
      </w:hyperlink>
      <w:r>
        <w:rPr>
          <w:sz w:val="20"/>
        </w:rPr>
        <w:t xml:space="preserve"> и инфраструктура", "</w:t>
      </w:r>
      <w:hyperlink w:history="0" w:anchor="P6600" w:tooltip="Подпрограмма">
        <w:r>
          <w:rPr>
            <w:sz w:val="20"/>
            <w:color w:val="0000ff"/>
          </w:rPr>
          <w:t xml:space="preserve">Государственная поддержка</w:t>
        </w:r>
      </w:hyperlink>
      <w:r>
        <w:rPr>
          <w:sz w:val="20"/>
        </w:rPr>
        <w:t xml:space="preserve"> муниципальных образований Новосибирской области в обеспечении жилыми помещениями многодетных малообеспеченных семей", "</w:t>
      </w:r>
      <w:hyperlink w:history="0" w:anchor="P6695" w:tooltip="Подпрограмма">
        <w:r>
          <w:rPr>
            <w:sz w:val="20"/>
            <w:color w:val="0000ff"/>
          </w:rPr>
          <w:t xml:space="preserve">Строительство</w:t>
        </w:r>
      </w:hyperlink>
      <w:r>
        <w:rPr>
          <w:sz w:val="20"/>
        </w:rPr>
        <w:t xml:space="preserve"> (приобретение на первичном рынке) служебного жилья для отдельных категорий граждан, проживающих и работающих на территории Новосибирской области", "</w:t>
      </w:r>
      <w:hyperlink w:history="0" w:anchor="P6315" w:tooltip="Подпрограмма">
        <w:r>
          <w:rPr>
            <w:sz w:val="20"/>
            <w:color w:val="0000ff"/>
          </w:rPr>
          <w:t xml:space="preserve">Государственная поддержка</w:t>
        </w:r>
      </w:hyperlink>
      <w:r>
        <w:rPr>
          <w:sz w:val="20"/>
        </w:rPr>
        <w:t xml:space="preserve"> при завершении строительства "проблемных" жилых домов".</w:t>
      </w:r>
    </w:p>
    <w:p>
      <w:pPr>
        <w:pStyle w:val="0"/>
        <w:jc w:val="both"/>
      </w:pPr>
      <w:r>
        <w:rPr>
          <w:sz w:val="20"/>
        </w:rPr>
        <w:t xml:space="preserve">(в ред. постановлений Правительства Новосибирской области от 15.02.2017 </w:t>
      </w:r>
      <w:hyperlink w:history="0" r:id="rId141"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14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p>
      <w:pPr>
        <w:pStyle w:val="0"/>
        <w:spacing w:before="200" w:line-rule="auto"/>
        <w:ind w:firstLine="540"/>
        <w:jc w:val="both"/>
      </w:pPr>
      <w:r>
        <w:rPr>
          <w:sz w:val="20"/>
        </w:rPr>
        <w:t xml:space="preserve">Объем субсидий с распределением по муниципальным образованиям Новосибирской области утверждается законом Новосибирской области об областном бюджете Новосибирской области на очередной финансовый год и плановый период.</w:t>
      </w:r>
    </w:p>
    <w:p>
      <w:pPr>
        <w:pStyle w:val="0"/>
        <w:spacing w:before="200" w:line-rule="auto"/>
        <w:ind w:firstLine="540"/>
        <w:jc w:val="both"/>
      </w:pPr>
      <w:r>
        <w:rPr>
          <w:sz w:val="20"/>
        </w:rPr>
        <w:t xml:space="preserve">Государственное регулирование мероприятий, предусмотренных государственной программой, осуществляет Минстрой НСО в пределах полномочий, установленных </w:t>
      </w:r>
      <w:hyperlink w:history="0" r:id="rId143" w:tooltip="Постановление Правительства Новосибирской области от 02.10.2014 N 398-п (ред. от 25.08.2022) &quot;О министерстве строительства Новосибирской области&quot; {КонсультантПлюс}">
        <w:r>
          <w:rPr>
            <w:sz w:val="20"/>
            <w:color w:val="0000ff"/>
          </w:rPr>
          <w:t xml:space="preserve">Положением</w:t>
        </w:r>
      </w:hyperlink>
      <w:r>
        <w:rPr>
          <w:sz w:val="20"/>
        </w:rPr>
        <w:t xml:space="preserve"> о министерстве строительства Новосибирской области, утвержденным постановлением Правительства Новосибирской области от 02.10.2014 N 398-п "О министерстве строительства Новосибирской области" (далее - Положение), в том числе государственный контроль (надзор) в области долевого строительства многоквартирных домов и иных объектов недвижимости, а также контроль за соблюдением органами местного самоуправления законодательства о градостроительной деятельности.</w:t>
      </w:r>
    </w:p>
    <w:p>
      <w:pPr>
        <w:pStyle w:val="0"/>
        <w:spacing w:before="200" w:line-rule="auto"/>
        <w:ind w:firstLine="540"/>
        <w:jc w:val="both"/>
      </w:pPr>
      <w:r>
        <w:rPr>
          <w:sz w:val="20"/>
        </w:rPr>
        <w:t xml:space="preserve">В соответствии с </w:t>
      </w:r>
      <w:hyperlink w:history="0" r:id="rId144" w:tooltip="Постановление Правительства Новосибирской области от 02.10.2014 N 398-п (ред. от 25.08.2022) &quot;О министерстве строительства Новосибирской области&quot; {КонсультантПлюс}">
        <w:r>
          <w:rPr>
            <w:sz w:val="20"/>
            <w:color w:val="0000ff"/>
          </w:rPr>
          <w:t xml:space="preserve">Положением</w:t>
        </w:r>
      </w:hyperlink>
      <w:r>
        <w:rPr>
          <w:sz w:val="20"/>
        </w:rPr>
        <w:t xml:space="preserve"> Минстрой НСО в установленной сфере деятельности исполняет следующие государственные функции, относящиеся к сфере реализации государственной программы:</w:t>
      </w:r>
    </w:p>
    <w:p>
      <w:pPr>
        <w:pStyle w:val="0"/>
        <w:spacing w:before="200" w:line-rule="auto"/>
        <w:ind w:firstLine="540"/>
        <w:jc w:val="both"/>
      </w:pPr>
      <w:r>
        <w:rPr>
          <w:sz w:val="20"/>
        </w:rPr>
        <w:t xml:space="preserve">осуществляет контроль за соблюдением органами местного самоуправления законодательства о градостроительной деятельности;</w:t>
      </w:r>
    </w:p>
    <w:p>
      <w:pPr>
        <w:pStyle w:val="0"/>
        <w:spacing w:before="200" w:line-rule="auto"/>
        <w:ind w:firstLine="540"/>
        <w:jc w:val="both"/>
      </w:pPr>
      <w:r>
        <w:rPr>
          <w:sz w:val="20"/>
        </w:rPr>
        <w:t xml:space="preserve">организует разработку и утверждение региональных нормативов градостроительного проектирования Новосибирской области;</w:t>
      </w:r>
    </w:p>
    <w:p>
      <w:pPr>
        <w:pStyle w:val="0"/>
        <w:spacing w:before="200" w:line-rule="auto"/>
        <w:ind w:firstLine="540"/>
        <w:jc w:val="both"/>
      </w:pPr>
      <w:r>
        <w:rPr>
          <w:sz w:val="20"/>
        </w:rPr>
        <w:t xml:space="preserve">организует подготовку документов территориального планирования Новосибирской области;</w:t>
      </w:r>
    </w:p>
    <w:p>
      <w:pPr>
        <w:pStyle w:val="0"/>
        <w:spacing w:before="200" w:line-rule="auto"/>
        <w:ind w:firstLine="540"/>
        <w:jc w:val="both"/>
      </w:pPr>
      <w:r>
        <w:rPr>
          <w:sz w:val="20"/>
        </w:rPr>
        <w:t xml:space="preserve">организует согласование проектов схем территориального планирования муниципальных районов Новосибирской области, генеральных планов городских округов Новосибирской области, генеральных планов поселений Новосибирской области в случаях, указанных в </w:t>
      </w:r>
      <w:hyperlink w:history="0" r:id="rId145" w:tooltip="&quot;Градостроительный кодекс Российской Федерации&quot; от 29.12.2004 N 190-ФЗ (ред. от 29.12.2022) {КонсультантПлюс}">
        <w:r>
          <w:rPr>
            <w:sz w:val="20"/>
            <w:color w:val="0000ff"/>
          </w:rPr>
          <w:t xml:space="preserve">части 2 статьи 21</w:t>
        </w:r>
      </w:hyperlink>
      <w:r>
        <w:rPr>
          <w:sz w:val="20"/>
        </w:rPr>
        <w:t xml:space="preserve">, </w:t>
      </w:r>
      <w:hyperlink w:history="0" r:id="rId146" w:tooltip="&quot;Градостроительный кодекс Российской Федерации&quot; от 29.12.2004 N 190-ФЗ (ред. от 29.12.2022) {КонсультантПлюс}">
        <w:r>
          <w:rPr>
            <w:sz w:val="20"/>
            <w:color w:val="0000ff"/>
          </w:rPr>
          <w:t xml:space="preserve">части 2 статьи 25</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обеспечивает подготовку документации по планировке территории для размещения объектов регионального значения Новосибирской области в случаях, предусмотренных Градостроительным </w:t>
      </w:r>
      <w:hyperlink w:history="0" r:id="rId147"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организует согласование документов территориального планирования Российской Федерации;</w:t>
      </w:r>
    </w:p>
    <w:p>
      <w:pPr>
        <w:pStyle w:val="0"/>
        <w:spacing w:before="200" w:line-rule="auto"/>
        <w:ind w:firstLine="540"/>
        <w:jc w:val="both"/>
      </w:pPr>
      <w:r>
        <w:rPr>
          <w:sz w:val="20"/>
        </w:rPr>
        <w:t xml:space="preserve">организует согласование проекта схемы территориального планирования Новосибирской области с уполномоченным федеральным органом исполнительной власти, высшими исполнительными органами субъектов Российской Федерации, имеющих общую границу с Новосибирской областью, и органами местного самоуправления муниципальных образований Новосибирской области, применительно к территориям которых подготовлены предложения по территориальному планированию в порядке, установленном </w:t>
      </w:r>
      <w:hyperlink w:history="0" r:id="rId148" w:tooltip="&quot;Градостроительный кодекс Российской Федерации&quot; от 29.12.2004 N 190-ФЗ (ред. от 29.12.2022) {КонсультантПлюс}">
        <w:r>
          <w:rPr>
            <w:sz w:val="20"/>
            <w:color w:val="0000ff"/>
          </w:rPr>
          <w:t xml:space="preserve">статьей 16</w:t>
        </w:r>
      </w:hyperlink>
      <w:r>
        <w:rPr>
          <w:sz w:val="20"/>
        </w:rPr>
        <w:t xml:space="preserve"> Градостроительного кодекса Российской Федерации;</w:t>
      </w:r>
    </w:p>
    <w:p>
      <w:pPr>
        <w:pStyle w:val="0"/>
        <w:jc w:val="both"/>
      </w:pPr>
      <w:r>
        <w:rPr>
          <w:sz w:val="20"/>
        </w:rPr>
        <w:t xml:space="preserve">(в ред. </w:t>
      </w:r>
      <w:hyperlink w:history="0" r:id="rId149"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29.12.2022 N 652-п)</w:t>
      </w:r>
    </w:p>
    <w:p>
      <w:pPr>
        <w:pStyle w:val="0"/>
        <w:spacing w:before="200" w:line-rule="auto"/>
        <w:ind w:firstLine="540"/>
        <w:jc w:val="both"/>
      </w:pPr>
      <w:r>
        <w:rPr>
          <w:sz w:val="20"/>
        </w:rPr>
        <w:t xml:space="preserve">осуществляет взаимодействие с Единым институтом развития в жилищной сфере по вопросам вовлечения земельных участков, находящихся в собственности Российской Федерации и в собственности указанного фонда, в целях жилищного и иного строительства;</w:t>
      </w:r>
    </w:p>
    <w:p>
      <w:pPr>
        <w:pStyle w:val="0"/>
        <w:jc w:val="both"/>
      </w:pPr>
      <w:r>
        <w:rPr>
          <w:sz w:val="20"/>
        </w:rPr>
        <w:t xml:space="preserve">(в ред. постановлений Правительства Новосибирской области от 15.02.2017 </w:t>
      </w:r>
      <w:hyperlink w:history="0" r:id="rId150"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151"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p>
      <w:pPr>
        <w:pStyle w:val="0"/>
        <w:spacing w:before="200" w:line-rule="auto"/>
        <w:ind w:firstLine="540"/>
        <w:jc w:val="both"/>
      </w:pPr>
      <w:r>
        <w:rPr>
          <w:sz w:val="20"/>
        </w:rPr>
        <w:t xml:space="preserve">осуществляет контроль (надзор) в области долевого строительства многоквартирных домов и (или) иных объектов недвижимости;</w:t>
      </w:r>
    </w:p>
    <w:p>
      <w:pPr>
        <w:pStyle w:val="0"/>
        <w:spacing w:before="200" w:line-rule="auto"/>
        <w:ind w:firstLine="540"/>
        <w:jc w:val="both"/>
      </w:pPr>
      <w:r>
        <w:rPr>
          <w:sz w:val="20"/>
        </w:rPr>
        <w:t xml:space="preserve">осуществляет ведение реестра граждан, чьи денежные средства привлечены для строительства многоквартирных домов и чьи права нарушены;</w:t>
      </w:r>
    </w:p>
    <w:p>
      <w:pPr>
        <w:pStyle w:val="0"/>
        <w:spacing w:before="200" w:line-rule="auto"/>
        <w:ind w:firstLine="540"/>
        <w:jc w:val="both"/>
      </w:pPr>
      <w:r>
        <w:rPr>
          <w:sz w:val="20"/>
        </w:rPr>
        <w:t xml:space="preserve">организует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соответствии с </w:t>
      </w:r>
      <w:hyperlink w:history="0" r:id="rId152" w:tooltip="&quot;Градостроительный кодекс Российской Федерации&quot; от 29.12.2004 N 190-ФЗ (ред. от 29.12.2022) {КонсультантПлюс}">
        <w:r>
          <w:rPr>
            <w:sz w:val="20"/>
            <w:color w:val="0000ff"/>
          </w:rPr>
          <w:t xml:space="preserve">пунктом 3 статьи 62</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абзац утратил силу. - </w:t>
      </w:r>
      <w:hyperlink w:history="0" r:id="rId15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Для достижения цели государственной программы по стимулированию развития жилищного строительства, формированию рынка доступного и комфортного жилья на территории Новосибирской области существует необходимость проведения государственной экспертизы проектной документации, результатов инженерных изысканий, а также осуществления государственного строительного надзора, предметом которого является в том числе проверка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соответствии с Градостроительным </w:t>
      </w:r>
      <w:hyperlink w:history="0" r:id="rId154"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15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Государственное бюджетное учреждение Новосибирской области "Государственная вневедомственная экспертиза Новосибирской области" (далее - ГБУ НСО "ГВЭ НСО") в целях улучшения качества жилищного фонда и повышения комфортности проживания граждан выполняет работы, оказывает услуги в сфере строительства путем организации и проведения государственной экспертизы проектной документации и государственной экспертизы результатов инженерных изысканий за счет средств застройщика (заказчика) в соответствии с Градостроительным </w:t>
      </w:r>
      <w:hyperlink w:history="0" r:id="rId156"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 осуществляет разработку индексов цен в капитальном строительстве на территории Новосибирской области для объектов капитального строительства, финансируемых за счет средств областного бюджета Новосибирской области.</w:t>
      </w:r>
    </w:p>
    <w:p>
      <w:pPr>
        <w:pStyle w:val="0"/>
        <w:jc w:val="both"/>
      </w:pPr>
      <w:r>
        <w:rPr>
          <w:sz w:val="20"/>
        </w:rPr>
        <w:t xml:space="preserve">(в ред. </w:t>
      </w:r>
      <w:hyperlink w:history="0" r:id="rId157"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Для осуществления регионального государственного строительного надзора на территории Новосибирской области функционирует инспекция государственного строительного надзора Новосибирской области (далее - инспекция). В соответствии с </w:t>
      </w:r>
      <w:hyperlink w:history="0" r:id="rId158" w:tooltip="Постановление Правительства Новосибирской области от 18.10.2016 N 342-п (ред. от 14.11.2022) &quot;Об инспекции государственного строительного надзор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18.10.2016 N 342-п "Об инспекции государственного строительного надзора Новосибирской области" инспекция является областным исполнительным органом государственной власти Новосибирской области, уполномоченным на осуществление регионального государственного строительного надзора в случаях, предусмотренных Градостроительным </w:t>
      </w:r>
      <w:hyperlink w:history="0" r:id="rId159"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 иными федеральными законами.</w:t>
      </w:r>
    </w:p>
    <w:p>
      <w:pPr>
        <w:pStyle w:val="0"/>
        <w:jc w:val="both"/>
      </w:pPr>
      <w:r>
        <w:rPr>
          <w:sz w:val="20"/>
        </w:rPr>
        <w:t xml:space="preserve">(в ред. постановлений Правительства Новосибирской области от 06.07.2018 </w:t>
      </w:r>
      <w:hyperlink w:history="0" r:id="rId16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25.03.2021 </w:t>
      </w:r>
      <w:hyperlink w:history="0" r:id="rId161"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w:t>
      </w:r>
    </w:p>
    <w:p>
      <w:pPr>
        <w:pStyle w:val="0"/>
        <w:ind w:firstLine="540"/>
        <w:jc w:val="both"/>
      </w:pPr>
      <w:r>
        <w:rPr>
          <w:sz w:val="20"/>
        </w:rPr>
      </w:r>
    </w:p>
    <w:p>
      <w:pPr>
        <w:pStyle w:val="2"/>
        <w:outlineLvl w:val="1"/>
        <w:jc w:val="center"/>
      </w:pPr>
      <w:r>
        <w:rPr>
          <w:sz w:val="20"/>
        </w:rPr>
        <w:t xml:space="preserve">V. Механизм реализации и система управления</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62"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2"/>
        <w:outlineLvl w:val="1"/>
        <w:jc w:val="center"/>
      </w:pPr>
      <w:r>
        <w:rPr>
          <w:sz w:val="20"/>
        </w:rPr>
        <w:t xml:space="preserve">VI. Ресурсное обеспечение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63"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2"/>
        <w:outlineLvl w:val="1"/>
        <w:jc w:val="center"/>
      </w:pPr>
      <w:r>
        <w:rPr>
          <w:sz w:val="20"/>
        </w:rPr>
        <w:t xml:space="preserve">VII. Ожидаемые результаты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64"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295" w:name="P295"/>
    <w:bookmarkEnd w:id="295"/>
    <w:p>
      <w:pPr>
        <w:pStyle w:val="2"/>
        <w:jc w:val="center"/>
      </w:pPr>
      <w:r>
        <w:rPr>
          <w:sz w:val="20"/>
        </w:rPr>
        <w:t xml:space="preserve">ЦЕЛИ, ЗАДАЧИ И ЦЕЛЕВЫЕ ИНДИКАТОРЫ</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29.12.2022 </w:t>
            </w:r>
            <w:hyperlink w:history="0" r:id="rId165"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color w:val="392c69"/>
              </w:rPr>
              <w:t xml:space="preserve">, от 21.03.2023 </w:t>
            </w:r>
            <w:hyperlink w:history="0" r:id="rId166"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N 100-п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7"/>
        <w:gridCol w:w="2721"/>
        <w:gridCol w:w="680"/>
        <w:gridCol w:w="793"/>
        <w:gridCol w:w="793"/>
        <w:gridCol w:w="793"/>
        <w:gridCol w:w="794"/>
        <w:gridCol w:w="793"/>
        <w:gridCol w:w="794"/>
        <w:gridCol w:w="793"/>
        <w:gridCol w:w="793"/>
        <w:gridCol w:w="793"/>
        <w:gridCol w:w="793"/>
        <w:gridCol w:w="793"/>
        <w:gridCol w:w="793"/>
        <w:gridCol w:w="2777"/>
      </w:tblGrid>
      <w:tr>
        <w:tc>
          <w:tcPr>
            <w:tcW w:w="2097" w:type="dxa"/>
            <w:vMerge w:val="restart"/>
          </w:tcPr>
          <w:p>
            <w:pPr>
              <w:pStyle w:val="0"/>
              <w:jc w:val="center"/>
            </w:pPr>
            <w:r>
              <w:rPr>
                <w:sz w:val="20"/>
              </w:rPr>
              <w:t xml:space="preserve">Цель/задачи, требующие решения для достижения цели</w:t>
            </w:r>
          </w:p>
        </w:tc>
        <w:tc>
          <w:tcPr>
            <w:tcW w:w="2721" w:type="dxa"/>
            <w:vMerge w:val="restart"/>
          </w:tcPr>
          <w:p>
            <w:pPr>
              <w:pStyle w:val="0"/>
              <w:jc w:val="center"/>
            </w:pPr>
            <w:r>
              <w:rPr>
                <w:sz w:val="20"/>
              </w:rPr>
              <w:t xml:space="preserve">Наименование целевого индикатора</w:t>
            </w:r>
          </w:p>
        </w:tc>
        <w:tc>
          <w:tcPr>
            <w:tcW w:w="680" w:type="dxa"/>
            <w:vMerge w:val="restart"/>
          </w:tcPr>
          <w:p>
            <w:pPr>
              <w:pStyle w:val="0"/>
              <w:jc w:val="center"/>
            </w:pPr>
            <w:r>
              <w:rPr>
                <w:sz w:val="20"/>
              </w:rPr>
              <w:t xml:space="preserve">Единица измерения</w:t>
            </w:r>
          </w:p>
        </w:tc>
        <w:tc>
          <w:tcPr>
            <w:gridSpan w:val="12"/>
            <w:tcW w:w="9518" w:type="dxa"/>
          </w:tcPr>
          <w:p>
            <w:pPr>
              <w:pStyle w:val="0"/>
              <w:jc w:val="center"/>
            </w:pPr>
            <w:r>
              <w:rPr>
                <w:sz w:val="20"/>
              </w:rPr>
              <w:t xml:space="preserve">Значение целевого индикатора</w:t>
            </w:r>
          </w:p>
        </w:tc>
        <w:tc>
          <w:tcPr>
            <w:tcW w:w="277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gridSpan w:val="12"/>
            <w:tcW w:w="9518" w:type="dxa"/>
          </w:tcPr>
          <w:p>
            <w:pPr>
              <w:pStyle w:val="0"/>
              <w:jc w:val="center"/>
            </w:pPr>
            <w:r>
              <w:rPr>
                <w:sz w:val="20"/>
              </w:rPr>
              <w:t xml:space="preserve">в том числе по годам</w:t>
            </w:r>
          </w:p>
        </w:tc>
        <w:tc>
          <w:tcPr>
            <w:vMerge w:val="continue"/>
          </w:tcPr>
          <w:p/>
        </w:tc>
      </w:tr>
      <w:tr>
        <w:tc>
          <w:tcPr>
            <w:vMerge w:val="continue"/>
          </w:tcPr>
          <w:p/>
        </w:tc>
        <w:tc>
          <w:tcPr>
            <w:vMerge w:val="continue"/>
          </w:tcPr>
          <w:p/>
        </w:tc>
        <w:tc>
          <w:tcPr>
            <w:vMerge w:val="continue"/>
          </w:tcPr>
          <w:p/>
        </w:tc>
        <w:tc>
          <w:tcPr>
            <w:tcW w:w="793" w:type="dxa"/>
          </w:tcPr>
          <w:p>
            <w:pPr>
              <w:pStyle w:val="0"/>
              <w:jc w:val="center"/>
            </w:pPr>
            <w:r>
              <w:rPr>
                <w:sz w:val="20"/>
              </w:rPr>
              <w:t xml:space="preserve">2014</w:t>
            </w:r>
          </w:p>
        </w:tc>
        <w:tc>
          <w:tcPr>
            <w:tcW w:w="793" w:type="dxa"/>
          </w:tcPr>
          <w:p>
            <w:pPr>
              <w:pStyle w:val="0"/>
              <w:jc w:val="center"/>
            </w:pPr>
            <w:r>
              <w:rPr>
                <w:sz w:val="20"/>
              </w:rPr>
              <w:t xml:space="preserve">2015</w:t>
            </w:r>
          </w:p>
        </w:tc>
        <w:tc>
          <w:tcPr>
            <w:tcW w:w="793" w:type="dxa"/>
          </w:tcPr>
          <w:p>
            <w:pPr>
              <w:pStyle w:val="0"/>
              <w:jc w:val="center"/>
            </w:pPr>
            <w:r>
              <w:rPr>
                <w:sz w:val="20"/>
              </w:rPr>
              <w:t xml:space="preserve">2016</w:t>
            </w:r>
          </w:p>
        </w:tc>
        <w:tc>
          <w:tcPr>
            <w:tcW w:w="794" w:type="dxa"/>
          </w:tcPr>
          <w:p>
            <w:pPr>
              <w:pStyle w:val="0"/>
              <w:jc w:val="center"/>
            </w:pPr>
            <w:r>
              <w:rPr>
                <w:sz w:val="20"/>
              </w:rPr>
              <w:t xml:space="preserve">2017</w:t>
            </w:r>
          </w:p>
        </w:tc>
        <w:tc>
          <w:tcPr>
            <w:tcW w:w="793" w:type="dxa"/>
          </w:tcPr>
          <w:p>
            <w:pPr>
              <w:pStyle w:val="0"/>
              <w:jc w:val="center"/>
            </w:pPr>
            <w:r>
              <w:rPr>
                <w:sz w:val="20"/>
              </w:rPr>
              <w:t xml:space="preserve">2018</w:t>
            </w:r>
          </w:p>
        </w:tc>
        <w:tc>
          <w:tcPr>
            <w:tcW w:w="794" w:type="dxa"/>
          </w:tcPr>
          <w:p>
            <w:pPr>
              <w:pStyle w:val="0"/>
              <w:jc w:val="center"/>
            </w:pPr>
            <w:r>
              <w:rPr>
                <w:sz w:val="20"/>
              </w:rPr>
              <w:t xml:space="preserve">2019</w:t>
            </w:r>
          </w:p>
        </w:tc>
        <w:tc>
          <w:tcPr>
            <w:tcW w:w="793" w:type="dxa"/>
          </w:tcPr>
          <w:p>
            <w:pPr>
              <w:pStyle w:val="0"/>
              <w:jc w:val="center"/>
            </w:pPr>
            <w:r>
              <w:rPr>
                <w:sz w:val="20"/>
              </w:rPr>
              <w:t xml:space="preserve">2020</w:t>
            </w:r>
          </w:p>
        </w:tc>
        <w:tc>
          <w:tcPr>
            <w:tcW w:w="793" w:type="dxa"/>
          </w:tcPr>
          <w:p>
            <w:pPr>
              <w:pStyle w:val="0"/>
              <w:jc w:val="center"/>
            </w:pPr>
            <w:r>
              <w:rPr>
                <w:sz w:val="20"/>
              </w:rPr>
              <w:t xml:space="preserve">2021</w:t>
            </w:r>
          </w:p>
        </w:tc>
        <w:tc>
          <w:tcPr>
            <w:tcW w:w="793" w:type="dxa"/>
          </w:tcPr>
          <w:p>
            <w:pPr>
              <w:pStyle w:val="0"/>
              <w:jc w:val="center"/>
            </w:pPr>
            <w:r>
              <w:rPr>
                <w:sz w:val="20"/>
              </w:rPr>
              <w:t xml:space="preserve">2022</w:t>
            </w:r>
          </w:p>
        </w:tc>
        <w:tc>
          <w:tcPr>
            <w:tcW w:w="793" w:type="dxa"/>
          </w:tcPr>
          <w:p>
            <w:pPr>
              <w:pStyle w:val="0"/>
              <w:jc w:val="center"/>
            </w:pPr>
            <w:r>
              <w:rPr>
                <w:sz w:val="20"/>
              </w:rPr>
              <w:t xml:space="preserve">2023</w:t>
            </w:r>
          </w:p>
        </w:tc>
        <w:tc>
          <w:tcPr>
            <w:tcW w:w="793" w:type="dxa"/>
          </w:tcPr>
          <w:p>
            <w:pPr>
              <w:pStyle w:val="0"/>
              <w:jc w:val="center"/>
            </w:pPr>
            <w:r>
              <w:rPr>
                <w:sz w:val="20"/>
              </w:rPr>
              <w:t xml:space="preserve">2024</w:t>
            </w:r>
          </w:p>
        </w:tc>
        <w:tc>
          <w:tcPr>
            <w:tcW w:w="793" w:type="dxa"/>
          </w:tcPr>
          <w:p>
            <w:pPr>
              <w:pStyle w:val="0"/>
              <w:jc w:val="center"/>
            </w:pPr>
            <w:r>
              <w:rPr>
                <w:sz w:val="20"/>
              </w:rPr>
              <w:t xml:space="preserve">2025</w:t>
            </w:r>
          </w:p>
        </w:tc>
        <w:tc>
          <w:tcPr>
            <w:vMerge w:val="continue"/>
          </w:tcPr>
          <w:p/>
        </w:tc>
      </w:tr>
      <w:tr>
        <w:tc>
          <w:tcPr>
            <w:tcW w:w="2097" w:type="dxa"/>
          </w:tcPr>
          <w:p>
            <w:pPr>
              <w:pStyle w:val="0"/>
              <w:jc w:val="center"/>
            </w:pPr>
            <w:r>
              <w:rPr>
                <w:sz w:val="20"/>
              </w:rPr>
              <w:t xml:space="preserve">1</w:t>
            </w:r>
          </w:p>
        </w:tc>
        <w:tc>
          <w:tcPr>
            <w:tcW w:w="2721" w:type="dxa"/>
          </w:tcPr>
          <w:p>
            <w:pPr>
              <w:pStyle w:val="0"/>
              <w:jc w:val="center"/>
            </w:pPr>
            <w:r>
              <w:rPr>
                <w:sz w:val="20"/>
              </w:rPr>
              <w:t xml:space="preserve">2</w:t>
            </w:r>
          </w:p>
        </w:tc>
        <w:tc>
          <w:tcPr>
            <w:tcW w:w="680" w:type="dxa"/>
          </w:tcPr>
          <w:p>
            <w:pPr>
              <w:pStyle w:val="0"/>
              <w:jc w:val="center"/>
            </w:pPr>
            <w:r>
              <w:rPr>
                <w:sz w:val="20"/>
              </w:rPr>
              <w:t xml:space="preserve">3</w:t>
            </w:r>
          </w:p>
        </w:tc>
        <w:tc>
          <w:tcPr>
            <w:tcW w:w="793" w:type="dxa"/>
          </w:tcPr>
          <w:p>
            <w:pPr>
              <w:pStyle w:val="0"/>
              <w:jc w:val="center"/>
            </w:pPr>
            <w:r>
              <w:rPr>
                <w:sz w:val="20"/>
              </w:rPr>
              <w:t xml:space="preserve">4</w:t>
            </w:r>
          </w:p>
        </w:tc>
        <w:tc>
          <w:tcPr>
            <w:tcW w:w="793" w:type="dxa"/>
          </w:tcPr>
          <w:p>
            <w:pPr>
              <w:pStyle w:val="0"/>
              <w:jc w:val="center"/>
            </w:pPr>
            <w:r>
              <w:rPr>
                <w:sz w:val="20"/>
              </w:rPr>
              <w:t xml:space="preserve">5</w:t>
            </w:r>
          </w:p>
        </w:tc>
        <w:tc>
          <w:tcPr>
            <w:tcW w:w="793" w:type="dxa"/>
          </w:tcPr>
          <w:p>
            <w:pPr>
              <w:pStyle w:val="0"/>
              <w:jc w:val="center"/>
            </w:pPr>
            <w:r>
              <w:rPr>
                <w:sz w:val="20"/>
              </w:rPr>
              <w:t xml:space="preserve">6</w:t>
            </w:r>
          </w:p>
        </w:tc>
        <w:tc>
          <w:tcPr>
            <w:tcW w:w="794" w:type="dxa"/>
          </w:tcPr>
          <w:p>
            <w:pPr>
              <w:pStyle w:val="0"/>
              <w:jc w:val="center"/>
            </w:pPr>
            <w:r>
              <w:rPr>
                <w:sz w:val="20"/>
              </w:rPr>
              <w:t xml:space="preserve">7</w:t>
            </w:r>
          </w:p>
        </w:tc>
        <w:tc>
          <w:tcPr>
            <w:tcW w:w="793" w:type="dxa"/>
          </w:tcPr>
          <w:p>
            <w:pPr>
              <w:pStyle w:val="0"/>
              <w:jc w:val="center"/>
            </w:pPr>
            <w:r>
              <w:rPr>
                <w:sz w:val="20"/>
              </w:rPr>
              <w:t xml:space="preserve">8</w:t>
            </w:r>
          </w:p>
        </w:tc>
        <w:tc>
          <w:tcPr>
            <w:tcW w:w="794" w:type="dxa"/>
          </w:tcPr>
          <w:p>
            <w:pPr>
              <w:pStyle w:val="0"/>
              <w:jc w:val="center"/>
            </w:pPr>
            <w:r>
              <w:rPr>
                <w:sz w:val="20"/>
              </w:rPr>
              <w:t xml:space="preserve">9</w:t>
            </w:r>
          </w:p>
        </w:tc>
        <w:tc>
          <w:tcPr>
            <w:tcW w:w="793" w:type="dxa"/>
          </w:tcPr>
          <w:p>
            <w:pPr>
              <w:pStyle w:val="0"/>
              <w:jc w:val="center"/>
            </w:pPr>
            <w:r>
              <w:rPr>
                <w:sz w:val="20"/>
              </w:rPr>
              <w:t xml:space="preserve">10</w:t>
            </w:r>
          </w:p>
        </w:tc>
        <w:tc>
          <w:tcPr>
            <w:tcW w:w="793" w:type="dxa"/>
          </w:tcPr>
          <w:p>
            <w:pPr>
              <w:pStyle w:val="0"/>
              <w:jc w:val="center"/>
            </w:pPr>
            <w:r>
              <w:rPr>
                <w:sz w:val="20"/>
              </w:rPr>
              <w:t xml:space="preserve">11</w:t>
            </w:r>
          </w:p>
        </w:tc>
        <w:tc>
          <w:tcPr>
            <w:tcW w:w="793" w:type="dxa"/>
          </w:tcPr>
          <w:p>
            <w:pPr>
              <w:pStyle w:val="0"/>
              <w:jc w:val="center"/>
            </w:pPr>
            <w:r>
              <w:rPr>
                <w:sz w:val="20"/>
              </w:rPr>
              <w:t xml:space="preserve">12</w:t>
            </w:r>
          </w:p>
        </w:tc>
        <w:tc>
          <w:tcPr>
            <w:tcW w:w="793" w:type="dxa"/>
          </w:tcPr>
          <w:p>
            <w:pPr>
              <w:pStyle w:val="0"/>
              <w:jc w:val="center"/>
            </w:pPr>
            <w:r>
              <w:rPr>
                <w:sz w:val="20"/>
              </w:rPr>
              <w:t xml:space="preserve">13</w:t>
            </w:r>
          </w:p>
        </w:tc>
        <w:tc>
          <w:tcPr>
            <w:tcW w:w="793" w:type="dxa"/>
          </w:tcPr>
          <w:p>
            <w:pPr>
              <w:pStyle w:val="0"/>
              <w:jc w:val="center"/>
            </w:pPr>
            <w:r>
              <w:rPr>
                <w:sz w:val="20"/>
              </w:rPr>
              <w:t xml:space="preserve">14</w:t>
            </w:r>
          </w:p>
        </w:tc>
        <w:tc>
          <w:tcPr>
            <w:tcW w:w="793" w:type="dxa"/>
          </w:tcPr>
          <w:p>
            <w:pPr>
              <w:pStyle w:val="0"/>
              <w:jc w:val="center"/>
            </w:pPr>
            <w:r>
              <w:rPr>
                <w:sz w:val="20"/>
              </w:rPr>
              <w:t xml:space="preserve">15</w:t>
            </w:r>
          </w:p>
        </w:tc>
        <w:tc>
          <w:tcPr>
            <w:tcW w:w="2777" w:type="dxa"/>
          </w:tcPr>
          <w:p>
            <w:pPr>
              <w:pStyle w:val="0"/>
              <w:jc w:val="center"/>
            </w:pPr>
            <w:r>
              <w:rPr>
                <w:sz w:val="20"/>
              </w:rPr>
              <w:t xml:space="preserve">16</w:t>
            </w:r>
          </w:p>
        </w:tc>
      </w:tr>
      <w:tr>
        <w:tc>
          <w:tcPr>
            <w:gridSpan w:val="16"/>
            <w:tcW w:w="17793" w:type="dxa"/>
          </w:tcPr>
          <w:p>
            <w:pPr>
              <w:pStyle w:val="0"/>
              <w:outlineLvl w:val="2"/>
              <w:jc w:val="center"/>
            </w:pPr>
            <w:r>
              <w:rPr>
                <w:sz w:val="20"/>
              </w:rPr>
              <w:t xml:space="preserve">Государственная программа Новосибирской области "Стимулирование развития жилищного строительства в Новосибирской области"</w:t>
            </w:r>
          </w:p>
        </w:tc>
      </w:tr>
      <w:tr>
        <w:tc>
          <w:tcPr>
            <w:tcW w:w="2097" w:type="dxa"/>
            <w:vMerge w:val="restart"/>
          </w:tcPr>
          <w:p>
            <w:pPr>
              <w:pStyle w:val="0"/>
            </w:pPr>
            <w:r>
              <w:rPr>
                <w:sz w:val="20"/>
              </w:rPr>
              <w:t xml:space="preserve">Цель государственной программы - стимулирование развития жилищного строительства, формирование рынка доступного и комфортного жилья на территории Новосибирской области</w:t>
            </w:r>
          </w:p>
        </w:tc>
        <w:tc>
          <w:tcPr>
            <w:tcW w:w="2721" w:type="dxa"/>
          </w:tcPr>
          <w:p>
            <w:pPr>
              <w:pStyle w:val="0"/>
            </w:pPr>
            <w:r>
              <w:rPr>
                <w:sz w:val="20"/>
              </w:rPr>
              <w:t xml:space="preserve">1) объем жилищного строительства, в том числе:</w:t>
            </w:r>
          </w:p>
        </w:tc>
        <w:tc>
          <w:tcPr>
            <w:tcW w:w="680" w:type="dxa"/>
          </w:tcPr>
          <w:p>
            <w:pPr>
              <w:pStyle w:val="0"/>
              <w:jc w:val="center"/>
            </w:pPr>
            <w:r>
              <w:rPr>
                <w:sz w:val="20"/>
              </w:rPr>
              <w:t xml:space="preserve">тыс. кв. м</w:t>
            </w:r>
          </w:p>
        </w:tc>
        <w:tc>
          <w:tcPr>
            <w:tcW w:w="793" w:type="dxa"/>
          </w:tcPr>
          <w:p>
            <w:pPr>
              <w:pStyle w:val="0"/>
              <w:jc w:val="center"/>
            </w:pPr>
            <w:r>
              <w:rPr>
                <w:sz w:val="20"/>
              </w:rPr>
              <w:t xml:space="preserve">1629,0</w:t>
            </w:r>
          </w:p>
        </w:tc>
        <w:tc>
          <w:tcPr>
            <w:tcW w:w="793" w:type="dxa"/>
          </w:tcPr>
          <w:p>
            <w:pPr>
              <w:pStyle w:val="0"/>
              <w:jc w:val="center"/>
            </w:pPr>
            <w:r>
              <w:rPr>
                <w:sz w:val="20"/>
              </w:rPr>
              <w:t xml:space="preserve">1900,0</w:t>
            </w:r>
          </w:p>
        </w:tc>
        <w:tc>
          <w:tcPr>
            <w:tcW w:w="793" w:type="dxa"/>
          </w:tcPr>
          <w:p>
            <w:pPr>
              <w:pStyle w:val="0"/>
              <w:jc w:val="center"/>
            </w:pPr>
            <w:r>
              <w:rPr>
                <w:sz w:val="20"/>
              </w:rPr>
              <w:t xml:space="preserve">1880,0</w:t>
            </w:r>
          </w:p>
        </w:tc>
        <w:tc>
          <w:tcPr>
            <w:tcW w:w="794" w:type="dxa"/>
          </w:tcPr>
          <w:p>
            <w:pPr>
              <w:pStyle w:val="0"/>
              <w:jc w:val="center"/>
            </w:pPr>
            <w:r>
              <w:rPr>
                <w:sz w:val="20"/>
              </w:rPr>
              <w:t xml:space="preserve">1950,0</w:t>
            </w:r>
          </w:p>
        </w:tc>
        <w:tc>
          <w:tcPr>
            <w:tcW w:w="793" w:type="dxa"/>
          </w:tcPr>
          <w:p>
            <w:pPr>
              <w:pStyle w:val="0"/>
              <w:jc w:val="center"/>
            </w:pPr>
            <w:r>
              <w:rPr>
                <w:sz w:val="20"/>
              </w:rPr>
              <w:t xml:space="preserve">1600,0</w:t>
            </w:r>
          </w:p>
        </w:tc>
        <w:tc>
          <w:tcPr>
            <w:tcW w:w="794" w:type="dxa"/>
          </w:tcPr>
          <w:p>
            <w:pPr>
              <w:pStyle w:val="0"/>
              <w:jc w:val="center"/>
            </w:pPr>
            <w:r>
              <w:rPr>
                <w:sz w:val="20"/>
              </w:rPr>
              <w:t xml:space="preserve">1650,0</w:t>
            </w:r>
          </w:p>
        </w:tc>
        <w:tc>
          <w:tcPr>
            <w:tcW w:w="793" w:type="dxa"/>
          </w:tcPr>
          <w:p>
            <w:pPr>
              <w:pStyle w:val="0"/>
              <w:jc w:val="center"/>
            </w:pPr>
            <w:r>
              <w:rPr>
                <w:sz w:val="20"/>
              </w:rPr>
              <w:t xml:space="preserve">1688,0</w:t>
            </w:r>
          </w:p>
        </w:tc>
        <w:tc>
          <w:tcPr>
            <w:tcW w:w="793" w:type="dxa"/>
          </w:tcPr>
          <w:p>
            <w:pPr>
              <w:pStyle w:val="0"/>
              <w:jc w:val="center"/>
            </w:pPr>
            <w:r>
              <w:rPr>
                <w:sz w:val="20"/>
              </w:rPr>
              <w:t xml:space="preserve">1681,0</w:t>
            </w:r>
          </w:p>
        </w:tc>
        <w:tc>
          <w:tcPr>
            <w:tcW w:w="793" w:type="dxa"/>
          </w:tcPr>
          <w:p>
            <w:pPr>
              <w:pStyle w:val="0"/>
              <w:jc w:val="center"/>
            </w:pPr>
            <w:r>
              <w:rPr>
                <w:sz w:val="20"/>
              </w:rPr>
              <w:t xml:space="preserve">1760,0</w:t>
            </w:r>
          </w:p>
        </w:tc>
        <w:tc>
          <w:tcPr>
            <w:tcW w:w="793" w:type="dxa"/>
          </w:tcPr>
          <w:p>
            <w:pPr>
              <w:pStyle w:val="0"/>
              <w:jc w:val="center"/>
            </w:pPr>
            <w:r>
              <w:rPr>
                <w:sz w:val="20"/>
              </w:rPr>
              <w:t xml:space="preserve">2050,0</w:t>
            </w:r>
          </w:p>
        </w:tc>
        <w:tc>
          <w:tcPr>
            <w:tcW w:w="793" w:type="dxa"/>
          </w:tcPr>
          <w:p>
            <w:pPr>
              <w:pStyle w:val="0"/>
              <w:jc w:val="center"/>
            </w:pPr>
            <w:r>
              <w:rPr>
                <w:sz w:val="20"/>
              </w:rPr>
              <w:t xml:space="preserve">2154,0</w:t>
            </w:r>
          </w:p>
        </w:tc>
        <w:tc>
          <w:tcPr>
            <w:tcW w:w="793" w:type="dxa"/>
          </w:tcPr>
          <w:p>
            <w:pPr>
              <w:pStyle w:val="0"/>
              <w:jc w:val="center"/>
            </w:pPr>
            <w:r>
              <w:rPr>
                <w:sz w:val="20"/>
              </w:rPr>
              <w:t xml:space="preserve">2154,0</w:t>
            </w:r>
          </w:p>
        </w:tc>
        <w:tc>
          <w:tcPr>
            <w:tcW w:w="2777" w:type="dxa"/>
            <w:vMerge w:val="restart"/>
          </w:tcPr>
          <w:p>
            <w:pPr>
              <w:pStyle w:val="0"/>
            </w:pPr>
            <w:r>
              <w:rPr>
                <w:sz w:val="20"/>
              </w:rPr>
              <w:t xml:space="preserve">"РП"</w:t>
            </w:r>
          </w:p>
        </w:tc>
      </w:tr>
      <w:tr>
        <w:tc>
          <w:tcPr>
            <w:vMerge w:val="continue"/>
          </w:tcPr>
          <w:p/>
        </w:tc>
        <w:tc>
          <w:tcPr>
            <w:tcW w:w="2721" w:type="dxa"/>
          </w:tcPr>
          <w:p>
            <w:pPr>
              <w:pStyle w:val="0"/>
            </w:pPr>
            <w:r>
              <w:rPr>
                <w:sz w:val="20"/>
              </w:rPr>
              <w:t xml:space="preserve">1.1) г. Новосибирск</w:t>
            </w:r>
          </w:p>
        </w:tc>
        <w:tc>
          <w:tcPr>
            <w:tcW w:w="680" w:type="dxa"/>
          </w:tcPr>
          <w:p>
            <w:pPr>
              <w:pStyle w:val="0"/>
              <w:jc w:val="center"/>
            </w:pPr>
            <w:r>
              <w:rPr>
                <w:sz w:val="20"/>
              </w:rPr>
              <w:t xml:space="preserve">тыс. кв. м</w:t>
            </w:r>
          </w:p>
        </w:tc>
        <w:tc>
          <w:tcPr>
            <w:tcW w:w="793" w:type="dxa"/>
          </w:tcPr>
          <w:p>
            <w:pPr>
              <w:pStyle w:val="0"/>
              <w:jc w:val="center"/>
            </w:pPr>
            <w:r>
              <w:rPr>
                <w:sz w:val="20"/>
              </w:rPr>
              <w:t xml:space="preserve">1200,0</w:t>
            </w:r>
          </w:p>
        </w:tc>
        <w:tc>
          <w:tcPr>
            <w:tcW w:w="793" w:type="dxa"/>
          </w:tcPr>
          <w:p>
            <w:pPr>
              <w:pStyle w:val="0"/>
              <w:jc w:val="center"/>
            </w:pPr>
            <w:r>
              <w:rPr>
                <w:sz w:val="20"/>
              </w:rPr>
              <w:t xml:space="preserve">1324,0</w:t>
            </w:r>
          </w:p>
        </w:tc>
        <w:tc>
          <w:tcPr>
            <w:tcW w:w="793" w:type="dxa"/>
          </w:tcPr>
          <w:p>
            <w:pPr>
              <w:pStyle w:val="0"/>
              <w:jc w:val="center"/>
            </w:pPr>
            <w:r>
              <w:rPr>
                <w:sz w:val="20"/>
              </w:rPr>
              <w:t xml:space="preserve">1270,0</w:t>
            </w:r>
          </w:p>
        </w:tc>
        <w:tc>
          <w:tcPr>
            <w:tcW w:w="794" w:type="dxa"/>
          </w:tcPr>
          <w:p>
            <w:pPr>
              <w:pStyle w:val="0"/>
              <w:jc w:val="center"/>
            </w:pPr>
            <w:r>
              <w:rPr>
                <w:sz w:val="20"/>
              </w:rPr>
              <w:t xml:space="preserve">1300,0</w:t>
            </w:r>
          </w:p>
        </w:tc>
        <w:tc>
          <w:tcPr>
            <w:tcW w:w="793" w:type="dxa"/>
          </w:tcPr>
          <w:p>
            <w:pPr>
              <w:pStyle w:val="0"/>
              <w:jc w:val="center"/>
            </w:pPr>
            <w:r>
              <w:rPr>
                <w:sz w:val="20"/>
              </w:rPr>
              <w:t xml:space="preserve">1050,0</w:t>
            </w:r>
          </w:p>
        </w:tc>
        <w:tc>
          <w:tcPr>
            <w:tcW w:w="794" w:type="dxa"/>
          </w:tcPr>
          <w:p>
            <w:pPr>
              <w:pStyle w:val="0"/>
              <w:jc w:val="center"/>
            </w:pPr>
            <w:r>
              <w:rPr>
                <w:sz w:val="20"/>
              </w:rPr>
              <w:t xml:space="preserve">1030,0</w:t>
            </w:r>
          </w:p>
        </w:tc>
        <w:tc>
          <w:tcPr>
            <w:tcW w:w="793" w:type="dxa"/>
          </w:tcPr>
          <w:p>
            <w:pPr>
              <w:pStyle w:val="0"/>
              <w:jc w:val="center"/>
            </w:pPr>
            <w:r>
              <w:rPr>
                <w:sz w:val="20"/>
              </w:rPr>
              <w:t xml:space="preserve">1143,0</w:t>
            </w:r>
          </w:p>
        </w:tc>
        <w:tc>
          <w:tcPr>
            <w:tcW w:w="793" w:type="dxa"/>
          </w:tcPr>
          <w:p>
            <w:pPr>
              <w:pStyle w:val="0"/>
              <w:jc w:val="center"/>
            </w:pPr>
            <w:r>
              <w:rPr>
                <w:sz w:val="20"/>
              </w:rPr>
              <w:t xml:space="preserve">1140,0</w:t>
            </w:r>
          </w:p>
        </w:tc>
        <w:tc>
          <w:tcPr>
            <w:tcW w:w="793" w:type="dxa"/>
          </w:tcPr>
          <w:p>
            <w:pPr>
              <w:pStyle w:val="0"/>
              <w:jc w:val="center"/>
            </w:pPr>
            <w:r>
              <w:rPr>
                <w:sz w:val="20"/>
              </w:rPr>
              <w:t xml:space="preserve">1170,0</w:t>
            </w:r>
          </w:p>
        </w:tc>
        <w:tc>
          <w:tcPr>
            <w:tcW w:w="793" w:type="dxa"/>
          </w:tcPr>
          <w:p>
            <w:pPr>
              <w:pStyle w:val="0"/>
              <w:jc w:val="center"/>
            </w:pPr>
            <w:r>
              <w:rPr>
                <w:sz w:val="20"/>
              </w:rPr>
              <w:t xml:space="preserve">1195,0</w:t>
            </w:r>
          </w:p>
        </w:tc>
        <w:tc>
          <w:tcPr>
            <w:tcW w:w="793" w:type="dxa"/>
          </w:tcPr>
          <w:p>
            <w:pPr>
              <w:pStyle w:val="0"/>
              <w:jc w:val="center"/>
            </w:pPr>
            <w:r>
              <w:rPr>
                <w:sz w:val="20"/>
              </w:rPr>
              <w:t xml:space="preserve">1225,0</w:t>
            </w:r>
          </w:p>
        </w:tc>
        <w:tc>
          <w:tcPr>
            <w:tcW w:w="793" w:type="dxa"/>
          </w:tcPr>
          <w:p>
            <w:pPr>
              <w:pStyle w:val="0"/>
              <w:jc w:val="center"/>
            </w:pPr>
            <w:r>
              <w:rPr>
                <w:sz w:val="20"/>
              </w:rPr>
              <w:t xml:space="preserve">1225,0</w:t>
            </w:r>
          </w:p>
        </w:tc>
        <w:tc>
          <w:tcPr>
            <w:vMerge w:val="continue"/>
          </w:tcPr>
          <w:p/>
        </w:tc>
      </w:tr>
      <w:tr>
        <w:tc>
          <w:tcPr>
            <w:vMerge w:val="continue"/>
          </w:tcPr>
          <w:p/>
        </w:tc>
        <w:tc>
          <w:tcPr>
            <w:tcW w:w="2721" w:type="dxa"/>
          </w:tcPr>
          <w:p>
            <w:pPr>
              <w:pStyle w:val="0"/>
            </w:pPr>
            <w:r>
              <w:rPr>
                <w:sz w:val="20"/>
              </w:rPr>
              <w:t xml:space="preserve">1.2) прочие муниципальные образования Новосибирской области</w:t>
            </w:r>
          </w:p>
        </w:tc>
        <w:tc>
          <w:tcPr>
            <w:tcW w:w="680" w:type="dxa"/>
          </w:tcPr>
          <w:p>
            <w:pPr>
              <w:pStyle w:val="0"/>
              <w:jc w:val="center"/>
            </w:pPr>
            <w:r>
              <w:rPr>
                <w:sz w:val="20"/>
              </w:rPr>
              <w:t xml:space="preserve">тыс. кв. м</w:t>
            </w:r>
          </w:p>
        </w:tc>
        <w:tc>
          <w:tcPr>
            <w:tcW w:w="793" w:type="dxa"/>
          </w:tcPr>
          <w:p>
            <w:pPr>
              <w:pStyle w:val="0"/>
              <w:jc w:val="center"/>
            </w:pPr>
            <w:r>
              <w:rPr>
                <w:sz w:val="20"/>
              </w:rPr>
              <w:t xml:space="preserve">429,0</w:t>
            </w:r>
          </w:p>
        </w:tc>
        <w:tc>
          <w:tcPr>
            <w:tcW w:w="793" w:type="dxa"/>
          </w:tcPr>
          <w:p>
            <w:pPr>
              <w:pStyle w:val="0"/>
              <w:jc w:val="center"/>
            </w:pPr>
            <w:r>
              <w:rPr>
                <w:sz w:val="20"/>
              </w:rPr>
              <w:t xml:space="preserve">576,0</w:t>
            </w:r>
          </w:p>
        </w:tc>
        <w:tc>
          <w:tcPr>
            <w:tcW w:w="793" w:type="dxa"/>
          </w:tcPr>
          <w:p>
            <w:pPr>
              <w:pStyle w:val="0"/>
              <w:jc w:val="center"/>
            </w:pPr>
            <w:r>
              <w:rPr>
                <w:sz w:val="20"/>
              </w:rPr>
              <w:t xml:space="preserve">610,0</w:t>
            </w:r>
          </w:p>
        </w:tc>
        <w:tc>
          <w:tcPr>
            <w:tcW w:w="794" w:type="dxa"/>
          </w:tcPr>
          <w:p>
            <w:pPr>
              <w:pStyle w:val="0"/>
              <w:jc w:val="center"/>
            </w:pPr>
            <w:r>
              <w:rPr>
                <w:sz w:val="20"/>
              </w:rPr>
              <w:t xml:space="preserve">650,0</w:t>
            </w:r>
          </w:p>
        </w:tc>
        <w:tc>
          <w:tcPr>
            <w:tcW w:w="793" w:type="dxa"/>
          </w:tcPr>
          <w:p>
            <w:pPr>
              <w:pStyle w:val="0"/>
              <w:jc w:val="center"/>
            </w:pPr>
            <w:r>
              <w:rPr>
                <w:sz w:val="20"/>
              </w:rPr>
              <w:t xml:space="preserve">550,0</w:t>
            </w:r>
          </w:p>
        </w:tc>
        <w:tc>
          <w:tcPr>
            <w:tcW w:w="794" w:type="dxa"/>
          </w:tcPr>
          <w:p>
            <w:pPr>
              <w:pStyle w:val="0"/>
              <w:jc w:val="center"/>
            </w:pPr>
            <w:r>
              <w:rPr>
                <w:sz w:val="20"/>
              </w:rPr>
              <w:t xml:space="preserve">620,0</w:t>
            </w:r>
          </w:p>
        </w:tc>
        <w:tc>
          <w:tcPr>
            <w:tcW w:w="793" w:type="dxa"/>
          </w:tcPr>
          <w:p>
            <w:pPr>
              <w:pStyle w:val="0"/>
              <w:jc w:val="center"/>
            </w:pPr>
            <w:r>
              <w:rPr>
                <w:sz w:val="20"/>
              </w:rPr>
              <w:t xml:space="preserve">545,0</w:t>
            </w:r>
          </w:p>
        </w:tc>
        <w:tc>
          <w:tcPr>
            <w:tcW w:w="793" w:type="dxa"/>
          </w:tcPr>
          <w:p>
            <w:pPr>
              <w:pStyle w:val="0"/>
              <w:jc w:val="center"/>
            </w:pPr>
            <w:r>
              <w:rPr>
                <w:sz w:val="20"/>
              </w:rPr>
              <w:t xml:space="preserve">541,0</w:t>
            </w:r>
          </w:p>
        </w:tc>
        <w:tc>
          <w:tcPr>
            <w:tcW w:w="793" w:type="dxa"/>
          </w:tcPr>
          <w:p>
            <w:pPr>
              <w:pStyle w:val="0"/>
              <w:jc w:val="center"/>
            </w:pPr>
            <w:r>
              <w:rPr>
                <w:sz w:val="20"/>
              </w:rPr>
              <w:t xml:space="preserve">590,0</w:t>
            </w:r>
          </w:p>
        </w:tc>
        <w:tc>
          <w:tcPr>
            <w:tcW w:w="793" w:type="dxa"/>
          </w:tcPr>
          <w:p>
            <w:pPr>
              <w:pStyle w:val="0"/>
              <w:jc w:val="center"/>
            </w:pPr>
            <w:r>
              <w:rPr>
                <w:sz w:val="20"/>
              </w:rPr>
              <w:t xml:space="preserve">855,0</w:t>
            </w:r>
          </w:p>
        </w:tc>
        <w:tc>
          <w:tcPr>
            <w:tcW w:w="793" w:type="dxa"/>
          </w:tcPr>
          <w:p>
            <w:pPr>
              <w:pStyle w:val="0"/>
              <w:jc w:val="center"/>
            </w:pPr>
            <w:r>
              <w:rPr>
                <w:sz w:val="20"/>
              </w:rPr>
              <w:t xml:space="preserve">929,0</w:t>
            </w:r>
          </w:p>
        </w:tc>
        <w:tc>
          <w:tcPr>
            <w:tcW w:w="793" w:type="dxa"/>
          </w:tcPr>
          <w:p>
            <w:pPr>
              <w:pStyle w:val="0"/>
              <w:jc w:val="center"/>
            </w:pPr>
            <w:r>
              <w:rPr>
                <w:sz w:val="20"/>
              </w:rPr>
              <w:t xml:space="preserve">929,0</w:t>
            </w:r>
          </w:p>
        </w:tc>
        <w:tc>
          <w:tcPr>
            <w:tcW w:w="2777" w:type="dxa"/>
          </w:tcPr>
          <w:p>
            <w:pPr>
              <w:pStyle w:val="0"/>
            </w:pPr>
            <w:r>
              <w:rPr>
                <w:sz w:val="20"/>
              </w:rPr>
            </w:r>
          </w:p>
        </w:tc>
      </w:tr>
      <w:tr>
        <w:tc>
          <w:tcPr>
            <w:vMerge w:val="continue"/>
          </w:tcPr>
          <w:p/>
        </w:tc>
        <w:tc>
          <w:tcPr>
            <w:tcW w:w="2721" w:type="dxa"/>
          </w:tcPr>
          <w:p>
            <w:pPr>
              <w:pStyle w:val="0"/>
            </w:pPr>
            <w:r>
              <w:rPr>
                <w:sz w:val="20"/>
              </w:rPr>
              <w:t xml:space="preserve">2) объем ввода жилья экономкласса</w:t>
            </w:r>
          </w:p>
        </w:tc>
        <w:tc>
          <w:tcPr>
            <w:tcW w:w="680" w:type="dxa"/>
          </w:tcPr>
          <w:p>
            <w:pPr>
              <w:pStyle w:val="0"/>
              <w:jc w:val="center"/>
            </w:pPr>
            <w:r>
              <w:rPr>
                <w:sz w:val="20"/>
              </w:rPr>
              <w:t xml:space="preserve">тыс. кв. м</w:t>
            </w:r>
          </w:p>
        </w:tc>
        <w:tc>
          <w:tcPr>
            <w:tcW w:w="793" w:type="dxa"/>
          </w:tcPr>
          <w:p>
            <w:pPr>
              <w:pStyle w:val="0"/>
              <w:jc w:val="center"/>
            </w:pPr>
            <w:r>
              <w:rPr>
                <w:sz w:val="20"/>
              </w:rPr>
              <w:t xml:space="preserve">1037,0</w:t>
            </w:r>
          </w:p>
        </w:tc>
        <w:tc>
          <w:tcPr>
            <w:tcW w:w="793" w:type="dxa"/>
          </w:tcPr>
          <w:p>
            <w:pPr>
              <w:pStyle w:val="0"/>
              <w:jc w:val="center"/>
            </w:pPr>
            <w:r>
              <w:rPr>
                <w:sz w:val="20"/>
              </w:rPr>
              <w:t xml:space="preserve">1114,0</w:t>
            </w:r>
          </w:p>
        </w:tc>
        <w:tc>
          <w:tcPr>
            <w:tcW w:w="793" w:type="dxa"/>
          </w:tcPr>
          <w:p>
            <w:pPr>
              <w:pStyle w:val="0"/>
              <w:jc w:val="center"/>
            </w:pPr>
            <w:r>
              <w:rPr>
                <w:sz w:val="20"/>
              </w:rPr>
              <w:t xml:space="preserve">1068,0</w:t>
            </w:r>
          </w:p>
        </w:tc>
        <w:tc>
          <w:tcPr>
            <w:tcW w:w="794" w:type="dxa"/>
          </w:tcPr>
          <w:p>
            <w:pPr>
              <w:pStyle w:val="0"/>
              <w:jc w:val="center"/>
            </w:pPr>
            <w:r>
              <w:rPr>
                <w:sz w:val="20"/>
              </w:rPr>
              <w:t xml:space="preserve">1110,0</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с 2018 года понятие жилье "экономкласса" заменено на "стандартное" жилье и введен соответствующий индикатор</w:t>
            </w:r>
          </w:p>
        </w:tc>
      </w:tr>
      <w:tr>
        <w:tc>
          <w:tcPr>
            <w:vMerge w:val="continue"/>
          </w:tcPr>
          <w:p/>
        </w:tc>
        <w:tc>
          <w:tcPr>
            <w:tcW w:w="2721" w:type="dxa"/>
          </w:tcPr>
          <w:p>
            <w:pPr>
              <w:pStyle w:val="0"/>
            </w:pPr>
            <w:r>
              <w:rPr>
                <w:sz w:val="20"/>
              </w:rPr>
              <w:t xml:space="preserve">3) объем ввода стандартного жилья</w:t>
            </w:r>
          </w:p>
        </w:tc>
        <w:tc>
          <w:tcPr>
            <w:tcW w:w="680" w:type="dxa"/>
          </w:tcPr>
          <w:p>
            <w:pPr>
              <w:pStyle w:val="0"/>
              <w:jc w:val="center"/>
            </w:pPr>
            <w:r>
              <w:rPr>
                <w:sz w:val="20"/>
              </w:rPr>
              <w:t xml:space="preserve">тыс. кв. м</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1110,0</w:t>
            </w:r>
          </w:p>
        </w:tc>
        <w:tc>
          <w:tcPr>
            <w:tcW w:w="793" w:type="dxa"/>
          </w:tcPr>
          <w:p>
            <w:pPr>
              <w:pStyle w:val="0"/>
              <w:jc w:val="center"/>
            </w:pPr>
            <w:r>
              <w:rPr>
                <w:sz w:val="20"/>
              </w:rPr>
              <w:t xml:space="preserve">1200,0</w:t>
            </w:r>
          </w:p>
        </w:tc>
        <w:tc>
          <w:tcPr>
            <w:tcW w:w="794" w:type="dxa"/>
          </w:tcPr>
          <w:p>
            <w:pPr>
              <w:pStyle w:val="0"/>
              <w:jc w:val="center"/>
            </w:pPr>
            <w:r>
              <w:rPr>
                <w:sz w:val="20"/>
              </w:rPr>
              <w:t xml:space="preserve">990,0</w:t>
            </w:r>
          </w:p>
        </w:tc>
        <w:tc>
          <w:tcPr>
            <w:tcW w:w="793" w:type="dxa"/>
          </w:tcPr>
          <w:p>
            <w:pPr>
              <w:pStyle w:val="0"/>
              <w:jc w:val="center"/>
            </w:pPr>
            <w:r>
              <w:rPr>
                <w:sz w:val="20"/>
              </w:rPr>
              <w:t xml:space="preserve">1350,0</w:t>
            </w:r>
          </w:p>
        </w:tc>
        <w:tc>
          <w:tcPr>
            <w:tcW w:w="793" w:type="dxa"/>
          </w:tcPr>
          <w:p>
            <w:pPr>
              <w:pStyle w:val="0"/>
              <w:jc w:val="center"/>
            </w:pPr>
            <w:r>
              <w:rPr>
                <w:sz w:val="20"/>
              </w:rPr>
              <w:t xml:space="preserve">1345,0</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целевой индикатор введен с 2018 года, на 2017 год приведено базовое значение</w:t>
            </w:r>
          </w:p>
        </w:tc>
      </w:tr>
      <w:tr>
        <w:tc>
          <w:tcPr>
            <w:vMerge w:val="continue"/>
          </w:tcPr>
          <w:p/>
        </w:tc>
        <w:tc>
          <w:tcPr>
            <w:tcW w:w="2721" w:type="dxa"/>
          </w:tcPr>
          <w:p>
            <w:pPr>
              <w:pStyle w:val="0"/>
            </w:pPr>
            <w:r>
              <w:rPr>
                <w:sz w:val="20"/>
              </w:rPr>
              <w:t xml:space="preserve">4) объем ввода малоэтажного жилья</w:t>
            </w:r>
          </w:p>
        </w:tc>
        <w:tc>
          <w:tcPr>
            <w:tcW w:w="680" w:type="dxa"/>
          </w:tcPr>
          <w:p>
            <w:pPr>
              <w:pStyle w:val="0"/>
              <w:jc w:val="center"/>
            </w:pPr>
            <w:r>
              <w:rPr>
                <w:sz w:val="20"/>
              </w:rPr>
              <w:t xml:space="preserve">тыс. кв. м</w:t>
            </w:r>
          </w:p>
        </w:tc>
        <w:tc>
          <w:tcPr>
            <w:tcW w:w="793" w:type="dxa"/>
          </w:tcPr>
          <w:p>
            <w:pPr>
              <w:pStyle w:val="0"/>
              <w:jc w:val="center"/>
            </w:pPr>
            <w:r>
              <w:rPr>
                <w:sz w:val="20"/>
              </w:rPr>
              <w:t xml:space="preserve">600,0</w:t>
            </w:r>
          </w:p>
        </w:tc>
        <w:tc>
          <w:tcPr>
            <w:tcW w:w="793" w:type="dxa"/>
          </w:tcPr>
          <w:p>
            <w:pPr>
              <w:pStyle w:val="0"/>
              <w:jc w:val="center"/>
            </w:pPr>
            <w:r>
              <w:rPr>
                <w:sz w:val="20"/>
              </w:rPr>
              <w:t xml:space="preserve">650,0</w:t>
            </w:r>
          </w:p>
        </w:tc>
        <w:tc>
          <w:tcPr>
            <w:tcW w:w="793" w:type="dxa"/>
          </w:tcPr>
          <w:p>
            <w:pPr>
              <w:pStyle w:val="0"/>
              <w:jc w:val="center"/>
            </w:pPr>
            <w:r>
              <w:rPr>
                <w:sz w:val="20"/>
              </w:rPr>
              <w:t xml:space="preserve">660,0</w:t>
            </w:r>
          </w:p>
        </w:tc>
        <w:tc>
          <w:tcPr>
            <w:tcW w:w="794" w:type="dxa"/>
          </w:tcPr>
          <w:p>
            <w:pPr>
              <w:pStyle w:val="0"/>
              <w:jc w:val="center"/>
            </w:pPr>
            <w:r>
              <w:rPr>
                <w:sz w:val="20"/>
              </w:rPr>
              <w:t xml:space="preserve">690,0</w:t>
            </w:r>
          </w:p>
        </w:tc>
        <w:tc>
          <w:tcPr>
            <w:tcW w:w="793" w:type="dxa"/>
          </w:tcPr>
          <w:p>
            <w:pPr>
              <w:pStyle w:val="0"/>
              <w:jc w:val="center"/>
            </w:pPr>
            <w:r>
              <w:rPr>
                <w:sz w:val="20"/>
              </w:rPr>
              <w:t xml:space="preserve">560,0</w:t>
            </w:r>
          </w:p>
        </w:tc>
        <w:tc>
          <w:tcPr>
            <w:tcW w:w="794" w:type="dxa"/>
          </w:tcPr>
          <w:p>
            <w:pPr>
              <w:pStyle w:val="0"/>
              <w:jc w:val="center"/>
            </w:pPr>
            <w:r>
              <w:rPr>
                <w:sz w:val="20"/>
              </w:rPr>
              <w:t xml:space="preserve">499,4</w:t>
            </w:r>
          </w:p>
        </w:tc>
        <w:tc>
          <w:tcPr>
            <w:tcW w:w="793" w:type="dxa"/>
          </w:tcPr>
          <w:p>
            <w:pPr>
              <w:pStyle w:val="0"/>
              <w:jc w:val="center"/>
            </w:pPr>
            <w:r>
              <w:rPr>
                <w:sz w:val="20"/>
              </w:rPr>
              <w:t xml:space="preserve">530,0</w:t>
            </w:r>
          </w:p>
        </w:tc>
        <w:tc>
          <w:tcPr>
            <w:tcW w:w="793" w:type="dxa"/>
          </w:tcPr>
          <w:p>
            <w:pPr>
              <w:pStyle w:val="0"/>
              <w:jc w:val="center"/>
            </w:pPr>
            <w:r>
              <w:rPr>
                <w:sz w:val="20"/>
              </w:rPr>
              <w:t xml:space="preserve">520,0</w:t>
            </w:r>
          </w:p>
        </w:tc>
        <w:tc>
          <w:tcPr>
            <w:tcW w:w="793" w:type="dxa"/>
          </w:tcPr>
          <w:p>
            <w:pPr>
              <w:pStyle w:val="0"/>
              <w:jc w:val="center"/>
            </w:pPr>
            <w:r>
              <w:rPr>
                <w:sz w:val="20"/>
              </w:rPr>
              <w:t xml:space="preserve">546,0</w:t>
            </w:r>
          </w:p>
        </w:tc>
        <w:tc>
          <w:tcPr>
            <w:tcW w:w="793" w:type="dxa"/>
          </w:tcPr>
          <w:p>
            <w:pPr>
              <w:pStyle w:val="0"/>
              <w:jc w:val="center"/>
            </w:pPr>
            <w:r>
              <w:rPr>
                <w:sz w:val="20"/>
              </w:rPr>
              <w:t xml:space="preserve">636,0</w:t>
            </w:r>
          </w:p>
        </w:tc>
        <w:tc>
          <w:tcPr>
            <w:tcW w:w="793" w:type="dxa"/>
          </w:tcPr>
          <w:p>
            <w:pPr>
              <w:pStyle w:val="0"/>
              <w:jc w:val="center"/>
            </w:pPr>
            <w:r>
              <w:rPr>
                <w:sz w:val="20"/>
              </w:rPr>
              <w:t xml:space="preserve">668,0</w:t>
            </w:r>
          </w:p>
        </w:tc>
        <w:tc>
          <w:tcPr>
            <w:tcW w:w="793" w:type="dxa"/>
          </w:tcPr>
          <w:p>
            <w:pPr>
              <w:pStyle w:val="0"/>
              <w:jc w:val="center"/>
            </w:pPr>
            <w:r>
              <w:rPr>
                <w:sz w:val="20"/>
              </w:rPr>
              <w:t xml:space="preserve">668,0</w:t>
            </w:r>
          </w:p>
        </w:tc>
        <w:tc>
          <w:tcPr>
            <w:tcW w:w="2777" w:type="dxa"/>
            <w:vMerge w:val="restart"/>
          </w:tcPr>
          <w:p>
            <w:pPr>
              <w:pStyle w:val="0"/>
            </w:pPr>
            <w:r>
              <w:rPr>
                <w:sz w:val="20"/>
              </w:rPr>
            </w:r>
          </w:p>
        </w:tc>
      </w:tr>
      <w:tr>
        <w:tc>
          <w:tcPr>
            <w:vMerge w:val="continue"/>
          </w:tcPr>
          <w:p/>
        </w:tc>
        <w:tc>
          <w:tcPr>
            <w:tcW w:w="2721" w:type="dxa"/>
          </w:tcPr>
          <w:p>
            <w:pPr>
              <w:pStyle w:val="0"/>
            </w:pPr>
            <w:r>
              <w:rPr>
                <w:sz w:val="20"/>
              </w:rPr>
              <w:t xml:space="preserve">4.1) г. Новосибирск</w:t>
            </w:r>
          </w:p>
        </w:tc>
        <w:tc>
          <w:tcPr>
            <w:tcW w:w="680" w:type="dxa"/>
          </w:tcPr>
          <w:p>
            <w:pPr>
              <w:pStyle w:val="0"/>
              <w:jc w:val="center"/>
            </w:pPr>
            <w:r>
              <w:rPr>
                <w:sz w:val="20"/>
              </w:rPr>
              <w:t xml:space="preserve">тыс. кв. м</w:t>
            </w:r>
          </w:p>
        </w:tc>
        <w:tc>
          <w:tcPr>
            <w:tcW w:w="793" w:type="dxa"/>
          </w:tcPr>
          <w:p>
            <w:pPr>
              <w:pStyle w:val="0"/>
              <w:jc w:val="center"/>
            </w:pPr>
            <w:r>
              <w:rPr>
                <w:sz w:val="20"/>
              </w:rPr>
              <w:t xml:space="preserve">200,0</w:t>
            </w:r>
          </w:p>
        </w:tc>
        <w:tc>
          <w:tcPr>
            <w:tcW w:w="793" w:type="dxa"/>
          </w:tcPr>
          <w:p>
            <w:pPr>
              <w:pStyle w:val="0"/>
              <w:jc w:val="center"/>
            </w:pPr>
            <w:r>
              <w:rPr>
                <w:sz w:val="20"/>
              </w:rPr>
              <w:t xml:space="preserve">150,0</w:t>
            </w:r>
          </w:p>
        </w:tc>
        <w:tc>
          <w:tcPr>
            <w:tcW w:w="793" w:type="dxa"/>
          </w:tcPr>
          <w:p>
            <w:pPr>
              <w:pStyle w:val="0"/>
              <w:jc w:val="center"/>
            </w:pPr>
            <w:r>
              <w:rPr>
                <w:sz w:val="20"/>
              </w:rPr>
              <w:t xml:space="preserve">130,0</w:t>
            </w:r>
          </w:p>
        </w:tc>
        <w:tc>
          <w:tcPr>
            <w:tcW w:w="794" w:type="dxa"/>
          </w:tcPr>
          <w:p>
            <w:pPr>
              <w:pStyle w:val="0"/>
              <w:jc w:val="center"/>
            </w:pPr>
            <w:r>
              <w:rPr>
                <w:sz w:val="20"/>
              </w:rPr>
              <w:t xml:space="preserve">130,0</w:t>
            </w:r>
          </w:p>
        </w:tc>
        <w:tc>
          <w:tcPr>
            <w:tcW w:w="793" w:type="dxa"/>
          </w:tcPr>
          <w:p>
            <w:pPr>
              <w:pStyle w:val="0"/>
              <w:jc w:val="center"/>
            </w:pPr>
            <w:r>
              <w:rPr>
                <w:sz w:val="20"/>
              </w:rPr>
              <w:t xml:space="preserve">110,0</w:t>
            </w:r>
          </w:p>
        </w:tc>
        <w:tc>
          <w:tcPr>
            <w:tcW w:w="794" w:type="dxa"/>
          </w:tcPr>
          <w:p>
            <w:pPr>
              <w:pStyle w:val="0"/>
              <w:jc w:val="center"/>
            </w:pPr>
            <w:r>
              <w:rPr>
                <w:sz w:val="20"/>
              </w:rPr>
              <w:t xml:space="preserve">110,0</w:t>
            </w:r>
          </w:p>
        </w:tc>
        <w:tc>
          <w:tcPr>
            <w:tcW w:w="793" w:type="dxa"/>
          </w:tcPr>
          <w:p>
            <w:pPr>
              <w:pStyle w:val="0"/>
              <w:jc w:val="center"/>
            </w:pPr>
            <w:r>
              <w:rPr>
                <w:sz w:val="20"/>
              </w:rPr>
              <w:t xml:space="preserve">125,0</w:t>
            </w:r>
          </w:p>
        </w:tc>
        <w:tc>
          <w:tcPr>
            <w:tcW w:w="793" w:type="dxa"/>
          </w:tcPr>
          <w:p>
            <w:pPr>
              <w:pStyle w:val="0"/>
              <w:jc w:val="center"/>
            </w:pPr>
            <w:r>
              <w:rPr>
                <w:sz w:val="20"/>
              </w:rPr>
              <w:t xml:space="preserve">123,0</w:t>
            </w:r>
          </w:p>
        </w:tc>
        <w:tc>
          <w:tcPr>
            <w:tcW w:w="793" w:type="dxa"/>
          </w:tcPr>
          <w:p>
            <w:pPr>
              <w:pStyle w:val="0"/>
              <w:jc w:val="center"/>
            </w:pPr>
            <w:r>
              <w:rPr>
                <w:sz w:val="20"/>
              </w:rPr>
              <w:t xml:space="preserve">126,0</w:t>
            </w:r>
          </w:p>
        </w:tc>
        <w:tc>
          <w:tcPr>
            <w:tcW w:w="793" w:type="dxa"/>
          </w:tcPr>
          <w:p>
            <w:pPr>
              <w:pStyle w:val="0"/>
              <w:jc w:val="center"/>
            </w:pPr>
            <w:r>
              <w:rPr>
                <w:sz w:val="20"/>
              </w:rPr>
              <w:t xml:space="preserve">129,0</w:t>
            </w:r>
          </w:p>
        </w:tc>
        <w:tc>
          <w:tcPr>
            <w:tcW w:w="793" w:type="dxa"/>
          </w:tcPr>
          <w:p>
            <w:pPr>
              <w:pStyle w:val="0"/>
              <w:jc w:val="center"/>
            </w:pPr>
            <w:r>
              <w:rPr>
                <w:sz w:val="20"/>
              </w:rPr>
              <w:t xml:space="preserve">131,0</w:t>
            </w:r>
          </w:p>
        </w:tc>
        <w:tc>
          <w:tcPr>
            <w:tcW w:w="793" w:type="dxa"/>
          </w:tcPr>
          <w:p>
            <w:pPr>
              <w:pStyle w:val="0"/>
              <w:jc w:val="center"/>
            </w:pPr>
            <w:r>
              <w:rPr>
                <w:sz w:val="20"/>
              </w:rPr>
              <w:t xml:space="preserve">131,0</w:t>
            </w:r>
          </w:p>
        </w:tc>
        <w:tc>
          <w:tcPr>
            <w:vMerge w:val="continue"/>
          </w:tcPr>
          <w:p/>
        </w:tc>
      </w:tr>
      <w:tr>
        <w:tc>
          <w:tcPr>
            <w:vMerge w:val="continue"/>
          </w:tcPr>
          <w:p/>
        </w:tc>
        <w:tc>
          <w:tcPr>
            <w:tcW w:w="2721" w:type="dxa"/>
          </w:tcPr>
          <w:p>
            <w:pPr>
              <w:pStyle w:val="0"/>
            </w:pPr>
            <w:r>
              <w:rPr>
                <w:sz w:val="20"/>
              </w:rPr>
              <w:t xml:space="preserve">4.2) прочие муниципальные образования Новосибирской области</w:t>
            </w:r>
          </w:p>
        </w:tc>
        <w:tc>
          <w:tcPr>
            <w:tcW w:w="680" w:type="dxa"/>
          </w:tcPr>
          <w:p>
            <w:pPr>
              <w:pStyle w:val="0"/>
              <w:jc w:val="center"/>
            </w:pPr>
            <w:r>
              <w:rPr>
                <w:sz w:val="20"/>
              </w:rPr>
              <w:t xml:space="preserve">тыс. кв. м</w:t>
            </w:r>
          </w:p>
        </w:tc>
        <w:tc>
          <w:tcPr>
            <w:tcW w:w="793" w:type="dxa"/>
          </w:tcPr>
          <w:p>
            <w:pPr>
              <w:pStyle w:val="0"/>
              <w:jc w:val="center"/>
            </w:pPr>
            <w:r>
              <w:rPr>
                <w:sz w:val="20"/>
              </w:rPr>
              <w:t xml:space="preserve">400,0</w:t>
            </w:r>
          </w:p>
        </w:tc>
        <w:tc>
          <w:tcPr>
            <w:tcW w:w="793" w:type="dxa"/>
          </w:tcPr>
          <w:p>
            <w:pPr>
              <w:pStyle w:val="0"/>
              <w:jc w:val="center"/>
            </w:pPr>
            <w:r>
              <w:rPr>
                <w:sz w:val="20"/>
              </w:rPr>
              <w:t xml:space="preserve">500,0</w:t>
            </w:r>
          </w:p>
        </w:tc>
        <w:tc>
          <w:tcPr>
            <w:tcW w:w="793" w:type="dxa"/>
          </w:tcPr>
          <w:p>
            <w:pPr>
              <w:pStyle w:val="0"/>
              <w:jc w:val="center"/>
            </w:pPr>
            <w:r>
              <w:rPr>
                <w:sz w:val="20"/>
              </w:rPr>
              <w:t xml:space="preserve">530,0</w:t>
            </w:r>
          </w:p>
        </w:tc>
        <w:tc>
          <w:tcPr>
            <w:tcW w:w="794" w:type="dxa"/>
          </w:tcPr>
          <w:p>
            <w:pPr>
              <w:pStyle w:val="0"/>
              <w:jc w:val="center"/>
            </w:pPr>
            <w:r>
              <w:rPr>
                <w:sz w:val="20"/>
              </w:rPr>
              <w:t xml:space="preserve">560,0</w:t>
            </w:r>
          </w:p>
        </w:tc>
        <w:tc>
          <w:tcPr>
            <w:tcW w:w="793" w:type="dxa"/>
          </w:tcPr>
          <w:p>
            <w:pPr>
              <w:pStyle w:val="0"/>
              <w:jc w:val="center"/>
            </w:pPr>
            <w:r>
              <w:rPr>
                <w:sz w:val="20"/>
              </w:rPr>
              <w:t xml:space="preserve">450,0</w:t>
            </w:r>
          </w:p>
        </w:tc>
        <w:tc>
          <w:tcPr>
            <w:tcW w:w="794" w:type="dxa"/>
          </w:tcPr>
          <w:p>
            <w:pPr>
              <w:pStyle w:val="0"/>
              <w:jc w:val="center"/>
            </w:pPr>
            <w:r>
              <w:rPr>
                <w:sz w:val="20"/>
              </w:rPr>
              <w:t xml:space="preserve">389,4</w:t>
            </w:r>
          </w:p>
        </w:tc>
        <w:tc>
          <w:tcPr>
            <w:tcW w:w="793" w:type="dxa"/>
          </w:tcPr>
          <w:p>
            <w:pPr>
              <w:pStyle w:val="0"/>
              <w:jc w:val="center"/>
            </w:pPr>
            <w:r>
              <w:rPr>
                <w:sz w:val="20"/>
              </w:rPr>
              <w:t xml:space="preserve">405,0</w:t>
            </w:r>
          </w:p>
        </w:tc>
        <w:tc>
          <w:tcPr>
            <w:tcW w:w="793" w:type="dxa"/>
          </w:tcPr>
          <w:p>
            <w:pPr>
              <w:pStyle w:val="0"/>
              <w:jc w:val="center"/>
            </w:pPr>
            <w:r>
              <w:rPr>
                <w:sz w:val="20"/>
              </w:rPr>
              <w:t xml:space="preserve">397,0</w:t>
            </w:r>
          </w:p>
        </w:tc>
        <w:tc>
          <w:tcPr>
            <w:tcW w:w="793" w:type="dxa"/>
          </w:tcPr>
          <w:p>
            <w:pPr>
              <w:pStyle w:val="0"/>
              <w:jc w:val="center"/>
            </w:pPr>
            <w:r>
              <w:rPr>
                <w:sz w:val="20"/>
              </w:rPr>
              <w:t xml:space="preserve">420,0</w:t>
            </w:r>
          </w:p>
        </w:tc>
        <w:tc>
          <w:tcPr>
            <w:tcW w:w="793" w:type="dxa"/>
          </w:tcPr>
          <w:p>
            <w:pPr>
              <w:pStyle w:val="0"/>
              <w:jc w:val="center"/>
            </w:pPr>
            <w:r>
              <w:rPr>
                <w:sz w:val="20"/>
              </w:rPr>
              <w:t xml:space="preserve">507,0</w:t>
            </w:r>
          </w:p>
        </w:tc>
        <w:tc>
          <w:tcPr>
            <w:tcW w:w="793" w:type="dxa"/>
          </w:tcPr>
          <w:p>
            <w:pPr>
              <w:pStyle w:val="0"/>
              <w:jc w:val="center"/>
            </w:pPr>
            <w:r>
              <w:rPr>
                <w:sz w:val="20"/>
              </w:rPr>
              <w:t xml:space="preserve">537,0</w:t>
            </w:r>
          </w:p>
        </w:tc>
        <w:tc>
          <w:tcPr>
            <w:tcW w:w="793" w:type="dxa"/>
          </w:tcPr>
          <w:p>
            <w:pPr>
              <w:pStyle w:val="0"/>
              <w:jc w:val="center"/>
            </w:pPr>
            <w:r>
              <w:rPr>
                <w:sz w:val="20"/>
              </w:rPr>
              <w:t xml:space="preserve">537,0</w:t>
            </w:r>
          </w:p>
        </w:tc>
        <w:tc>
          <w:tcPr>
            <w:vMerge w:val="continue"/>
          </w:tcPr>
          <w:p/>
        </w:tc>
      </w:tr>
      <w:tr>
        <w:tc>
          <w:tcPr>
            <w:vMerge w:val="continue"/>
          </w:tcPr>
          <w:p/>
        </w:tc>
        <w:tc>
          <w:tcPr>
            <w:tcW w:w="2721" w:type="dxa"/>
          </w:tcPr>
          <w:p>
            <w:pPr>
              <w:pStyle w:val="0"/>
            </w:pPr>
            <w:r>
              <w:rPr>
                <w:sz w:val="20"/>
              </w:rPr>
              <w:t xml:space="preserve">5) ввод жилья на душу населения</w:t>
            </w:r>
          </w:p>
        </w:tc>
        <w:tc>
          <w:tcPr>
            <w:tcW w:w="680" w:type="dxa"/>
          </w:tcPr>
          <w:p>
            <w:pPr>
              <w:pStyle w:val="0"/>
              <w:jc w:val="center"/>
            </w:pPr>
            <w:r>
              <w:rPr>
                <w:sz w:val="20"/>
              </w:rPr>
              <w:t xml:space="preserve">кв. м на человека</w:t>
            </w:r>
          </w:p>
        </w:tc>
        <w:tc>
          <w:tcPr>
            <w:tcW w:w="793" w:type="dxa"/>
          </w:tcPr>
          <w:p>
            <w:pPr>
              <w:pStyle w:val="0"/>
              <w:jc w:val="center"/>
            </w:pPr>
            <w:r>
              <w:rPr>
                <w:sz w:val="20"/>
              </w:rPr>
              <w:t xml:space="preserve">0,6</w:t>
            </w:r>
          </w:p>
        </w:tc>
        <w:tc>
          <w:tcPr>
            <w:tcW w:w="793" w:type="dxa"/>
          </w:tcPr>
          <w:p>
            <w:pPr>
              <w:pStyle w:val="0"/>
              <w:jc w:val="center"/>
            </w:pPr>
            <w:r>
              <w:rPr>
                <w:sz w:val="20"/>
              </w:rPr>
              <w:t xml:space="preserve">0,69</w:t>
            </w:r>
          </w:p>
        </w:tc>
        <w:tc>
          <w:tcPr>
            <w:tcW w:w="793" w:type="dxa"/>
          </w:tcPr>
          <w:p>
            <w:pPr>
              <w:pStyle w:val="0"/>
              <w:jc w:val="center"/>
            </w:pPr>
            <w:r>
              <w:rPr>
                <w:sz w:val="20"/>
              </w:rPr>
              <w:t xml:space="preserve">0,68</w:t>
            </w:r>
          </w:p>
        </w:tc>
        <w:tc>
          <w:tcPr>
            <w:tcW w:w="794" w:type="dxa"/>
          </w:tcPr>
          <w:p>
            <w:pPr>
              <w:pStyle w:val="0"/>
              <w:jc w:val="center"/>
            </w:pPr>
            <w:r>
              <w:rPr>
                <w:sz w:val="20"/>
              </w:rPr>
              <w:t xml:space="preserve">0,70</w:t>
            </w:r>
          </w:p>
        </w:tc>
        <w:tc>
          <w:tcPr>
            <w:tcW w:w="793" w:type="dxa"/>
          </w:tcPr>
          <w:p>
            <w:pPr>
              <w:pStyle w:val="0"/>
              <w:jc w:val="center"/>
            </w:pPr>
            <w:r>
              <w:rPr>
                <w:sz w:val="20"/>
              </w:rPr>
              <w:t xml:space="preserve">0,57</w:t>
            </w:r>
          </w:p>
        </w:tc>
        <w:tc>
          <w:tcPr>
            <w:tcW w:w="794" w:type="dxa"/>
          </w:tcPr>
          <w:p>
            <w:pPr>
              <w:pStyle w:val="0"/>
              <w:jc w:val="center"/>
            </w:pPr>
            <w:r>
              <w:rPr>
                <w:sz w:val="20"/>
              </w:rPr>
              <w:t xml:space="preserve">0,59</w:t>
            </w:r>
          </w:p>
        </w:tc>
        <w:tc>
          <w:tcPr>
            <w:tcW w:w="793" w:type="dxa"/>
          </w:tcPr>
          <w:p>
            <w:pPr>
              <w:pStyle w:val="0"/>
              <w:jc w:val="center"/>
            </w:pPr>
            <w:r>
              <w:rPr>
                <w:sz w:val="20"/>
              </w:rPr>
              <w:t xml:space="preserve">0,603</w:t>
            </w:r>
          </w:p>
        </w:tc>
        <w:tc>
          <w:tcPr>
            <w:tcW w:w="793" w:type="dxa"/>
          </w:tcPr>
          <w:p>
            <w:pPr>
              <w:pStyle w:val="0"/>
              <w:jc w:val="center"/>
            </w:pPr>
            <w:r>
              <w:rPr>
                <w:sz w:val="20"/>
              </w:rPr>
              <w:t xml:space="preserve">0,600</w:t>
            </w:r>
          </w:p>
        </w:tc>
        <w:tc>
          <w:tcPr>
            <w:tcW w:w="793" w:type="dxa"/>
          </w:tcPr>
          <w:p>
            <w:pPr>
              <w:pStyle w:val="0"/>
              <w:jc w:val="center"/>
            </w:pPr>
            <w:r>
              <w:rPr>
                <w:sz w:val="20"/>
              </w:rPr>
              <w:t xml:space="preserve">0,630</w:t>
            </w:r>
          </w:p>
        </w:tc>
        <w:tc>
          <w:tcPr>
            <w:tcW w:w="793" w:type="dxa"/>
          </w:tcPr>
          <w:p>
            <w:pPr>
              <w:pStyle w:val="0"/>
              <w:jc w:val="center"/>
            </w:pPr>
            <w:r>
              <w:rPr>
                <w:sz w:val="20"/>
              </w:rPr>
              <w:t xml:space="preserve">0,734</w:t>
            </w:r>
          </w:p>
        </w:tc>
        <w:tc>
          <w:tcPr>
            <w:tcW w:w="793" w:type="dxa"/>
          </w:tcPr>
          <w:p>
            <w:pPr>
              <w:pStyle w:val="0"/>
              <w:jc w:val="center"/>
            </w:pPr>
            <w:r>
              <w:rPr>
                <w:sz w:val="20"/>
              </w:rPr>
              <w:t xml:space="preserve">0,772</w:t>
            </w:r>
          </w:p>
        </w:tc>
        <w:tc>
          <w:tcPr>
            <w:tcW w:w="793" w:type="dxa"/>
          </w:tcPr>
          <w:p>
            <w:pPr>
              <w:pStyle w:val="0"/>
              <w:jc w:val="center"/>
            </w:pPr>
            <w:r>
              <w:rPr>
                <w:sz w:val="20"/>
              </w:rPr>
              <w:t xml:space="preserve">0,773</w:t>
            </w:r>
          </w:p>
        </w:tc>
        <w:tc>
          <w:tcPr>
            <w:tcW w:w="2777" w:type="dxa"/>
          </w:tcPr>
          <w:p>
            <w:pPr>
              <w:pStyle w:val="0"/>
            </w:pPr>
            <w:r>
              <w:rPr>
                <w:sz w:val="20"/>
              </w:rPr>
            </w:r>
          </w:p>
        </w:tc>
      </w:tr>
      <w:tr>
        <w:tc>
          <w:tcPr>
            <w:vMerge w:val="continue"/>
          </w:tcPr>
          <w:p/>
        </w:tc>
        <w:tc>
          <w:tcPr>
            <w:tcW w:w="2721" w:type="dxa"/>
          </w:tcPr>
          <w:p>
            <w:pPr>
              <w:pStyle w:val="0"/>
            </w:pPr>
            <w:r>
              <w:rPr>
                <w:sz w:val="20"/>
              </w:rPr>
              <w:t xml:space="preserve">6) удельный вес введенной общей площади жилых домов по отношению к общей площади жилищного фонда</w:t>
            </w:r>
          </w:p>
        </w:tc>
        <w:tc>
          <w:tcPr>
            <w:tcW w:w="680" w:type="dxa"/>
          </w:tcPr>
          <w:p>
            <w:pPr>
              <w:pStyle w:val="0"/>
              <w:jc w:val="center"/>
            </w:pPr>
            <w:r>
              <w:rPr>
                <w:sz w:val="20"/>
              </w:rPr>
              <w:t xml:space="preserve">%</w:t>
            </w:r>
          </w:p>
        </w:tc>
        <w:tc>
          <w:tcPr>
            <w:tcW w:w="793" w:type="dxa"/>
          </w:tcPr>
          <w:p>
            <w:pPr>
              <w:pStyle w:val="0"/>
              <w:jc w:val="center"/>
            </w:pPr>
            <w:r>
              <w:rPr>
                <w:sz w:val="20"/>
              </w:rPr>
              <w:t xml:space="preserve">2,6</w:t>
            </w:r>
          </w:p>
        </w:tc>
        <w:tc>
          <w:tcPr>
            <w:tcW w:w="793" w:type="dxa"/>
          </w:tcPr>
          <w:p>
            <w:pPr>
              <w:pStyle w:val="0"/>
              <w:jc w:val="center"/>
            </w:pPr>
            <w:r>
              <w:rPr>
                <w:sz w:val="20"/>
              </w:rPr>
              <w:t xml:space="preserve">2,9</w:t>
            </w:r>
          </w:p>
        </w:tc>
        <w:tc>
          <w:tcPr>
            <w:tcW w:w="793" w:type="dxa"/>
          </w:tcPr>
          <w:p>
            <w:pPr>
              <w:pStyle w:val="0"/>
              <w:jc w:val="center"/>
            </w:pPr>
            <w:r>
              <w:rPr>
                <w:sz w:val="20"/>
              </w:rPr>
              <w:t xml:space="preserve">2,9</w:t>
            </w:r>
          </w:p>
        </w:tc>
        <w:tc>
          <w:tcPr>
            <w:tcW w:w="794" w:type="dxa"/>
          </w:tcPr>
          <w:p>
            <w:pPr>
              <w:pStyle w:val="0"/>
              <w:jc w:val="center"/>
            </w:pPr>
            <w:r>
              <w:rPr>
                <w:sz w:val="20"/>
              </w:rPr>
              <w:t xml:space="preserve">2,9</w:t>
            </w:r>
          </w:p>
        </w:tc>
        <w:tc>
          <w:tcPr>
            <w:tcW w:w="793" w:type="dxa"/>
          </w:tcPr>
          <w:p>
            <w:pPr>
              <w:pStyle w:val="0"/>
              <w:jc w:val="center"/>
            </w:pPr>
            <w:r>
              <w:rPr>
                <w:sz w:val="20"/>
              </w:rPr>
              <w:t xml:space="preserve">2,29</w:t>
            </w:r>
          </w:p>
        </w:tc>
        <w:tc>
          <w:tcPr>
            <w:tcW w:w="794" w:type="dxa"/>
          </w:tcPr>
          <w:p>
            <w:pPr>
              <w:pStyle w:val="0"/>
              <w:jc w:val="center"/>
            </w:pPr>
            <w:r>
              <w:rPr>
                <w:sz w:val="20"/>
              </w:rPr>
              <w:t xml:space="preserve">2,37</w:t>
            </w:r>
          </w:p>
        </w:tc>
        <w:tc>
          <w:tcPr>
            <w:tcW w:w="793" w:type="dxa"/>
          </w:tcPr>
          <w:p>
            <w:pPr>
              <w:pStyle w:val="0"/>
              <w:jc w:val="center"/>
            </w:pPr>
            <w:r>
              <w:rPr>
                <w:sz w:val="20"/>
              </w:rPr>
              <w:t xml:space="preserve">2,3</w:t>
            </w:r>
          </w:p>
        </w:tc>
        <w:tc>
          <w:tcPr>
            <w:tcW w:w="793" w:type="dxa"/>
          </w:tcPr>
          <w:p>
            <w:pPr>
              <w:pStyle w:val="0"/>
              <w:jc w:val="center"/>
            </w:pPr>
            <w:r>
              <w:rPr>
                <w:sz w:val="20"/>
              </w:rPr>
              <w:t xml:space="preserve">2,25</w:t>
            </w:r>
          </w:p>
        </w:tc>
        <w:tc>
          <w:tcPr>
            <w:tcW w:w="793" w:type="dxa"/>
          </w:tcPr>
          <w:p>
            <w:pPr>
              <w:pStyle w:val="0"/>
              <w:jc w:val="center"/>
            </w:pPr>
            <w:r>
              <w:rPr>
                <w:sz w:val="20"/>
              </w:rPr>
              <w:t xml:space="preserve">2,27</w:t>
            </w:r>
          </w:p>
        </w:tc>
        <w:tc>
          <w:tcPr>
            <w:tcW w:w="793" w:type="dxa"/>
          </w:tcPr>
          <w:p>
            <w:pPr>
              <w:pStyle w:val="0"/>
              <w:jc w:val="center"/>
            </w:pPr>
            <w:r>
              <w:rPr>
                <w:sz w:val="20"/>
              </w:rPr>
              <w:t xml:space="preserve">2,6</w:t>
            </w:r>
          </w:p>
        </w:tc>
        <w:tc>
          <w:tcPr>
            <w:tcW w:w="793" w:type="dxa"/>
          </w:tcPr>
          <w:p>
            <w:pPr>
              <w:pStyle w:val="0"/>
              <w:jc w:val="center"/>
            </w:pPr>
            <w:r>
              <w:rPr>
                <w:sz w:val="20"/>
              </w:rPr>
              <w:t xml:space="preserve">2,68</w:t>
            </w:r>
          </w:p>
        </w:tc>
        <w:tc>
          <w:tcPr>
            <w:tcW w:w="793" w:type="dxa"/>
          </w:tcPr>
          <w:p>
            <w:pPr>
              <w:pStyle w:val="0"/>
              <w:jc w:val="center"/>
            </w:pPr>
            <w:r>
              <w:rPr>
                <w:sz w:val="20"/>
              </w:rPr>
              <w:t xml:space="preserve">2,63</w:t>
            </w:r>
          </w:p>
        </w:tc>
        <w:tc>
          <w:tcPr>
            <w:tcW w:w="2777" w:type="dxa"/>
          </w:tcPr>
          <w:p>
            <w:pPr>
              <w:pStyle w:val="0"/>
            </w:pPr>
            <w:r>
              <w:rPr>
                <w:sz w:val="20"/>
              </w:rPr>
            </w:r>
          </w:p>
        </w:tc>
      </w:tr>
      <w:tr>
        <w:tc>
          <w:tcPr>
            <w:tcW w:w="2097" w:type="dxa"/>
            <w:vMerge w:val="restart"/>
          </w:tcPr>
          <w:p>
            <w:pPr>
              <w:pStyle w:val="0"/>
            </w:pPr>
            <w:r>
              <w:rPr>
                <w:sz w:val="20"/>
              </w:rPr>
            </w:r>
          </w:p>
        </w:tc>
        <w:tc>
          <w:tcPr>
            <w:tcW w:w="2721" w:type="dxa"/>
          </w:tcPr>
          <w:p>
            <w:pPr>
              <w:pStyle w:val="0"/>
            </w:pPr>
            <w:r>
              <w:rPr>
                <w:sz w:val="20"/>
              </w:rPr>
              <w:t xml:space="preserve">7) обеспеченность населения жильем</w:t>
            </w:r>
          </w:p>
        </w:tc>
        <w:tc>
          <w:tcPr>
            <w:tcW w:w="680" w:type="dxa"/>
          </w:tcPr>
          <w:p>
            <w:pPr>
              <w:pStyle w:val="0"/>
              <w:jc w:val="center"/>
            </w:pPr>
            <w:r>
              <w:rPr>
                <w:sz w:val="20"/>
              </w:rPr>
              <w:t xml:space="preserve">кв. м общей площади на 1 человека</w:t>
            </w:r>
          </w:p>
        </w:tc>
        <w:tc>
          <w:tcPr>
            <w:tcW w:w="793" w:type="dxa"/>
          </w:tcPr>
          <w:p>
            <w:pPr>
              <w:pStyle w:val="0"/>
              <w:jc w:val="center"/>
            </w:pPr>
            <w:r>
              <w:rPr>
                <w:sz w:val="20"/>
              </w:rPr>
              <w:t xml:space="preserve">22,8</w:t>
            </w:r>
          </w:p>
        </w:tc>
        <w:tc>
          <w:tcPr>
            <w:tcW w:w="793" w:type="dxa"/>
          </w:tcPr>
          <w:p>
            <w:pPr>
              <w:pStyle w:val="0"/>
              <w:jc w:val="center"/>
            </w:pPr>
            <w:r>
              <w:rPr>
                <w:sz w:val="20"/>
              </w:rPr>
              <w:t xml:space="preserve">23,4</w:t>
            </w:r>
          </w:p>
        </w:tc>
        <w:tc>
          <w:tcPr>
            <w:tcW w:w="793" w:type="dxa"/>
          </w:tcPr>
          <w:p>
            <w:pPr>
              <w:pStyle w:val="0"/>
              <w:jc w:val="center"/>
            </w:pPr>
            <w:r>
              <w:rPr>
                <w:sz w:val="20"/>
              </w:rPr>
              <w:t xml:space="preserve">23,5</w:t>
            </w:r>
          </w:p>
        </w:tc>
        <w:tc>
          <w:tcPr>
            <w:tcW w:w="794" w:type="dxa"/>
          </w:tcPr>
          <w:p>
            <w:pPr>
              <w:pStyle w:val="0"/>
              <w:jc w:val="center"/>
            </w:pPr>
            <w:r>
              <w:rPr>
                <w:sz w:val="20"/>
              </w:rPr>
              <w:t xml:space="preserve">23,8</w:t>
            </w:r>
          </w:p>
        </w:tc>
        <w:tc>
          <w:tcPr>
            <w:tcW w:w="793" w:type="dxa"/>
          </w:tcPr>
          <w:p>
            <w:pPr>
              <w:pStyle w:val="0"/>
              <w:jc w:val="center"/>
            </w:pPr>
            <w:r>
              <w:rPr>
                <w:sz w:val="20"/>
              </w:rPr>
              <w:t xml:space="preserve">25,1</w:t>
            </w:r>
          </w:p>
        </w:tc>
        <w:tc>
          <w:tcPr>
            <w:tcW w:w="794" w:type="dxa"/>
          </w:tcPr>
          <w:p>
            <w:pPr>
              <w:pStyle w:val="0"/>
              <w:jc w:val="center"/>
            </w:pPr>
            <w:r>
              <w:rPr>
                <w:sz w:val="20"/>
              </w:rPr>
              <w:t xml:space="preserve">24,73</w:t>
            </w:r>
          </w:p>
        </w:tc>
        <w:tc>
          <w:tcPr>
            <w:tcW w:w="793" w:type="dxa"/>
          </w:tcPr>
          <w:p>
            <w:pPr>
              <w:pStyle w:val="0"/>
              <w:jc w:val="center"/>
            </w:pPr>
            <w:r>
              <w:rPr>
                <w:sz w:val="20"/>
              </w:rPr>
              <w:t xml:space="preserve">26,2</w:t>
            </w:r>
          </w:p>
        </w:tc>
        <w:tc>
          <w:tcPr>
            <w:tcW w:w="793" w:type="dxa"/>
          </w:tcPr>
          <w:p>
            <w:pPr>
              <w:pStyle w:val="0"/>
              <w:jc w:val="center"/>
            </w:pPr>
            <w:r>
              <w:rPr>
                <w:sz w:val="20"/>
              </w:rPr>
              <w:t xml:space="preserve">26,6</w:t>
            </w:r>
          </w:p>
        </w:tc>
        <w:tc>
          <w:tcPr>
            <w:tcW w:w="793" w:type="dxa"/>
          </w:tcPr>
          <w:p>
            <w:pPr>
              <w:pStyle w:val="0"/>
              <w:jc w:val="center"/>
            </w:pPr>
            <w:r>
              <w:rPr>
                <w:sz w:val="20"/>
              </w:rPr>
              <w:t xml:space="preserve">27,7</w:t>
            </w:r>
          </w:p>
        </w:tc>
        <w:tc>
          <w:tcPr>
            <w:tcW w:w="793" w:type="dxa"/>
          </w:tcPr>
          <w:p>
            <w:pPr>
              <w:pStyle w:val="0"/>
              <w:jc w:val="center"/>
            </w:pPr>
            <w:r>
              <w:rPr>
                <w:sz w:val="20"/>
              </w:rPr>
              <w:t xml:space="preserve">28,2</w:t>
            </w:r>
          </w:p>
        </w:tc>
        <w:tc>
          <w:tcPr>
            <w:tcW w:w="793" w:type="dxa"/>
          </w:tcPr>
          <w:p>
            <w:pPr>
              <w:pStyle w:val="0"/>
              <w:jc w:val="center"/>
            </w:pPr>
            <w:r>
              <w:rPr>
                <w:sz w:val="20"/>
              </w:rPr>
              <w:t xml:space="preserve">28,8</w:t>
            </w:r>
          </w:p>
        </w:tc>
        <w:tc>
          <w:tcPr>
            <w:tcW w:w="793" w:type="dxa"/>
          </w:tcPr>
          <w:p>
            <w:pPr>
              <w:pStyle w:val="0"/>
              <w:jc w:val="center"/>
            </w:pPr>
            <w:r>
              <w:rPr>
                <w:sz w:val="20"/>
              </w:rPr>
              <w:t xml:space="preserve">29,4</w:t>
            </w:r>
          </w:p>
        </w:tc>
        <w:tc>
          <w:tcPr>
            <w:tcW w:w="2777" w:type="dxa"/>
          </w:tcPr>
          <w:p>
            <w:pPr>
              <w:pStyle w:val="0"/>
            </w:pPr>
            <w:r>
              <w:rPr>
                <w:sz w:val="20"/>
              </w:rPr>
            </w:r>
          </w:p>
        </w:tc>
      </w:tr>
      <w:tr>
        <w:tc>
          <w:tcPr>
            <w:vMerge w:val="continue"/>
          </w:tcPr>
          <w:p/>
        </w:tc>
        <w:tc>
          <w:tcPr>
            <w:tcW w:w="2721" w:type="dxa"/>
          </w:tcPr>
          <w:p>
            <w:pPr>
              <w:pStyle w:val="0"/>
            </w:pPr>
            <w:r>
              <w:rPr>
                <w:sz w:val="20"/>
              </w:rPr>
              <w:t xml:space="preserve">8) коэффициент доступности жилья для населения</w:t>
            </w:r>
          </w:p>
        </w:tc>
        <w:tc>
          <w:tcPr>
            <w:tcW w:w="680" w:type="dxa"/>
          </w:tcPr>
          <w:p>
            <w:pPr>
              <w:pStyle w:val="0"/>
              <w:jc w:val="center"/>
            </w:pPr>
            <w:r>
              <w:rPr>
                <w:sz w:val="20"/>
              </w:rPr>
              <w:t xml:space="preserve">лет</w:t>
            </w:r>
          </w:p>
        </w:tc>
        <w:tc>
          <w:tcPr>
            <w:tcW w:w="793" w:type="dxa"/>
          </w:tcPr>
          <w:p>
            <w:pPr>
              <w:pStyle w:val="0"/>
              <w:jc w:val="center"/>
            </w:pPr>
            <w:r>
              <w:rPr>
                <w:sz w:val="20"/>
              </w:rPr>
              <w:t xml:space="preserve">3,2</w:t>
            </w:r>
          </w:p>
        </w:tc>
        <w:tc>
          <w:tcPr>
            <w:tcW w:w="793" w:type="dxa"/>
          </w:tcPr>
          <w:p>
            <w:pPr>
              <w:pStyle w:val="0"/>
              <w:jc w:val="center"/>
            </w:pPr>
            <w:r>
              <w:rPr>
                <w:sz w:val="20"/>
              </w:rPr>
              <w:t xml:space="preserve">3,1</w:t>
            </w:r>
          </w:p>
        </w:tc>
        <w:tc>
          <w:tcPr>
            <w:tcW w:w="793" w:type="dxa"/>
          </w:tcPr>
          <w:p>
            <w:pPr>
              <w:pStyle w:val="0"/>
              <w:jc w:val="center"/>
            </w:pPr>
            <w:r>
              <w:rPr>
                <w:sz w:val="20"/>
              </w:rPr>
              <w:t xml:space="preserve">3,0</w:t>
            </w:r>
          </w:p>
        </w:tc>
        <w:tc>
          <w:tcPr>
            <w:tcW w:w="794" w:type="dxa"/>
          </w:tcPr>
          <w:p>
            <w:pPr>
              <w:pStyle w:val="0"/>
              <w:jc w:val="center"/>
            </w:pPr>
            <w:r>
              <w:rPr>
                <w:sz w:val="20"/>
              </w:rPr>
              <w:t xml:space="preserve">2,7</w:t>
            </w:r>
          </w:p>
        </w:tc>
        <w:tc>
          <w:tcPr>
            <w:tcW w:w="793" w:type="dxa"/>
          </w:tcPr>
          <w:p>
            <w:pPr>
              <w:pStyle w:val="0"/>
              <w:jc w:val="center"/>
            </w:pPr>
            <w:r>
              <w:rPr>
                <w:sz w:val="20"/>
              </w:rPr>
              <w:t xml:space="preserve">3,0</w:t>
            </w:r>
          </w:p>
        </w:tc>
        <w:tc>
          <w:tcPr>
            <w:tcW w:w="794" w:type="dxa"/>
          </w:tcPr>
          <w:p>
            <w:pPr>
              <w:pStyle w:val="0"/>
              <w:jc w:val="center"/>
            </w:pPr>
            <w:r>
              <w:rPr>
                <w:sz w:val="20"/>
              </w:rPr>
              <w:t xml:space="preserve">2,9</w:t>
            </w:r>
          </w:p>
        </w:tc>
        <w:tc>
          <w:tcPr>
            <w:tcW w:w="793" w:type="dxa"/>
          </w:tcPr>
          <w:p>
            <w:pPr>
              <w:pStyle w:val="0"/>
              <w:jc w:val="center"/>
            </w:pPr>
            <w:r>
              <w:rPr>
                <w:sz w:val="20"/>
              </w:rPr>
              <w:t xml:space="preserve">2,8</w:t>
            </w:r>
          </w:p>
        </w:tc>
        <w:tc>
          <w:tcPr>
            <w:tcW w:w="793" w:type="dxa"/>
          </w:tcPr>
          <w:p>
            <w:pPr>
              <w:pStyle w:val="0"/>
              <w:jc w:val="center"/>
            </w:pPr>
            <w:r>
              <w:rPr>
                <w:sz w:val="20"/>
              </w:rPr>
              <w:t xml:space="preserve">2,8</w:t>
            </w:r>
          </w:p>
        </w:tc>
        <w:tc>
          <w:tcPr>
            <w:tcW w:w="793" w:type="dxa"/>
          </w:tcPr>
          <w:p>
            <w:pPr>
              <w:pStyle w:val="0"/>
              <w:jc w:val="center"/>
            </w:pPr>
            <w:r>
              <w:rPr>
                <w:sz w:val="20"/>
              </w:rPr>
              <w:t xml:space="preserve">2,8</w:t>
            </w:r>
          </w:p>
        </w:tc>
        <w:tc>
          <w:tcPr>
            <w:tcW w:w="793" w:type="dxa"/>
          </w:tcPr>
          <w:p>
            <w:pPr>
              <w:pStyle w:val="0"/>
              <w:jc w:val="center"/>
            </w:pPr>
            <w:r>
              <w:rPr>
                <w:sz w:val="20"/>
              </w:rPr>
              <w:t xml:space="preserve">2,8</w:t>
            </w:r>
          </w:p>
        </w:tc>
        <w:tc>
          <w:tcPr>
            <w:tcW w:w="793" w:type="dxa"/>
          </w:tcPr>
          <w:p>
            <w:pPr>
              <w:pStyle w:val="0"/>
              <w:jc w:val="center"/>
            </w:pPr>
            <w:r>
              <w:rPr>
                <w:sz w:val="20"/>
              </w:rPr>
              <w:t xml:space="preserve">2,8</w:t>
            </w:r>
          </w:p>
        </w:tc>
        <w:tc>
          <w:tcPr>
            <w:tcW w:w="793" w:type="dxa"/>
          </w:tcPr>
          <w:p>
            <w:pPr>
              <w:pStyle w:val="0"/>
              <w:jc w:val="center"/>
            </w:pPr>
            <w:r>
              <w:rPr>
                <w:sz w:val="20"/>
              </w:rPr>
              <w:t xml:space="preserve">2,8</w:t>
            </w:r>
          </w:p>
        </w:tc>
        <w:tc>
          <w:tcPr>
            <w:tcW w:w="2777" w:type="dxa"/>
          </w:tcPr>
          <w:p>
            <w:pPr>
              <w:pStyle w:val="0"/>
            </w:pPr>
            <w:r>
              <w:rPr>
                <w:sz w:val="20"/>
              </w:rPr>
              <w:t xml:space="preserve">создание для жителей Новосибирской области возможности улучшения жилищных условий</w:t>
            </w:r>
          </w:p>
        </w:tc>
      </w:tr>
      <w:tr>
        <w:tc>
          <w:tcPr>
            <w:vMerge w:val="continue"/>
          </w:tcPr>
          <w:p/>
        </w:tc>
        <w:tc>
          <w:tcPr>
            <w:tcW w:w="2721" w:type="dxa"/>
          </w:tcPr>
          <w:p>
            <w:pPr>
              <w:pStyle w:val="0"/>
            </w:pPr>
            <w:r>
              <w:rPr>
                <w:sz w:val="20"/>
              </w:rPr>
              <w:t xml:space="preserve">9) количество выданных ипотечных кредитов</w:t>
            </w:r>
          </w:p>
        </w:tc>
        <w:tc>
          <w:tcPr>
            <w:tcW w:w="680" w:type="dxa"/>
          </w:tcPr>
          <w:p>
            <w:pPr>
              <w:pStyle w:val="0"/>
              <w:jc w:val="center"/>
            </w:pPr>
            <w:r>
              <w:rPr>
                <w:sz w:val="20"/>
              </w:rPr>
              <w:t xml:space="preserve">тыс. шт.</w:t>
            </w:r>
          </w:p>
        </w:tc>
        <w:tc>
          <w:tcPr>
            <w:tcW w:w="793" w:type="dxa"/>
          </w:tcPr>
          <w:p>
            <w:pPr>
              <w:pStyle w:val="0"/>
              <w:jc w:val="center"/>
            </w:pPr>
            <w:r>
              <w:rPr>
                <w:sz w:val="20"/>
              </w:rPr>
              <w:t xml:space="preserve">23,8</w:t>
            </w:r>
          </w:p>
        </w:tc>
        <w:tc>
          <w:tcPr>
            <w:tcW w:w="793" w:type="dxa"/>
          </w:tcPr>
          <w:p>
            <w:pPr>
              <w:pStyle w:val="0"/>
              <w:jc w:val="center"/>
            </w:pPr>
            <w:r>
              <w:rPr>
                <w:sz w:val="20"/>
              </w:rPr>
              <w:t xml:space="preserve">24,0</w:t>
            </w:r>
          </w:p>
        </w:tc>
        <w:tc>
          <w:tcPr>
            <w:tcW w:w="793" w:type="dxa"/>
          </w:tcPr>
          <w:p>
            <w:pPr>
              <w:pStyle w:val="0"/>
              <w:jc w:val="center"/>
            </w:pPr>
            <w:r>
              <w:rPr>
                <w:sz w:val="20"/>
              </w:rPr>
              <w:t xml:space="preserve">24,3</w:t>
            </w:r>
          </w:p>
        </w:tc>
        <w:tc>
          <w:tcPr>
            <w:tcW w:w="794" w:type="dxa"/>
          </w:tcPr>
          <w:p>
            <w:pPr>
              <w:pStyle w:val="0"/>
              <w:jc w:val="center"/>
            </w:pPr>
            <w:r>
              <w:rPr>
                <w:sz w:val="20"/>
              </w:rPr>
              <w:t xml:space="preserve">24,6</w:t>
            </w:r>
          </w:p>
        </w:tc>
        <w:tc>
          <w:tcPr>
            <w:tcW w:w="793" w:type="dxa"/>
          </w:tcPr>
          <w:p>
            <w:pPr>
              <w:pStyle w:val="0"/>
              <w:jc w:val="center"/>
            </w:pPr>
            <w:r>
              <w:rPr>
                <w:sz w:val="20"/>
              </w:rPr>
              <w:t xml:space="preserve">28,0</w:t>
            </w:r>
          </w:p>
        </w:tc>
        <w:tc>
          <w:tcPr>
            <w:tcW w:w="794" w:type="dxa"/>
          </w:tcPr>
          <w:p>
            <w:pPr>
              <w:pStyle w:val="0"/>
              <w:jc w:val="center"/>
            </w:pPr>
            <w:r>
              <w:rPr>
                <w:sz w:val="20"/>
              </w:rPr>
              <w:t xml:space="preserve">29,0</w:t>
            </w:r>
          </w:p>
        </w:tc>
        <w:tc>
          <w:tcPr>
            <w:tcW w:w="793" w:type="dxa"/>
          </w:tcPr>
          <w:p>
            <w:pPr>
              <w:pStyle w:val="0"/>
              <w:jc w:val="center"/>
            </w:pPr>
            <w:r>
              <w:rPr>
                <w:sz w:val="20"/>
              </w:rPr>
              <w:t xml:space="preserve">31,0</w:t>
            </w:r>
          </w:p>
        </w:tc>
        <w:tc>
          <w:tcPr>
            <w:tcW w:w="793" w:type="dxa"/>
          </w:tcPr>
          <w:p>
            <w:pPr>
              <w:pStyle w:val="0"/>
              <w:jc w:val="center"/>
            </w:pPr>
            <w:r>
              <w:rPr>
                <w:sz w:val="20"/>
              </w:rPr>
              <w:t xml:space="preserve">35,0</w:t>
            </w:r>
          </w:p>
        </w:tc>
        <w:tc>
          <w:tcPr>
            <w:tcW w:w="793" w:type="dxa"/>
          </w:tcPr>
          <w:p>
            <w:pPr>
              <w:pStyle w:val="0"/>
              <w:jc w:val="center"/>
            </w:pPr>
            <w:r>
              <w:rPr>
                <w:sz w:val="20"/>
              </w:rPr>
              <w:t xml:space="preserve">35,0</w:t>
            </w:r>
          </w:p>
        </w:tc>
        <w:tc>
          <w:tcPr>
            <w:tcW w:w="793" w:type="dxa"/>
          </w:tcPr>
          <w:p>
            <w:pPr>
              <w:pStyle w:val="0"/>
              <w:jc w:val="center"/>
            </w:pPr>
            <w:r>
              <w:rPr>
                <w:sz w:val="20"/>
              </w:rPr>
              <w:t xml:space="preserve">35,0</w:t>
            </w:r>
          </w:p>
        </w:tc>
        <w:tc>
          <w:tcPr>
            <w:tcW w:w="793" w:type="dxa"/>
          </w:tcPr>
          <w:p>
            <w:pPr>
              <w:pStyle w:val="0"/>
              <w:jc w:val="center"/>
            </w:pPr>
            <w:r>
              <w:rPr>
                <w:sz w:val="20"/>
              </w:rPr>
              <w:t xml:space="preserve">35,0</w:t>
            </w:r>
          </w:p>
        </w:tc>
        <w:tc>
          <w:tcPr>
            <w:tcW w:w="793" w:type="dxa"/>
          </w:tcPr>
          <w:p>
            <w:pPr>
              <w:pStyle w:val="0"/>
              <w:jc w:val="center"/>
            </w:pPr>
            <w:r>
              <w:rPr>
                <w:sz w:val="20"/>
              </w:rPr>
              <w:t xml:space="preserve">35,0</w:t>
            </w:r>
          </w:p>
        </w:tc>
        <w:tc>
          <w:tcPr>
            <w:tcW w:w="2777" w:type="dxa"/>
          </w:tcPr>
          <w:p>
            <w:pPr>
              <w:pStyle w:val="0"/>
            </w:pPr>
            <w:r>
              <w:rPr>
                <w:sz w:val="20"/>
              </w:rPr>
            </w:r>
          </w:p>
        </w:tc>
      </w:tr>
      <w:tr>
        <w:tc>
          <w:tcPr>
            <w:vMerge w:val="continue"/>
          </w:tcPr>
          <w:p/>
        </w:tc>
        <w:tc>
          <w:tcPr>
            <w:tcW w:w="2721" w:type="dxa"/>
          </w:tcPr>
          <w:p>
            <w:pPr>
              <w:pStyle w:val="0"/>
            </w:pPr>
            <w:r>
              <w:rPr>
                <w:sz w:val="20"/>
              </w:rPr>
              <w:t xml:space="preserve">10) средняя стоимость 1 квадратного метра общей площади жилья экономкласса</w:t>
            </w:r>
          </w:p>
        </w:tc>
        <w:tc>
          <w:tcPr>
            <w:tcW w:w="680" w:type="dxa"/>
          </w:tcPr>
          <w:p>
            <w:pPr>
              <w:pStyle w:val="0"/>
              <w:jc w:val="center"/>
            </w:pPr>
            <w:r>
              <w:rPr>
                <w:sz w:val="20"/>
              </w:rPr>
              <w:t xml:space="preserve">тыс. руб.</w:t>
            </w:r>
          </w:p>
        </w:tc>
        <w:tc>
          <w:tcPr>
            <w:tcW w:w="793" w:type="dxa"/>
          </w:tcPr>
          <w:p>
            <w:pPr>
              <w:pStyle w:val="0"/>
              <w:jc w:val="center"/>
            </w:pPr>
            <w:r>
              <w:rPr>
                <w:sz w:val="20"/>
              </w:rPr>
              <w:t xml:space="preserve">42,5</w:t>
            </w:r>
          </w:p>
        </w:tc>
        <w:tc>
          <w:tcPr>
            <w:tcW w:w="793" w:type="dxa"/>
          </w:tcPr>
          <w:p>
            <w:pPr>
              <w:pStyle w:val="0"/>
              <w:jc w:val="center"/>
            </w:pPr>
            <w:r>
              <w:rPr>
                <w:sz w:val="20"/>
              </w:rPr>
              <w:t xml:space="preserve">41</w:t>
            </w:r>
          </w:p>
        </w:tc>
        <w:tc>
          <w:tcPr>
            <w:tcW w:w="793" w:type="dxa"/>
          </w:tcPr>
          <w:p>
            <w:pPr>
              <w:pStyle w:val="0"/>
              <w:jc w:val="center"/>
            </w:pPr>
            <w:r>
              <w:rPr>
                <w:sz w:val="20"/>
              </w:rPr>
              <w:t xml:space="preserve">38,5</w:t>
            </w:r>
          </w:p>
        </w:tc>
        <w:tc>
          <w:tcPr>
            <w:tcW w:w="794" w:type="dxa"/>
          </w:tcPr>
          <w:p>
            <w:pPr>
              <w:pStyle w:val="0"/>
              <w:jc w:val="center"/>
            </w:pPr>
            <w:r>
              <w:rPr>
                <w:sz w:val="20"/>
              </w:rPr>
              <w:t xml:space="preserve">37</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снижение к 2018 году стоимости одного квадратного метра жилья на 20% по сравнению с уровнем 2012 года путем увеличения объема ввода в эксплуатацию жилья экономкласса. С 2018 года понятие жилье "экономкласса" заменено на "стандартное" жилье и введен соответствующий индикатор</w:t>
            </w:r>
          </w:p>
        </w:tc>
      </w:tr>
      <w:tr>
        <w:tc>
          <w:tcPr>
            <w:vMerge w:val="continue"/>
          </w:tcPr>
          <w:p/>
        </w:tc>
        <w:tc>
          <w:tcPr>
            <w:tcW w:w="2721" w:type="dxa"/>
          </w:tcPr>
          <w:p>
            <w:pPr>
              <w:pStyle w:val="0"/>
            </w:pPr>
            <w:r>
              <w:rPr>
                <w:sz w:val="20"/>
              </w:rPr>
              <w:t xml:space="preserve">11) средняя стоимость 1 квадратного метра общей площади стандартного жилья</w:t>
            </w:r>
          </w:p>
        </w:tc>
        <w:tc>
          <w:tcPr>
            <w:tcW w:w="680" w:type="dxa"/>
          </w:tcPr>
          <w:p>
            <w:pPr>
              <w:pStyle w:val="0"/>
              <w:jc w:val="center"/>
            </w:pPr>
            <w:r>
              <w:rPr>
                <w:sz w:val="20"/>
              </w:rPr>
              <w:t xml:space="preserve">тыс. руб.</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37</w:t>
            </w:r>
          </w:p>
        </w:tc>
        <w:tc>
          <w:tcPr>
            <w:tcW w:w="793" w:type="dxa"/>
          </w:tcPr>
          <w:p>
            <w:pPr>
              <w:pStyle w:val="0"/>
              <w:jc w:val="center"/>
            </w:pPr>
            <w:r>
              <w:rPr>
                <w:sz w:val="20"/>
              </w:rPr>
              <w:t xml:space="preserve">36</w:t>
            </w:r>
          </w:p>
        </w:tc>
        <w:tc>
          <w:tcPr>
            <w:tcW w:w="794" w:type="dxa"/>
          </w:tcPr>
          <w:p>
            <w:pPr>
              <w:pStyle w:val="0"/>
              <w:jc w:val="center"/>
            </w:pPr>
            <w:r>
              <w:rPr>
                <w:sz w:val="20"/>
              </w:rPr>
              <w:t xml:space="preserve">36</w:t>
            </w:r>
          </w:p>
        </w:tc>
        <w:tc>
          <w:tcPr>
            <w:tcW w:w="793" w:type="dxa"/>
          </w:tcPr>
          <w:p>
            <w:pPr>
              <w:pStyle w:val="0"/>
              <w:jc w:val="center"/>
            </w:pPr>
            <w:r>
              <w:rPr>
                <w:sz w:val="20"/>
              </w:rPr>
              <w:t xml:space="preserve">36</w:t>
            </w:r>
          </w:p>
        </w:tc>
        <w:tc>
          <w:tcPr>
            <w:tcW w:w="793" w:type="dxa"/>
          </w:tcPr>
          <w:p>
            <w:pPr>
              <w:pStyle w:val="0"/>
              <w:jc w:val="center"/>
            </w:pPr>
            <w:r>
              <w:rPr>
                <w:sz w:val="20"/>
              </w:rPr>
              <w:t xml:space="preserve">36</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целевой индикатор введен с 2018 года в связи с заменой понятия жилье "экономкласса" на "стандартное" жилье. На 2017 год приведено базовое значение. Значение показателя может корректироваться в соответствии с ростом индекса потребительских цен (действие целевого индикатора до 01.01.2022)</w:t>
            </w:r>
          </w:p>
        </w:tc>
      </w:tr>
      <w:tr>
        <w:tc>
          <w:tcPr>
            <w:tcW w:w="2097" w:type="dxa"/>
            <w:vMerge w:val="restart"/>
          </w:tcPr>
          <w:p>
            <w:pPr>
              <w:pStyle w:val="0"/>
            </w:pPr>
            <w:r>
              <w:rPr>
                <w:sz w:val="20"/>
              </w:rPr>
              <w:t xml:space="preserve">Задача 1 государственной программы. Создание условий для осуществления градостроительной деятельности на территории Новосибирской области</w:t>
            </w:r>
          </w:p>
        </w:tc>
        <w:tc>
          <w:tcPr>
            <w:tcW w:w="2721" w:type="dxa"/>
          </w:tcPr>
          <w:p>
            <w:pPr>
              <w:pStyle w:val="0"/>
            </w:pPr>
            <w:r>
              <w:rPr>
                <w:sz w:val="20"/>
              </w:rPr>
              <w:t xml:space="preserve">12) доля муниципальных образований Новосибирской области, в которых в течение периода действия государственной программы разработаны документы территориального планирования и градостроительного зонирования либо внесены в них изменения</w:t>
            </w:r>
          </w:p>
        </w:tc>
        <w:tc>
          <w:tcPr>
            <w:tcW w:w="680" w:type="dxa"/>
          </w:tcPr>
          <w:p>
            <w:pPr>
              <w:pStyle w:val="0"/>
              <w:jc w:val="center"/>
            </w:pPr>
            <w:r>
              <w:rPr>
                <w:sz w:val="20"/>
              </w:rPr>
              <w:t xml:space="preserve">%</w:t>
            </w:r>
          </w:p>
        </w:tc>
        <w:tc>
          <w:tcPr>
            <w:tcW w:w="793" w:type="dxa"/>
          </w:tcPr>
          <w:p>
            <w:pPr>
              <w:pStyle w:val="0"/>
              <w:jc w:val="center"/>
            </w:pPr>
            <w:r>
              <w:rPr>
                <w:sz w:val="20"/>
              </w:rPr>
              <w:t xml:space="preserve">0,0</w:t>
            </w:r>
          </w:p>
        </w:tc>
        <w:tc>
          <w:tcPr>
            <w:tcW w:w="793" w:type="dxa"/>
          </w:tcPr>
          <w:p>
            <w:pPr>
              <w:pStyle w:val="0"/>
              <w:jc w:val="center"/>
            </w:pPr>
            <w:r>
              <w:rPr>
                <w:sz w:val="20"/>
              </w:rPr>
              <w:t xml:space="preserve">0,20</w:t>
            </w:r>
          </w:p>
        </w:tc>
        <w:tc>
          <w:tcPr>
            <w:tcW w:w="793" w:type="dxa"/>
          </w:tcPr>
          <w:p>
            <w:pPr>
              <w:pStyle w:val="0"/>
              <w:jc w:val="center"/>
            </w:pPr>
            <w:r>
              <w:rPr>
                <w:sz w:val="20"/>
              </w:rPr>
              <w:t xml:space="preserve">1,22</w:t>
            </w:r>
          </w:p>
        </w:tc>
        <w:tc>
          <w:tcPr>
            <w:tcW w:w="794" w:type="dxa"/>
          </w:tcPr>
          <w:p>
            <w:pPr>
              <w:pStyle w:val="0"/>
              <w:jc w:val="center"/>
            </w:pPr>
            <w:r>
              <w:rPr>
                <w:sz w:val="20"/>
              </w:rPr>
              <w:t xml:space="preserve">2,24</w:t>
            </w:r>
          </w:p>
        </w:tc>
        <w:tc>
          <w:tcPr>
            <w:tcW w:w="793" w:type="dxa"/>
          </w:tcPr>
          <w:p>
            <w:pPr>
              <w:pStyle w:val="0"/>
              <w:jc w:val="center"/>
            </w:pPr>
            <w:r>
              <w:rPr>
                <w:sz w:val="20"/>
              </w:rPr>
              <w:t xml:space="preserve">3,47</w:t>
            </w:r>
          </w:p>
        </w:tc>
        <w:tc>
          <w:tcPr>
            <w:tcW w:w="794" w:type="dxa"/>
          </w:tcPr>
          <w:p>
            <w:pPr>
              <w:pStyle w:val="0"/>
              <w:jc w:val="center"/>
            </w:pPr>
            <w:r>
              <w:rPr>
                <w:sz w:val="20"/>
              </w:rPr>
              <w:t xml:space="preserve">6,33</w:t>
            </w:r>
          </w:p>
        </w:tc>
        <w:tc>
          <w:tcPr>
            <w:tcW w:w="793" w:type="dxa"/>
          </w:tcPr>
          <w:p>
            <w:pPr>
              <w:pStyle w:val="0"/>
              <w:jc w:val="center"/>
            </w:pPr>
            <w:r>
              <w:rPr>
                <w:sz w:val="20"/>
              </w:rPr>
              <w:t xml:space="preserve">14,0</w:t>
            </w:r>
          </w:p>
        </w:tc>
        <w:tc>
          <w:tcPr>
            <w:tcW w:w="793" w:type="dxa"/>
          </w:tcPr>
          <w:p>
            <w:pPr>
              <w:pStyle w:val="0"/>
              <w:jc w:val="center"/>
            </w:pPr>
            <w:r>
              <w:rPr>
                <w:sz w:val="20"/>
              </w:rPr>
              <w:t xml:space="preserve">16,8</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под муниципальными образованиями в рамках реализации государственной программы понимаются 429 сельских поселений, 26 городских поселений, 5 городских округов и 30 муниципальных районов (период действия целевого индикатора до 01.01.2022)</w:t>
            </w:r>
          </w:p>
        </w:tc>
      </w:tr>
      <w:tr>
        <w:tc>
          <w:tcPr>
            <w:vMerge w:val="continue"/>
          </w:tcPr>
          <w:p/>
        </w:tc>
        <w:tc>
          <w:tcPr>
            <w:tcW w:w="2721" w:type="dxa"/>
          </w:tcPr>
          <w:p>
            <w:pPr>
              <w:pStyle w:val="0"/>
            </w:pPr>
            <w:r>
              <w:rPr>
                <w:sz w:val="20"/>
              </w:rPr>
              <w:t xml:space="preserve">13) доля территориальных зон, сведения о границах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муниципальных образований Новосибирской области</w:t>
            </w:r>
          </w:p>
        </w:tc>
        <w:tc>
          <w:tcPr>
            <w:tcW w:w="680"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27,0</w:t>
            </w:r>
          </w:p>
        </w:tc>
        <w:tc>
          <w:tcPr>
            <w:tcW w:w="793" w:type="dxa"/>
          </w:tcPr>
          <w:p>
            <w:pPr>
              <w:pStyle w:val="0"/>
              <w:jc w:val="center"/>
            </w:pPr>
            <w:r>
              <w:rPr>
                <w:sz w:val="20"/>
              </w:rPr>
              <w:t xml:space="preserve">32,0</w:t>
            </w:r>
          </w:p>
        </w:tc>
        <w:tc>
          <w:tcPr>
            <w:tcW w:w="793" w:type="dxa"/>
          </w:tcPr>
          <w:p>
            <w:pPr>
              <w:pStyle w:val="0"/>
              <w:jc w:val="center"/>
            </w:pPr>
            <w:r>
              <w:rPr>
                <w:sz w:val="20"/>
              </w:rPr>
              <w:t xml:space="preserve">50,0</w:t>
            </w:r>
          </w:p>
        </w:tc>
        <w:tc>
          <w:tcPr>
            <w:tcW w:w="793" w:type="dxa"/>
          </w:tcPr>
          <w:p>
            <w:pPr>
              <w:pStyle w:val="0"/>
              <w:jc w:val="center"/>
            </w:pPr>
            <w:r>
              <w:rPr>
                <w:sz w:val="20"/>
              </w:rPr>
              <w:t xml:space="preserve">75,0</w:t>
            </w:r>
          </w:p>
        </w:tc>
        <w:tc>
          <w:tcPr>
            <w:tcW w:w="793" w:type="dxa"/>
          </w:tcPr>
          <w:p>
            <w:pPr>
              <w:pStyle w:val="0"/>
              <w:jc w:val="center"/>
            </w:pPr>
            <w:r>
              <w:rPr>
                <w:sz w:val="20"/>
              </w:rPr>
              <w:t xml:space="preserve">85,0</w:t>
            </w:r>
          </w:p>
        </w:tc>
        <w:tc>
          <w:tcPr>
            <w:tcW w:w="2777" w:type="dxa"/>
          </w:tcPr>
          <w:p>
            <w:pPr>
              <w:pStyle w:val="0"/>
            </w:pPr>
            <w:r>
              <w:rPr>
                <w:sz w:val="20"/>
              </w:rPr>
              <w:t xml:space="preserve">целевой индикатор введен с 2022 года, на 2021 год приведено базовое значение. Под муниципальными образованиями Новосибирской области в рамках реализации государственной программы понимаются 427 сельских поселений, 26 городских поселений, 5 городских округов, 30 муниципальных районов</w:t>
            </w:r>
          </w:p>
        </w:tc>
      </w:tr>
      <w:tr>
        <w:tc>
          <w:tcPr>
            <w:vMerge w:val="continue"/>
          </w:tcPr>
          <w:p/>
        </w:tc>
        <w:tc>
          <w:tcPr>
            <w:tcW w:w="2721" w:type="dxa"/>
          </w:tcPr>
          <w:p>
            <w:pPr>
              <w:pStyle w:val="0"/>
            </w:pPr>
            <w:r>
              <w:rPr>
                <w:sz w:val="20"/>
              </w:rPr>
              <w:t xml:space="preserve">14) доля населенных пунктов, сведения о границах которых внесены в Единый государственный реестр недвижимости, в общем количестве населенных пунктов муниципальных образований Новосибирской области</w:t>
            </w:r>
          </w:p>
        </w:tc>
        <w:tc>
          <w:tcPr>
            <w:tcW w:w="680"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56,7</w:t>
            </w:r>
          </w:p>
        </w:tc>
        <w:tc>
          <w:tcPr>
            <w:tcW w:w="793" w:type="dxa"/>
          </w:tcPr>
          <w:p>
            <w:pPr>
              <w:pStyle w:val="0"/>
              <w:jc w:val="center"/>
            </w:pPr>
            <w:r>
              <w:rPr>
                <w:sz w:val="20"/>
              </w:rPr>
              <w:t xml:space="preserve">65,0</w:t>
            </w:r>
          </w:p>
        </w:tc>
        <w:tc>
          <w:tcPr>
            <w:tcW w:w="793" w:type="dxa"/>
          </w:tcPr>
          <w:p>
            <w:pPr>
              <w:pStyle w:val="0"/>
              <w:jc w:val="center"/>
            </w:pPr>
            <w:r>
              <w:rPr>
                <w:sz w:val="20"/>
              </w:rPr>
              <w:t xml:space="preserve">75,0</w:t>
            </w:r>
          </w:p>
        </w:tc>
        <w:tc>
          <w:tcPr>
            <w:tcW w:w="793" w:type="dxa"/>
          </w:tcPr>
          <w:p>
            <w:pPr>
              <w:pStyle w:val="0"/>
              <w:jc w:val="center"/>
            </w:pPr>
            <w:r>
              <w:rPr>
                <w:sz w:val="20"/>
              </w:rPr>
              <w:t xml:space="preserve">80,0</w:t>
            </w:r>
          </w:p>
        </w:tc>
        <w:tc>
          <w:tcPr>
            <w:tcW w:w="793" w:type="dxa"/>
          </w:tcPr>
          <w:p>
            <w:pPr>
              <w:pStyle w:val="0"/>
              <w:jc w:val="center"/>
            </w:pPr>
            <w:r>
              <w:rPr>
                <w:sz w:val="20"/>
              </w:rPr>
              <w:t xml:space="preserve">90,0</w:t>
            </w:r>
          </w:p>
        </w:tc>
        <w:tc>
          <w:tcPr>
            <w:tcW w:w="2777" w:type="dxa"/>
          </w:tcPr>
          <w:p>
            <w:pPr>
              <w:pStyle w:val="0"/>
            </w:pPr>
            <w:r>
              <w:rPr>
                <w:sz w:val="20"/>
              </w:rPr>
              <w:t xml:space="preserve">целевой индикатор введен с 2022 года, на 2021 год приведено базовое значение. Под муниципальными образованиями Новосибирской области в рамках реализации государственной программы понимаются 427 сельских поселений, 26 городских поселений, 5 городских округов, 30 муниципальных районов</w:t>
            </w:r>
          </w:p>
        </w:tc>
      </w:tr>
      <w:tr>
        <w:tc>
          <w:tcPr>
            <w:tcW w:w="2097" w:type="dxa"/>
            <w:vMerge w:val="restart"/>
          </w:tcPr>
          <w:p>
            <w:pPr>
              <w:pStyle w:val="0"/>
            </w:pPr>
            <w:r>
              <w:rPr>
                <w:sz w:val="20"/>
              </w:rPr>
              <w:t xml:space="preserve">Задача 2 государственной программы. Содействие эффективному использованию земельных участков под жилищное строительство</w:t>
            </w:r>
          </w:p>
        </w:tc>
        <w:tc>
          <w:tcPr>
            <w:tcW w:w="2721" w:type="dxa"/>
          </w:tcPr>
          <w:p>
            <w:pPr>
              <w:pStyle w:val="0"/>
            </w:pPr>
            <w:r>
              <w:rPr>
                <w:sz w:val="20"/>
              </w:rPr>
              <w:t xml:space="preserve">15) удельный вес площади земельных участков комплексной застройки, формируемых муниципальными образованиями, по которым выполнены мероприятия по обеспечению инженерной инфраструктурой, от общей площади земельных участков комплексной застройки, формируемых муниципальными образованиями, на которых необходимо проведение работ по обеспечению инженерной инфраструктурой</w:t>
            </w:r>
          </w:p>
        </w:tc>
        <w:tc>
          <w:tcPr>
            <w:tcW w:w="680" w:type="dxa"/>
          </w:tcPr>
          <w:p>
            <w:pPr>
              <w:pStyle w:val="0"/>
              <w:jc w:val="center"/>
            </w:pPr>
            <w:r>
              <w:rPr>
                <w:sz w:val="20"/>
              </w:rPr>
              <w:t xml:space="preserve">%</w:t>
            </w:r>
          </w:p>
        </w:tc>
        <w:tc>
          <w:tcPr>
            <w:tcW w:w="793" w:type="dxa"/>
          </w:tcPr>
          <w:p>
            <w:pPr>
              <w:pStyle w:val="0"/>
              <w:jc w:val="center"/>
            </w:pPr>
            <w:r>
              <w:rPr>
                <w:sz w:val="20"/>
              </w:rPr>
              <w:t xml:space="preserve">1,3</w:t>
            </w:r>
          </w:p>
        </w:tc>
        <w:tc>
          <w:tcPr>
            <w:tcW w:w="793" w:type="dxa"/>
          </w:tcPr>
          <w:p>
            <w:pPr>
              <w:pStyle w:val="0"/>
              <w:jc w:val="center"/>
            </w:pPr>
            <w:r>
              <w:rPr>
                <w:sz w:val="20"/>
              </w:rPr>
              <w:t xml:space="preserve">1,4</w:t>
            </w:r>
          </w:p>
        </w:tc>
        <w:tc>
          <w:tcPr>
            <w:tcW w:w="793" w:type="dxa"/>
          </w:tcPr>
          <w:p>
            <w:pPr>
              <w:pStyle w:val="0"/>
              <w:jc w:val="center"/>
            </w:pPr>
            <w:r>
              <w:rPr>
                <w:sz w:val="20"/>
              </w:rPr>
              <w:t xml:space="preserve">2,78</w:t>
            </w:r>
          </w:p>
        </w:tc>
        <w:tc>
          <w:tcPr>
            <w:tcW w:w="794" w:type="dxa"/>
          </w:tcPr>
          <w:p>
            <w:pPr>
              <w:pStyle w:val="0"/>
              <w:jc w:val="center"/>
            </w:pPr>
            <w:r>
              <w:rPr>
                <w:sz w:val="20"/>
              </w:rPr>
              <w:t xml:space="preserve">2,79</w:t>
            </w:r>
          </w:p>
        </w:tc>
        <w:tc>
          <w:tcPr>
            <w:tcW w:w="793" w:type="dxa"/>
          </w:tcPr>
          <w:p>
            <w:pPr>
              <w:pStyle w:val="0"/>
              <w:jc w:val="center"/>
            </w:pPr>
            <w:r>
              <w:rPr>
                <w:sz w:val="20"/>
              </w:rPr>
              <w:t xml:space="preserve">3,20</w:t>
            </w:r>
          </w:p>
        </w:tc>
        <w:tc>
          <w:tcPr>
            <w:tcW w:w="794" w:type="dxa"/>
          </w:tcPr>
          <w:p>
            <w:pPr>
              <w:pStyle w:val="0"/>
              <w:jc w:val="center"/>
            </w:pPr>
            <w:r>
              <w:rPr>
                <w:sz w:val="20"/>
              </w:rPr>
              <w:t xml:space="preserve">3,73</w:t>
            </w:r>
          </w:p>
        </w:tc>
        <w:tc>
          <w:tcPr>
            <w:tcW w:w="793" w:type="dxa"/>
          </w:tcPr>
          <w:p>
            <w:pPr>
              <w:pStyle w:val="0"/>
              <w:jc w:val="center"/>
            </w:pPr>
            <w:r>
              <w:rPr>
                <w:sz w:val="20"/>
              </w:rPr>
              <w:t xml:space="preserve">8,6</w:t>
            </w:r>
          </w:p>
        </w:tc>
        <w:tc>
          <w:tcPr>
            <w:tcW w:w="793" w:type="dxa"/>
          </w:tcPr>
          <w:p>
            <w:pPr>
              <w:pStyle w:val="0"/>
              <w:jc w:val="center"/>
            </w:pPr>
            <w:r>
              <w:rPr>
                <w:sz w:val="20"/>
              </w:rPr>
              <w:t xml:space="preserve">8,6</w:t>
            </w:r>
          </w:p>
        </w:tc>
        <w:tc>
          <w:tcPr>
            <w:tcW w:w="793" w:type="dxa"/>
          </w:tcPr>
          <w:p>
            <w:pPr>
              <w:pStyle w:val="0"/>
              <w:jc w:val="center"/>
            </w:pPr>
            <w:r>
              <w:rPr>
                <w:sz w:val="20"/>
              </w:rPr>
              <w:t xml:space="preserve">8,6</w:t>
            </w:r>
          </w:p>
        </w:tc>
        <w:tc>
          <w:tcPr>
            <w:tcW w:w="793" w:type="dxa"/>
          </w:tcPr>
          <w:p>
            <w:pPr>
              <w:pStyle w:val="0"/>
              <w:jc w:val="center"/>
            </w:pPr>
            <w:r>
              <w:rPr>
                <w:sz w:val="20"/>
              </w:rPr>
              <w:t xml:space="preserve">6,9</w:t>
            </w:r>
          </w:p>
        </w:tc>
        <w:tc>
          <w:tcPr>
            <w:tcW w:w="793" w:type="dxa"/>
          </w:tcPr>
          <w:p>
            <w:pPr>
              <w:pStyle w:val="0"/>
              <w:jc w:val="center"/>
            </w:pPr>
            <w:r>
              <w:rPr>
                <w:sz w:val="20"/>
              </w:rPr>
              <w:t xml:space="preserve">8,5</w:t>
            </w:r>
          </w:p>
        </w:tc>
        <w:tc>
          <w:tcPr>
            <w:tcW w:w="793" w:type="dxa"/>
          </w:tcPr>
          <w:p>
            <w:pPr>
              <w:pStyle w:val="0"/>
              <w:jc w:val="center"/>
            </w:pPr>
            <w:r>
              <w:rPr>
                <w:sz w:val="20"/>
              </w:rPr>
              <w:t xml:space="preserve">8,5</w:t>
            </w:r>
          </w:p>
        </w:tc>
        <w:tc>
          <w:tcPr>
            <w:tcW w:w="2777" w:type="dxa"/>
          </w:tcPr>
          <w:p>
            <w:pPr>
              <w:pStyle w:val="0"/>
            </w:pPr>
            <w:r>
              <w:rPr>
                <w:sz w:val="20"/>
              </w:rPr>
            </w:r>
          </w:p>
        </w:tc>
      </w:tr>
      <w:tr>
        <w:tc>
          <w:tcPr>
            <w:vMerge w:val="continue"/>
          </w:tcPr>
          <w:p/>
        </w:tc>
        <w:tc>
          <w:tcPr>
            <w:tcW w:w="2721" w:type="dxa"/>
          </w:tcPr>
          <w:p>
            <w:pPr>
              <w:pStyle w:val="0"/>
            </w:pPr>
            <w:r>
              <w:rPr>
                <w:sz w:val="20"/>
              </w:rPr>
              <w:t xml:space="preserve">16) удельный вес "проблемных" объектов, по которым выполнены мероприятия по обеспечению инженерной инфраструктурой и благоустройством придомовой территории, от общего количества "проблемных" объектов, по которым требуется обеспечение инженерной инфраструктурой и благоустройством придомовой территории</w:t>
            </w:r>
          </w:p>
        </w:tc>
        <w:tc>
          <w:tcPr>
            <w:tcW w:w="680" w:type="dxa"/>
          </w:tcPr>
          <w:p>
            <w:pPr>
              <w:pStyle w:val="0"/>
              <w:jc w:val="center"/>
            </w:pPr>
            <w:r>
              <w:rPr>
                <w:sz w:val="20"/>
              </w:rPr>
              <w:t xml:space="preserve">%</w:t>
            </w:r>
          </w:p>
        </w:tc>
        <w:tc>
          <w:tcPr>
            <w:tcW w:w="793" w:type="dxa"/>
          </w:tcPr>
          <w:p>
            <w:pPr>
              <w:pStyle w:val="0"/>
              <w:jc w:val="center"/>
            </w:pPr>
            <w:r>
              <w:rPr>
                <w:sz w:val="20"/>
              </w:rPr>
              <w:t xml:space="preserve">0,0</w:t>
            </w:r>
          </w:p>
        </w:tc>
        <w:tc>
          <w:tcPr>
            <w:tcW w:w="793" w:type="dxa"/>
          </w:tcPr>
          <w:p>
            <w:pPr>
              <w:pStyle w:val="0"/>
              <w:jc w:val="center"/>
            </w:pPr>
            <w:r>
              <w:rPr>
                <w:sz w:val="20"/>
              </w:rPr>
              <w:t xml:space="preserve">32,8</w:t>
            </w:r>
          </w:p>
        </w:tc>
        <w:tc>
          <w:tcPr>
            <w:tcW w:w="793" w:type="dxa"/>
          </w:tcPr>
          <w:p>
            <w:pPr>
              <w:pStyle w:val="0"/>
              <w:jc w:val="center"/>
            </w:pPr>
            <w:r>
              <w:rPr>
                <w:sz w:val="20"/>
              </w:rPr>
              <w:t xml:space="preserve">52,5</w:t>
            </w:r>
          </w:p>
        </w:tc>
        <w:tc>
          <w:tcPr>
            <w:tcW w:w="794" w:type="dxa"/>
          </w:tcPr>
          <w:p>
            <w:pPr>
              <w:pStyle w:val="0"/>
              <w:jc w:val="center"/>
            </w:pPr>
            <w:r>
              <w:rPr>
                <w:sz w:val="20"/>
              </w:rPr>
              <w:t xml:space="preserve">54,5</w:t>
            </w:r>
          </w:p>
        </w:tc>
        <w:tc>
          <w:tcPr>
            <w:tcW w:w="793" w:type="dxa"/>
          </w:tcPr>
          <w:p>
            <w:pPr>
              <w:pStyle w:val="0"/>
              <w:jc w:val="center"/>
            </w:pPr>
            <w:r>
              <w:rPr>
                <w:sz w:val="20"/>
              </w:rPr>
              <w:t xml:space="preserve">81,8</w:t>
            </w:r>
          </w:p>
        </w:tc>
        <w:tc>
          <w:tcPr>
            <w:tcW w:w="794" w:type="dxa"/>
          </w:tcPr>
          <w:p>
            <w:pPr>
              <w:pStyle w:val="0"/>
              <w:jc w:val="center"/>
            </w:pPr>
            <w:r>
              <w:rPr>
                <w:sz w:val="20"/>
              </w:rPr>
              <w:t xml:space="preserve">95,0</w:t>
            </w:r>
          </w:p>
        </w:tc>
        <w:tc>
          <w:tcPr>
            <w:tcW w:w="793" w:type="dxa"/>
          </w:tcPr>
          <w:p>
            <w:pPr>
              <w:pStyle w:val="0"/>
              <w:jc w:val="center"/>
            </w:pPr>
            <w:r>
              <w:rPr>
                <w:sz w:val="20"/>
              </w:rPr>
              <w:t xml:space="preserve">100</w:t>
            </w:r>
          </w:p>
        </w:tc>
        <w:tc>
          <w:tcPr>
            <w:tcW w:w="793" w:type="dxa"/>
          </w:tcPr>
          <w:p>
            <w:pPr>
              <w:pStyle w:val="0"/>
              <w:jc w:val="center"/>
            </w:pPr>
            <w:r>
              <w:rPr>
                <w:sz w:val="20"/>
              </w:rPr>
              <w:t xml:space="preserve">92</w:t>
            </w:r>
          </w:p>
        </w:tc>
        <w:tc>
          <w:tcPr>
            <w:tcW w:w="793" w:type="dxa"/>
          </w:tcPr>
          <w:p>
            <w:pPr>
              <w:pStyle w:val="0"/>
              <w:jc w:val="center"/>
            </w:pPr>
            <w:r>
              <w:rPr>
                <w:sz w:val="20"/>
              </w:rPr>
              <w:t xml:space="preserve">96</w:t>
            </w:r>
          </w:p>
        </w:tc>
        <w:tc>
          <w:tcPr>
            <w:tcW w:w="793" w:type="dxa"/>
          </w:tcPr>
          <w:p>
            <w:pPr>
              <w:pStyle w:val="0"/>
              <w:jc w:val="center"/>
            </w:pPr>
            <w:r>
              <w:rPr>
                <w:sz w:val="20"/>
              </w:rPr>
              <w:t xml:space="preserve">100</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за период реализации государственной программы будут выполнены мероприятия по обеспечению инженерной инфраструктурой 100,0% "проблемных" объектов, удовлетворяющих условиям отбора для получения государственной поддержки</w:t>
            </w:r>
          </w:p>
        </w:tc>
      </w:tr>
      <w:tr>
        <w:tc>
          <w:tcPr>
            <w:vMerge w:val="continue"/>
          </w:tcPr>
          <w:p/>
        </w:tc>
        <w:tc>
          <w:tcPr>
            <w:tcW w:w="2721" w:type="dxa"/>
          </w:tcPr>
          <w:p>
            <w:pPr>
              <w:pStyle w:val="0"/>
            </w:pPr>
            <w:r>
              <w:rPr>
                <w:sz w:val="20"/>
              </w:rPr>
              <w:t xml:space="preserve">17) удельный вес "проблемных" объектов, введенных в эксплуатацию, в общем количестве незавершенных строительством "проблемных" объектов</w:t>
            </w:r>
          </w:p>
        </w:tc>
        <w:tc>
          <w:tcPr>
            <w:tcW w:w="680"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35,6</w:t>
            </w:r>
          </w:p>
        </w:tc>
        <w:tc>
          <w:tcPr>
            <w:tcW w:w="794" w:type="dxa"/>
          </w:tcPr>
          <w:p>
            <w:pPr>
              <w:pStyle w:val="0"/>
              <w:jc w:val="center"/>
            </w:pPr>
            <w:r>
              <w:rPr>
                <w:sz w:val="20"/>
              </w:rPr>
              <w:t xml:space="preserve">20,4</w:t>
            </w:r>
          </w:p>
        </w:tc>
        <w:tc>
          <w:tcPr>
            <w:tcW w:w="793" w:type="dxa"/>
          </w:tcPr>
          <w:p>
            <w:pPr>
              <w:pStyle w:val="0"/>
              <w:jc w:val="center"/>
            </w:pPr>
            <w:r>
              <w:rPr>
                <w:sz w:val="20"/>
              </w:rPr>
              <w:t xml:space="preserve">40,8</w:t>
            </w:r>
          </w:p>
        </w:tc>
        <w:tc>
          <w:tcPr>
            <w:tcW w:w="794" w:type="dxa"/>
          </w:tcPr>
          <w:p>
            <w:pPr>
              <w:pStyle w:val="0"/>
              <w:jc w:val="center"/>
            </w:pPr>
            <w:r>
              <w:rPr>
                <w:sz w:val="20"/>
              </w:rPr>
              <w:t xml:space="preserve">43,8</w:t>
            </w:r>
          </w:p>
        </w:tc>
        <w:tc>
          <w:tcPr>
            <w:tcW w:w="793" w:type="dxa"/>
          </w:tcPr>
          <w:p>
            <w:pPr>
              <w:pStyle w:val="0"/>
              <w:jc w:val="center"/>
            </w:pPr>
            <w:r>
              <w:rPr>
                <w:sz w:val="20"/>
              </w:rPr>
              <w:t xml:space="preserve">42,5</w:t>
            </w:r>
          </w:p>
        </w:tc>
        <w:tc>
          <w:tcPr>
            <w:tcW w:w="793" w:type="dxa"/>
          </w:tcPr>
          <w:p>
            <w:pPr>
              <w:pStyle w:val="0"/>
              <w:jc w:val="center"/>
            </w:pPr>
            <w:r>
              <w:rPr>
                <w:sz w:val="20"/>
              </w:rPr>
              <w:t xml:space="preserve">58,9</w:t>
            </w:r>
          </w:p>
        </w:tc>
        <w:tc>
          <w:tcPr>
            <w:tcW w:w="793" w:type="dxa"/>
          </w:tcPr>
          <w:p>
            <w:pPr>
              <w:pStyle w:val="0"/>
              <w:jc w:val="center"/>
            </w:pPr>
            <w:r>
              <w:rPr>
                <w:sz w:val="20"/>
              </w:rPr>
              <w:t xml:space="preserve">75,4</w:t>
            </w:r>
          </w:p>
        </w:tc>
        <w:tc>
          <w:tcPr>
            <w:tcW w:w="793" w:type="dxa"/>
          </w:tcPr>
          <w:p>
            <w:pPr>
              <w:pStyle w:val="0"/>
              <w:jc w:val="center"/>
            </w:pPr>
            <w:r>
              <w:rPr>
                <w:sz w:val="20"/>
              </w:rPr>
              <w:t xml:space="preserve">100,0</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показатель введен с 2017 года, на 2016 год приведено базовое значение</w:t>
            </w:r>
          </w:p>
        </w:tc>
      </w:tr>
      <w:tr>
        <w:tc>
          <w:tcPr>
            <w:tcW w:w="2097" w:type="dxa"/>
            <w:vMerge w:val="restart"/>
          </w:tcPr>
          <w:p>
            <w:pPr>
              <w:pStyle w:val="0"/>
            </w:pPr>
            <w:r>
              <w:rPr>
                <w:sz w:val="20"/>
              </w:rPr>
              <w:t xml:space="preserve">Задача 3 государственной программы. Улучшение жилищных условий различных категорий граждан и создание условий для развития ипотечного кредитования</w:t>
            </w:r>
          </w:p>
        </w:tc>
        <w:tc>
          <w:tcPr>
            <w:tcW w:w="2721" w:type="dxa"/>
          </w:tcPr>
          <w:p>
            <w:pPr>
              <w:pStyle w:val="0"/>
            </w:pPr>
            <w:r>
              <w:rPr>
                <w:sz w:val="20"/>
              </w:rPr>
              <w:t xml:space="preserve">18) доля семей (граждан), имеющих возможность приобрести жилье, соответствующее стандартам обеспечения жилыми помещениями, с помощью собственных и заемных средств</w:t>
            </w:r>
          </w:p>
        </w:tc>
        <w:tc>
          <w:tcPr>
            <w:tcW w:w="680" w:type="dxa"/>
          </w:tcPr>
          <w:p>
            <w:pPr>
              <w:pStyle w:val="0"/>
              <w:jc w:val="center"/>
            </w:pPr>
            <w:r>
              <w:rPr>
                <w:sz w:val="20"/>
              </w:rPr>
              <w:t xml:space="preserve">%</w:t>
            </w:r>
          </w:p>
        </w:tc>
        <w:tc>
          <w:tcPr>
            <w:tcW w:w="793" w:type="dxa"/>
          </w:tcPr>
          <w:p>
            <w:pPr>
              <w:pStyle w:val="0"/>
              <w:jc w:val="center"/>
            </w:pPr>
            <w:r>
              <w:rPr>
                <w:sz w:val="20"/>
              </w:rPr>
              <w:t xml:space="preserve">21,0</w:t>
            </w:r>
          </w:p>
        </w:tc>
        <w:tc>
          <w:tcPr>
            <w:tcW w:w="793" w:type="dxa"/>
          </w:tcPr>
          <w:p>
            <w:pPr>
              <w:pStyle w:val="0"/>
              <w:jc w:val="center"/>
            </w:pPr>
            <w:r>
              <w:rPr>
                <w:sz w:val="20"/>
              </w:rPr>
              <w:t xml:space="preserve">25,0</w:t>
            </w:r>
          </w:p>
        </w:tc>
        <w:tc>
          <w:tcPr>
            <w:tcW w:w="793" w:type="dxa"/>
          </w:tcPr>
          <w:p>
            <w:pPr>
              <w:pStyle w:val="0"/>
              <w:jc w:val="center"/>
            </w:pPr>
            <w:r>
              <w:rPr>
                <w:sz w:val="20"/>
              </w:rPr>
              <w:t xml:space="preserve">30,0</w:t>
            </w:r>
          </w:p>
        </w:tc>
        <w:tc>
          <w:tcPr>
            <w:tcW w:w="794" w:type="dxa"/>
          </w:tcPr>
          <w:p>
            <w:pPr>
              <w:pStyle w:val="0"/>
              <w:jc w:val="center"/>
            </w:pPr>
            <w:r>
              <w:rPr>
                <w:sz w:val="20"/>
              </w:rPr>
              <w:t xml:space="preserve">40,0</w:t>
            </w:r>
          </w:p>
        </w:tc>
        <w:tc>
          <w:tcPr>
            <w:tcW w:w="793" w:type="dxa"/>
          </w:tcPr>
          <w:p>
            <w:pPr>
              <w:pStyle w:val="0"/>
              <w:jc w:val="center"/>
            </w:pPr>
            <w:r>
              <w:rPr>
                <w:sz w:val="20"/>
              </w:rPr>
              <w:t xml:space="preserve">40,0</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целевой индикатор с 2019 года исключен в связи с уточнением наименования показателя, используемого в региональном проекте</w:t>
            </w:r>
          </w:p>
        </w:tc>
      </w:tr>
      <w:tr>
        <w:tc>
          <w:tcPr>
            <w:vMerge w:val="continue"/>
          </w:tcPr>
          <w:p/>
        </w:tc>
        <w:tc>
          <w:tcPr>
            <w:tcW w:w="2721" w:type="dxa"/>
          </w:tcPr>
          <w:p>
            <w:pPr>
              <w:pStyle w:val="0"/>
            </w:pPr>
            <w:r>
              <w:rPr>
                <w:sz w:val="20"/>
              </w:rPr>
              <w:t xml:space="preserve">19) доля семей, которые имеют возможность приобретения жилья за счет ипотечного кредитования</w:t>
            </w:r>
          </w:p>
        </w:tc>
        <w:tc>
          <w:tcPr>
            <w:tcW w:w="680"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39,79</w:t>
            </w:r>
          </w:p>
        </w:tc>
        <w:tc>
          <w:tcPr>
            <w:tcW w:w="794" w:type="dxa"/>
          </w:tcPr>
          <w:p>
            <w:pPr>
              <w:pStyle w:val="0"/>
              <w:jc w:val="center"/>
            </w:pPr>
            <w:r>
              <w:rPr>
                <w:sz w:val="20"/>
              </w:rPr>
              <w:t xml:space="preserve">41,0</w:t>
            </w:r>
          </w:p>
        </w:tc>
        <w:tc>
          <w:tcPr>
            <w:tcW w:w="793" w:type="dxa"/>
          </w:tcPr>
          <w:p>
            <w:pPr>
              <w:pStyle w:val="0"/>
              <w:jc w:val="center"/>
            </w:pPr>
            <w:r>
              <w:rPr>
                <w:sz w:val="20"/>
              </w:rPr>
              <w:t xml:space="preserve">42,0</w:t>
            </w:r>
          </w:p>
        </w:tc>
        <w:tc>
          <w:tcPr>
            <w:tcW w:w="793" w:type="dxa"/>
          </w:tcPr>
          <w:p>
            <w:pPr>
              <w:pStyle w:val="0"/>
              <w:jc w:val="center"/>
            </w:pPr>
            <w:r>
              <w:rPr>
                <w:sz w:val="20"/>
              </w:rPr>
              <w:t xml:space="preserve">45,0</w:t>
            </w:r>
          </w:p>
        </w:tc>
        <w:tc>
          <w:tcPr>
            <w:tcW w:w="793" w:type="dxa"/>
          </w:tcPr>
          <w:p>
            <w:pPr>
              <w:pStyle w:val="0"/>
              <w:jc w:val="center"/>
            </w:pPr>
            <w:r>
              <w:rPr>
                <w:sz w:val="20"/>
              </w:rPr>
              <w:t xml:space="preserve">45,0</w:t>
            </w:r>
          </w:p>
        </w:tc>
        <w:tc>
          <w:tcPr>
            <w:tcW w:w="793" w:type="dxa"/>
          </w:tcPr>
          <w:p>
            <w:pPr>
              <w:pStyle w:val="0"/>
              <w:jc w:val="center"/>
            </w:pPr>
            <w:r>
              <w:rPr>
                <w:sz w:val="20"/>
              </w:rPr>
              <w:t xml:space="preserve">45,0</w:t>
            </w:r>
          </w:p>
        </w:tc>
        <w:tc>
          <w:tcPr>
            <w:tcW w:w="793" w:type="dxa"/>
          </w:tcPr>
          <w:p>
            <w:pPr>
              <w:pStyle w:val="0"/>
              <w:jc w:val="center"/>
            </w:pPr>
            <w:r>
              <w:rPr>
                <w:sz w:val="20"/>
              </w:rPr>
              <w:t xml:space="preserve">45,0</w:t>
            </w:r>
          </w:p>
        </w:tc>
        <w:tc>
          <w:tcPr>
            <w:tcW w:w="793" w:type="dxa"/>
          </w:tcPr>
          <w:p>
            <w:pPr>
              <w:pStyle w:val="0"/>
              <w:jc w:val="center"/>
            </w:pPr>
            <w:r>
              <w:rPr>
                <w:sz w:val="20"/>
              </w:rPr>
              <w:t xml:space="preserve">45,0</w:t>
            </w:r>
          </w:p>
        </w:tc>
        <w:tc>
          <w:tcPr>
            <w:tcW w:w="2777" w:type="dxa"/>
          </w:tcPr>
          <w:p>
            <w:pPr>
              <w:pStyle w:val="0"/>
            </w:pPr>
            <w:r>
              <w:rPr>
                <w:sz w:val="20"/>
              </w:rPr>
              <w:t xml:space="preserve">целевой индикатор введен с 2019 года.</w:t>
            </w:r>
          </w:p>
          <w:p>
            <w:pPr>
              <w:pStyle w:val="0"/>
            </w:pPr>
            <w:r>
              <w:rPr>
                <w:sz w:val="20"/>
              </w:rPr>
              <w:t xml:space="preserve">На 2018 год приведено базовое значение</w:t>
            </w:r>
          </w:p>
        </w:tc>
      </w:tr>
      <w:tr>
        <w:tc>
          <w:tcPr>
            <w:gridSpan w:val="16"/>
            <w:tcW w:w="17793" w:type="dxa"/>
          </w:tcPr>
          <w:p>
            <w:pPr>
              <w:pStyle w:val="0"/>
              <w:outlineLvl w:val="3"/>
              <w:jc w:val="center"/>
            </w:pPr>
            <w:r>
              <w:rPr>
                <w:sz w:val="20"/>
              </w:rPr>
              <w:t xml:space="preserve">Подпрограмма государственной программы "Градостроительная подготовка территорий Новосибирской области"</w:t>
            </w:r>
          </w:p>
        </w:tc>
      </w:tr>
      <w:tr>
        <w:tc>
          <w:tcPr>
            <w:gridSpan w:val="16"/>
            <w:tcW w:w="17793" w:type="dxa"/>
          </w:tcPr>
          <w:p>
            <w:pPr>
              <w:pStyle w:val="0"/>
              <w:outlineLvl w:val="4"/>
              <w:jc w:val="center"/>
            </w:pPr>
            <w:r>
              <w:rPr>
                <w:sz w:val="20"/>
              </w:rPr>
              <w:t xml:space="preserve">Цель подпрограммы государственной программы: обеспечение актуальной градостроительной документацией, предусмотренной Градостроительным кодексом Российской Федерации</w:t>
            </w:r>
          </w:p>
        </w:tc>
      </w:tr>
      <w:tr>
        <w:tc>
          <w:tcPr>
            <w:tcW w:w="2097" w:type="dxa"/>
          </w:tcPr>
          <w:p>
            <w:pPr>
              <w:pStyle w:val="0"/>
            </w:pPr>
            <w:r>
              <w:rPr>
                <w:sz w:val="20"/>
              </w:rPr>
              <w:t xml:space="preserve">Задача 1 подпрограммы государственной программы. Обеспечение градостроительного развития Новосибирской области</w:t>
            </w:r>
          </w:p>
        </w:tc>
        <w:tc>
          <w:tcPr>
            <w:tcW w:w="2721" w:type="dxa"/>
          </w:tcPr>
          <w:p>
            <w:pPr>
              <w:pStyle w:val="0"/>
            </w:pPr>
            <w:r>
              <w:rPr>
                <w:sz w:val="20"/>
              </w:rPr>
              <w:t xml:space="preserve">20) доля муниципальных образований Новосибирской агломерации, в которых подготовлены и утверждены документы территориального планирования</w:t>
            </w:r>
          </w:p>
        </w:tc>
        <w:tc>
          <w:tcPr>
            <w:tcW w:w="680" w:type="dxa"/>
          </w:tcPr>
          <w:p>
            <w:pPr>
              <w:pStyle w:val="0"/>
              <w:jc w:val="center"/>
            </w:pPr>
            <w:r>
              <w:rPr>
                <w:sz w:val="20"/>
              </w:rPr>
              <w:t xml:space="preserve">%</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5,45</w:t>
            </w:r>
          </w:p>
        </w:tc>
        <w:tc>
          <w:tcPr>
            <w:tcW w:w="794" w:type="dxa"/>
          </w:tcPr>
          <w:p>
            <w:pPr>
              <w:pStyle w:val="0"/>
              <w:jc w:val="center"/>
            </w:pPr>
            <w:r>
              <w:rPr>
                <w:sz w:val="20"/>
              </w:rPr>
              <w:t xml:space="preserve">5,45</w:t>
            </w:r>
          </w:p>
        </w:tc>
        <w:tc>
          <w:tcPr>
            <w:tcW w:w="793" w:type="dxa"/>
          </w:tcPr>
          <w:p>
            <w:pPr>
              <w:pStyle w:val="0"/>
              <w:jc w:val="center"/>
            </w:pPr>
            <w:r>
              <w:rPr>
                <w:sz w:val="20"/>
              </w:rPr>
              <w:t xml:space="preserve">10,91</w:t>
            </w:r>
          </w:p>
        </w:tc>
        <w:tc>
          <w:tcPr>
            <w:tcW w:w="794" w:type="dxa"/>
          </w:tcPr>
          <w:p>
            <w:pPr>
              <w:pStyle w:val="0"/>
              <w:jc w:val="center"/>
            </w:pPr>
            <w:r>
              <w:rPr>
                <w:sz w:val="20"/>
              </w:rPr>
              <w:t xml:space="preserve">27,07</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целевой индикатор введен с 2016 года, на 2015 год приведено базовое значение. Под муниципальными образованиями Новосибирской агломерации в рамках реализации понимаются 55 муниципальных образований, указанных в </w:t>
            </w:r>
            <w:hyperlink w:history="0" r:id="rId169" w:tooltip="Закон Новосибирской области от 18.12.2015 N 27-ОЗ (ред. от 27.12.2021) &quot;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quot;Об отдельных вопросах организации местного самоуправления в Новосибирской области&quot; (принят постановлением Законодательного Собрания Новосибирской области от 17.12.2015 N 27-ЗС) {КонсультантПлюс}">
              <w:r>
                <w:rPr>
                  <w:sz w:val="20"/>
                  <w:color w:val="0000ff"/>
                </w:rPr>
                <w:t xml:space="preserve">приложении N 2</w:t>
              </w:r>
            </w:hyperlink>
            <w:r>
              <w:rPr>
                <w:sz w:val="20"/>
              </w:rPr>
              <w:t xml:space="preserve"> к Закону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(далее - 27-ОЗ). Целевой индикатор с 2020 года включен в подпрограмму "Градостроительная подготовка территорий Новосибирской области и фонд пространственных данных Новосибирской области" (далее - подпрограмма "ГПиФПД")</w:t>
            </w:r>
          </w:p>
        </w:tc>
      </w:tr>
      <w:tr>
        <w:tc>
          <w:tcPr>
            <w:tcW w:w="2097" w:type="dxa"/>
            <w:vMerge w:val="restart"/>
          </w:tcPr>
          <w:p>
            <w:pPr>
              <w:pStyle w:val="0"/>
            </w:pPr>
            <w:r>
              <w:rPr>
                <w:sz w:val="20"/>
              </w:rPr>
            </w:r>
          </w:p>
        </w:tc>
        <w:tc>
          <w:tcPr>
            <w:tcW w:w="2721" w:type="dxa"/>
          </w:tcPr>
          <w:p>
            <w:pPr>
              <w:pStyle w:val="0"/>
            </w:pPr>
            <w:r>
              <w:rPr>
                <w:sz w:val="20"/>
              </w:rPr>
              <w:t xml:space="preserve">21) доля муниципальных образований Новосибирской агломерации, в которых утверждены документы градостроительного зонирования</w:t>
            </w:r>
          </w:p>
        </w:tc>
        <w:tc>
          <w:tcPr>
            <w:tcW w:w="680" w:type="dxa"/>
          </w:tcPr>
          <w:p>
            <w:pPr>
              <w:pStyle w:val="0"/>
              <w:jc w:val="center"/>
            </w:pPr>
            <w:r>
              <w:rPr>
                <w:sz w:val="20"/>
              </w:rPr>
              <w:t xml:space="preserve">%</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3,64</w:t>
            </w:r>
          </w:p>
        </w:tc>
        <w:tc>
          <w:tcPr>
            <w:tcW w:w="794" w:type="dxa"/>
          </w:tcPr>
          <w:p>
            <w:pPr>
              <w:pStyle w:val="0"/>
              <w:jc w:val="center"/>
            </w:pPr>
            <w:r>
              <w:rPr>
                <w:sz w:val="20"/>
              </w:rPr>
              <w:t xml:space="preserve">25,45</w:t>
            </w:r>
          </w:p>
        </w:tc>
        <w:tc>
          <w:tcPr>
            <w:tcW w:w="793" w:type="dxa"/>
          </w:tcPr>
          <w:p>
            <w:pPr>
              <w:pStyle w:val="0"/>
              <w:jc w:val="center"/>
            </w:pPr>
            <w:r>
              <w:rPr>
                <w:sz w:val="20"/>
              </w:rPr>
              <w:t xml:space="preserve">50,91</w:t>
            </w:r>
          </w:p>
        </w:tc>
        <w:tc>
          <w:tcPr>
            <w:tcW w:w="794" w:type="dxa"/>
          </w:tcPr>
          <w:p>
            <w:pPr>
              <w:pStyle w:val="0"/>
              <w:jc w:val="center"/>
            </w:pPr>
            <w:r>
              <w:rPr>
                <w:sz w:val="20"/>
              </w:rPr>
              <w:t xml:space="preserve">85,45</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целевой индикатор введен с 2016 года, на 2015 год приведено базовое значение. Целевой индикатор с 2020 года включен в подпрограмму "ГПиФПД"</w:t>
            </w:r>
          </w:p>
        </w:tc>
      </w:tr>
      <w:tr>
        <w:tc>
          <w:tcPr>
            <w:vMerge w:val="continue"/>
          </w:tcPr>
          <w:p/>
        </w:tc>
        <w:tc>
          <w:tcPr>
            <w:tcW w:w="2721" w:type="dxa"/>
          </w:tcPr>
          <w:p>
            <w:pPr>
              <w:pStyle w:val="0"/>
            </w:pPr>
            <w:r>
              <w:rPr>
                <w:sz w:val="20"/>
              </w:rPr>
              <w:t xml:space="preserve">22) 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планирования либо внесены изменения в документы территориального планирования</w:t>
            </w:r>
          </w:p>
        </w:tc>
        <w:tc>
          <w:tcPr>
            <w:tcW w:w="680" w:type="dxa"/>
          </w:tcPr>
          <w:p>
            <w:pPr>
              <w:pStyle w:val="0"/>
              <w:jc w:val="center"/>
            </w:pPr>
            <w:r>
              <w:rPr>
                <w:sz w:val="20"/>
              </w:rPr>
              <w:t xml:space="preserve">шт.</w:t>
            </w:r>
          </w:p>
        </w:tc>
        <w:tc>
          <w:tcPr>
            <w:tcW w:w="793" w:type="dxa"/>
          </w:tcPr>
          <w:p>
            <w:pPr>
              <w:pStyle w:val="0"/>
              <w:jc w:val="center"/>
            </w:pPr>
            <w:r>
              <w:rPr>
                <w:sz w:val="20"/>
              </w:rPr>
              <w:t xml:space="preserve">0</w:t>
            </w:r>
          </w:p>
        </w:tc>
        <w:tc>
          <w:tcPr>
            <w:tcW w:w="793" w:type="dxa"/>
          </w:tcPr>
          <w:p>
            <w:pPr>
              <w:pStyle w:val="0"/>
              <w:jc w:val="center"/>
            </w:pPr>
            <w:r>
              <w:rPr>
                <w:sz w:val="20"/>
              </w:rPr>
              <w:t xml:space="preserve">1</w:t>
            </w:r>
          </w:p>
        </w:tc>
        <w:tc>
          <w:tcPr>
            <w:tcW w:w="793" w:type="dxa"/>
          </w:tcPr>
          <w:p>
            <w:pPr>
              <w:pStyle w:val="0"/>
              <w:jc w:val="center"/>
            </w:pPr>
            <w:r>
              <w:rPr>
                <w:sz w:val="20"/>
              </w:rPr>
              <w:t xml:space="preserve">3</w:t>
            </w:r>
          </w:p>
        </w:tc>
        <w:tc>
          <w:tcPr>
            <w:tcW w:w="794" w:type="dxa"/>
          </w:tcPr>
          <w:p>
            <w:pPr>
              <w:pStyle w:val="0"/>
              <w:jc w:val="center"/>
            </w:pPr>
            <w:r>
              <w:rPr>
                <w:sz w:val="20"/>
              </w:rPr>
              <w:t xml:space="preserve">8</w:t>
            </w:r>
          </w:p>
        </w:tc>
        <w:tc>
          <w:tcPr>
            <w:tcW w:w="793" w:type="dxa"/>
          </w:tcPr>
          <w:p>
            <w:pPr>
              <w:pStyle w:val="0"/>
              <w:jc w:val="center"/>
            </w:pPr>
            <w:r>
              <w:rPr>
                <w:sz w:val="20"/>
              </w:rPr>
              <w:t xml:space="preserve">11</w:t>
            </w:r>
          </w:p>
        </w:tc>
        <w:tc>
          <w:tcPr>
            <w:tcW w:w="794" w:type="dxa"/>
          </w:tcPr>
          <w:p>
            <w:pPr>
              <w:pStyle w:val="0"/>
              <w:jc w:val="center"/>
            </w:pPr>
            <w:r>
              <w:rPr>
                <w:sz w:val="20"/>
              </w:rPr>
              <w:t xml:space="preserve">20</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под муниципальными образованиями, за исключением Новосибирской агломерации, в рамках реализации государственной программы понимаются 379 сельских поселений, 21 городское поселение, 5 городских округов и 30 муниципальных районов.</w:t>
            </w:r>
          </w:p>
          <w:p>
            <w:pPr>
              <w:pStyle w:val="0"/>
            </w:pPr>
            <w:r>
              <w:rPr>
                <w:sz w:val="20"/>
              </w:rPr>
              <w:t xml:space="preserve">Целевой индикатор введен с 2016 года, на 2015 год приведено базовое значение. Целевой индикатор с 2020 года включен в подпрограмму "ГПиФПД"</w:t>
            </w:r>
          </w:p>
        </w:tc>
      </w:tr>
      <w:tr>
        <w:tc>
          <w:tcPr>
            <w:vMerge w:val="continue"/>
          </w:tcPr>
          <w:p/>
        </w:tc>
        <w:tc>
          <w:tcPr>
            <w:tcW w:w="2721" w:type="dxa"/>
          </w:tcPr>
          <w:p>
            <w:pPr>
              <w:pStyle w:val="0"/>
            </w:pPr>
            <w:r>
              <w:rPr>
                <w:sz w:val="20"/>
              </w:rPr>
              <w:t xml:space="preserve">23) 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w:t>
            </w:r>
          </w:p>
        </w:tc>
        <w:tc>
          <w:tcPr>
            <w:tcW w:w="680" w:type="dxa"/>
          </w:tcPr>
          <w:p>
            <w:pPr>
              <w:pStyle w:val="0"/>
              <w:jc w:val="center"/>
            </w:pPr>
            <w:r>
              <w:rPr>
                <w:sz w:val="20"/>
              </w:rPr>
              <w:t xml:space="preserve">шт.</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2</w:t>
            </w:r>
          </w:p>
        </w:tc>
        <w:tc>
          <w:tcPr>
            <w:tcW w:w="794" w:type="dxa"/>
          </w:tcPr>
          <w:p>
            <w:pPr>
              <w:pStyle w:val="0"/>
              <w:jc w:val="center"/>
            </w:pPr>
            <w:r>
              <w:rPr>
                <w:sz w:val="20"/>
              </w:rPr>
              <w:t xml:space="preserve">250</w:t>
            </w:r>
          </w:p>
        </w:tc>
        <w:tc>
          <w:tcPr>
            <w:tcW w:w="793" w:type="dxa"/>
          </w:tcPr>
          <w:p>
            <w:pPr>
              <w:pStyle w:val="0"/>
              <w:jc w:val="center"/>
            </w:pPr>
            <w:r>
              <w:rPr>
                <w:sz w:val="20"/>
              </w:rPr>
              <w:t xml:space="preserve">330</w:t>
            </w:r>
          </w:p>
        </w:tc>
        <w:tc>
          <w:tcPr>
            <w:tcW w:w="794" w:type="dxa"/>
          </w:tcPr>
          <w:p>
            <w:pPr>
              <w:pStyle w:val="0"/>
              <w:jc w:val="center"/>
            </w:pPr>
            <w:r>
              <w:rPr>
                <w:sz w:val="20"/>
              </w:rPr>
              <w:t xml:space="preserve">330</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под муниципальными образованиями, за исключением Новосибирской агломерации, в рамках реализации государственной программы понимаются 379 сельских поселений, 21 городское поселение, 5 городских округов и 30 муниципальных районов.</w:t>
            </w:r>
          </w:p>
          <w:p>
            <w:pPr>
              <w:pStyle w:val="0"/>
            </w:pPr>
            <w:r>
              <w:rPr>
                <w:sz w:val="20"/>
              </w:rPr>
              <w:t xml:space="preserve">Целевой индикатор введен с 2017 года, на 2015 и 2016 годы приведены базовые значения. Целевой индикатор с 2020 года включен в подпрограмму "ГПиФПД"</w:t>
            </w:r>
          </w:p>
        </w:tc>
      </w:tr>
      <w:tr>
        <w:tc>
          <w:tcPr>
            <w:tcW w:w="2097" w:type="dxa"/>
            <w:vMerge w:val="restart"/>
          </w:tcPr>
          <w:p>
            <w:pPr>
              <w:pStyle w:val="0"/>
            </w:pPr>
            <w:r>
              <w:rPr>
                <w:sz w:val="20"/>
              </w:rPr>
            </w:r>
          </w:p>
        </w:tc>
        <w:tc>
          <w:tcPr>
            <w:tcW w:w="2721" w:type="dxa"/>
          </w:tcPr>
          <w:p>
            <w:pPr>
              <w:pStyle w:val="0"/>
            </w:pPr>
            <w:r>
              <w:rPr>
                <w:sz w:val="20"/>
              </w:rPr>
              <w:t xml:space="preserve">24) 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w:t>
            </w:r>
          </w:p>
        </w:tc>
        <w:tc>
          <w:tcPr>
            <w:tcW w:w="680" w:type="dxa"/>
          </w:tcPr>
          <w:p>
            <w:pPr>
              <w:pStyle w:val="0"/>
              <w:jc w:val="center"/>
            </w:pPr>
            <w:r>
              <w:rPr>
                <w:sz w:val="20"/>
              </w:rPr>
              <w:t xml:space="preserve">шт.</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3</w:t>
            </w:r>
          </w:p>
        </w:tc>
        <w:tc>
          <w:tcPr>
            <w:tcW w:w="794" w:type="dxa"/>
          </w:tcPr>
          <w:p>
            <w:pPr>
              <w:pStyle w:val="0"/>
              <w:jc w:val="center"/>
            </w:pPr>
            <w:r>
              <w:rPr>
                <w:sz w:val="20"/>
              </w:rPr>
              <w:t xml:space="preserve">28</w:t>
            </w:r>
          </w:p>
        </w:tc>
        <w:tc>
          <w:tcPr>
            <w:tcW w:w="793" w:type="dxa"/>
          </w:tcPr>
          <w:p>
            <w:pPr>
              <w:pStyle w:val="0"/>
              <w:jc w:val="center"/>
            </w:pPr>
            <w:r>
              <w:rPr>
                <w:sz w:val="20"/>
              </w:rPr>
              <w:t xml:space="preserve">53</w:t>
            </w:r>
          </w:p>
        </w:tc>
        <w:tc>
          <w:tcPr>
            <w:tcW w:w="794" w:type="dxa"/>
          </w:tcPr>
          <w:p>
            <w:pPr>
              <w:pStyle w:val="0"/>
              <w:jc w:val="center"/>
            </w:pPr>
            <w:r>
              <w:rPr>
                <w:sz w:val="20"/>
              </w:rPr>
              <w:t xml:space="preserve">83</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целевой индикатор с 2020 года включен в подпрограмму "ГПиФПД"</w:t>
            </w:r>
          </w:p>
        </w:tc>
      </w:tr>
      <w:tr>
        <w:tc>
          <w:tcPr>
            <w:vMerge w:val="continue"/>
          </w:tcPr>
          <w:p/>
        </w:tc>
        <w:tc>
          <w:tcPr>
            <w:tcW w:w="2721" w:type="dxa"/>
          </w:tcPr>
          <w:p>
            <w:pPr>
              <w:pStyle w:val="0"/>
            </w:pPr>
            <w:r>
              <w:rPr>
                <w:sz w:val="20"/>
              </w:rPr>
              <w:t xml:space="preserve">25) 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w:t>
            </w:r>
          </w:p>
        </w:tc>
        <w:tc>
          <w:tcPr>
            <w:tcW w:w="680" w:type="dxa"/>
          </w:tcPr>
          <w:p>
            <w:pPr>
              <w:pStyle w:val="0"/>
              <w:jc w:val="center"/>
            </w:pPr>
            <w:r>
              <w:rPr>
                <w:sz w:val="20"/>
              </w:rPr>
              <w:t xml:space="preserve">шт.</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5</w:t>
            </w:r>
          </w:p>
        </w:tc>
        <w:tc>
          <w:tcPr>
            <w:tcW w:w="794" w:type="dxa"/>
          </w:tcPr>
          <w:p>
            <w:pPr>
              <w:pStyle w:val="0"/>
              <w:jc w:val="center"/>
            </w:pPr>
            <w:r>
              <w:rPr>
                <w:sz w:val="20"/>
              </w:rPr>
              <w:t xml:space="preserve">20</w:t>
            </w:r>
          </w:p>
        </w:tc>
        <w:tc>
          <w:tcPr>
            <w:tcW w:w="793" w:type="dxa"/>
          </w:tcPr>
          <w:p>
            <w:pPr>
              <w:pStyle w:val="0"/>
              <w:jc w:val="center"/>
            </w:pPr>
            <w:r>
              <w:rPr>
                <w:sz w:val="20"/>
              </w:rPr>
              <w:t xml:space="preserve">40</w:t>
            </w:r>
          </w:p>
        </w:tc>
        <w:tc>
          <w:tcPr>
            <w:tcW w:w="794" w:type="dxa"/>
          </w:tcPr>
          <w:p>
            <w:pPr>
              <w:pStyle w:val="0"/>
              <w:jc w:val="center"/>
            </w:pPr>
            <w:r>
              <w:rPr>
                <w:sz w:val="20"/>
              </w:rPr>
              <w:t xml:space="preserve">60</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целевой индикатор с 2020 года включен в подпрограмму "ГПиФПД"</w:t>
            </w:r>
          </w:p>
        </w:tc>
      </w:tr>
      <w:tr>
        <w:tc>
          <w:tcPr>
            <w:gridSpan w:val="16"/>
            <w:tcW w:w="17793" w:type="dxa"/>
          </w:tcPr>
          <w:p>
            <w:pPr>
              <w:pStyle w:val="0"/>
              <w:outlineLvl w:val="3"/>
              <w:jc w:val="center"/>
            </w:pPr>
            <w:r>
              <w:rPr>
                <w:sz w:val="20"/>
              </w:rPr>
              <w:t xml:space="preserve">Подпрограмма государственной программы "Фонд пространственных данных Новосибирской области"</w:t>
            </w:r>
          </w:p>
        </w:tc>
      </w:tr>
      <w:tr>
        <w:tc>
          <w:tcPr>
            <w:gridSpan w:val="16"/>
            <w:tcW w:w="17793" w:type="dxa"/>
          </w:tcPr>
          <w:p>
            <w:pPr>
              <w:pStyle w:val="0"/>
              <w:outlineLvl w:val="4"/>
              <w:jc w:val="center"/>
            </w:pPr>
            <w:r>
              <w:rPr>
                <w:sz w:val="20"/>
              </w:rPr>
              <w:t xml:space="preserve">Цель подпрограммы государственной программы: обеспечение всех субъектов градостроительных отношений актуальными пространственными данными, а также сведениями, документами и материалами, необходимыми для осуществления градостроительной деятельности на территории Новосибирской области</w:t>
            </w:r>
          </w:p>
        </w:tc>
      </w:tr>
      <w:tr>
        <w:tc>
          <w:tcPr>
            <w:tcW w:w="2097" w:type="dxa"/>
            <w:vMerge w:val="restart"/>
          </w:tcPr>
          <w:p>
            <w:pPr>
              <w:pStyle w:val="0"/>
            </w:pPr>
            <w:r>
              <w:rPr>
                <w:sz w:val="20"/>
              </w:rPr>
              <w:t xml:space="preserve">Задача 1 подпрограммы государственной программы. Формирование пространственных данных и материалов Фонда пространственных данных Новосибирской области, а также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tc>
        <w:tc>
          <w:tcPr>
            <w:tcW w:w="2721" w:type="dxa"/>
          </w:tcPr>
          <w:p>
            <w:pPr>
              <w:pStyle w:val="0"/>
            </w:pPr>
            <w:r>
              <w:rPr>
                <w:sz w:val="20"/>
              </w:rPr>
              <w:t xml:space="preserve">26) 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w:t>
            </w:r>
          </w:p>
        </w:tc>
        <w:tc>
          <w:tcPr>
            <w:tcW w:w="680" w:type="dxa"/>
          </w:tcPr>
          <w:p>
            <w:pPr>
              <w:pStyle w:val="0"/>
              <w:jc w:val="center"/>
            </w:pPr>
            <w:r>
              <w:rPr>
                <w:sz w:val="20"/>
              </w:rPr>
              <w:t xml:space="preserve">%</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4" w:type="dxa"/>
          </w:tcPr>
          <w:p>
            <w:pPr>
              <w:pStyle w:val="0"/>
              <w:jc w:val="center"/>
            </w:pPr>
            <w:r>
              <w:rPr>
                <w:sz w:val="20"/>
              </w:rPr>
              <w:t xml:space="preserve">100</w:t>
            </w:r>
          </w:p>
        </w:tc>
        <w:tc>
          <w:tcPr>
            <w:tcW w:w="793" w:type="dxa"/>
          </w:tcPr>
          <w:p>
            <w:pPr>
              <w:pStyle w:val="0"/>
              <w:jc w:val="center"/>
            </w:pPr>
            <w:r>
              <w:rPr>
                <w:sz w:val="20"/>
              </w:rPr>
              <w:t xml:space="preserve">100</w:t>
            </w:r>
          </w:p>
        </w:tc>
        <w:tc>
          <w:tcPr>
            <w:tcW w:w="794" w:type="dxa"/>
          </w:tcPr>
          <w:p>
            <w:pPr>
              <w:pStyle w:val="0"/>
              <w:jc w:val="center"/>
            </w:pPr>
            <w:r>
              <w:rPr>
                <w:sz w:val="20"/>
              </w:rPr>
              <w:t xml:space="preserve">100</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целевой индикатор с 2020 года включен в подпрограмму "ГПиФПД"</w:t>
            </w:r>
          </w:p>
        </w:tc>
      </w:tr>
      <w:tr>
        <w:tc>
          <w:tcPr>
            <w:vMerge w:val="continue"/>
          </w:tcPr>
          <w:p/>
        </w:tc>
        <w:tc>
          <w:tcPr>
            <w:tcW w:w="2721" w:type="dxa"/>
          </w:tcPr>
          <w:p>
            <w:pPr>
              <w:pStyle w:val="0"/>
            </w:pPr>
            <w:r>
              <w:rPr>
                <w:sz w:val="20"/>
              </w:rPr>
              <w:t xml:space="preserve">27) объем предоставленных субъектам градостроительных отношений пространственных данных и материалов в бумажном и электронном виде</w:t>
            </w:r>
          </w:p>
        </w:tc>
        <w:tc>
          <w:tcPr>
            <w:tcW w:w="680" w:type="dxa"/>
          </w:tcPr>
          <w:p>
            <w:pPr>
              <w:pStyle w:val="0"/>
              <w:jc w:val="center"/>
            </w:pPr>
            <w:r>
              <w:rPr>
                <w:sz w:val="20"/>
              </w:rPr>
              <w:t xml:space="preserve">шт.</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4" w:type="dxa"/>
          </w:tcPr>
          <w:p>
            <w:pPr>
              <w:pStyle w:val="0"/>
              <w:jc w:val="center"/>
            </w:pPr>
            <w:r>
              <w:rPr>
                <w:sz w:val="20"/>
              </w:rPr>
              <w:t xml:space="preserve">0</w:t>
            </w:r>
          </w:p>
        </w:tc>
        <w:tc>
          <w:tcPr>
            <w:tcW w:w="793" w:type="dxa"/>
          </w:tcPr>
          <w:p>
            <w:pPr>
              <w:pStyle w:val="0"/>
              <w:jc w:val="center"/>
            </w:pPr>
            <w:r>
              <w:rPr>
                <w:sz w:val="20"/>
              </w:rPr>
              <w:t xml:space="preserve">11000</w:t>
            </w:r>
          </w:p>
        </w:tc>
        <w:tc>
          <w:tcPr>
            <w:tcW w:w="794" w:type="dxa"/>
          </w:tcPr>
          <w:p>
            <w:pPr>
              <w:pStyle w:val="0"/>
              <w:jc w:val="center"/>
            </w:pPr>
            <w:r>
              <w:rPr>
                <w:sz w:val="20"/>
              </w:rPr>
              <w:t xml:space="preserve">18800</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целевой индикатор с 2020 года включен в подпрограмму "ГПиФПД"</w:t>
            </w:r>
          </w:p>
        </w:tc>
      </w:tr>
      <w:tr>
        <w:tc>
          <w:tcPr>
            <w:gridSpan w:val="16"/>
            <w:tcW w:w="17793" w:type="dxa"/>
          </w:tcPr>
          <w:p>
            <w:pPr>
              <w:pStyle w:val="0"/>
              <w:outlineLvl w:val="3"/>
              <w:jc w:val="center"/>
            </w:pPr>
            <w:r>
              <w:rPr>
                <w:sz w:val="20"/>
              </w:rPr>
              <w:t xml:space="preserve">Подпрограмма государственной программы "Градостроительная подготовка территорий Новосибирской области и фонд пространственных данных Новосибирской области"</w:t>
            </w:r>
          </w:p>
        </w:tc>
      </w:tr>
      <w:tr>
        <w:tc>
          <w:tcPr>
            <w:gridSpan w:val="16"/>
            <w:tcW w:w="17793" w:type="dxa"/>
          </w:tcPr>
          <w:p>
            <w:pPr>
              <w:pStyle w:val="0"/>
              <w:outlineLvl w:val="4"/>
              <w:jc w:val="center"/>
            </w:pPr>
            <w:r>
              <w:rPr>
                <w:sz w:val="20"/>
              </w:rPr>
              <w:t xml:space="preserve">Цель подпрограммы государственной программы: обеспечение всех субъектов градостроительных отношений актуальной градостроительной документацией, предусмотренной Градостроительным кодексом Российской Федерации, а также пространственными данными и материалами (подпрограмма введена в результате объединения двух подпрограмм с 2020 года)</w:t>
            </w:r>
          </w:p>
        </w:tc>
      </w:tr>
      <w:tr>
        <w:tc>
          <w:tcPr>
            <w:tcW w:w="2097" w:type="dxa"/>
          </w:tcPr>
          <w:p>
            <w:pPr>
              <w:pStyle w:val="0"/>
            </w:pPr>
            <w:r>
              <w:rPr>
                <w:sz w:val="20"/>
              </w:rPr>
              <w:t xml:space="preserve">Задача 1 подпрограммы государственной программы. Обеспечение градостроительного развития Новосибирской области</w:t>
            </w:r>
          </w:p>
        </w:tc>
        <w:tc>
          <w:tcPr>
            <w:tcW w:w="2721" w:type="dxa"/>
          </w:tcPr>
          <w:p>
            <w:pPr>
              <w:pStyle w:val="0"/>
            </w:pPr>
            <w:r>
              <w:rPr>
                <w:sz w:val="20"/>
              </w:rPr>
              <w:t xml:space="preserve">28) доля муниципальных образований Новосибирской агломерации, в которых подготовлены и утверждены документы территориального планирования</w:t>
            </w:r>
          </w:p>
        </w:tc>
        <w:tc>
          <w:tcPr>
            <w:tcW w:w="680"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29,09</w:t>
            </w:r>
          </w:p>
        </w:tc>
        <w:tc>
          <w:tcPr>
            <w:tcW w:w="793" w:type="dxa"/>
          </w:tcPr>
          <w:p>
            <w:pPr>
              <w:pStyle w:val="0"/>
              <w:jc w:val="center"/>
            </w:pPr>
            <w:r>
              <w:rPr>
                <w:sz w:val="20"/>
              </w:rPr>
              <w:t xml:space="preserve">58,18</w:t>
            </w:r>
          </w:p>
        </w:tc>
        <w:tc>
          <w:tcPr>
            <w:tcW w:w="793" w:type="dxa"/>
          </w:tcPr>
          <w:p>
            <w:pPr>
              <w:pStyle w:val="0"/>
              <w:jc w:val="center"/>
            </w:pPr>
            <w:r>
              <w:rPr>
                <w:sz w:val="20"/>
              </w:rPr>
              <w:t xml:space="preserve">89,09</w:t>
            </w:r>
          </w:p>
        </w:tc>
        <w:tc>
          <w:tcPr>
            <w:tcW w:w="793" w:type="dxa"/>
          </w:tcPr>
          <w:p>
            <w:pPr>
              <w:pStyle w:val="0"/>
              <w:jc w:val="center"/>
            </w:pPr>
            <w:r>
              <w:rPr>
                <w:sz w:val="20"/>
              </w:rPr>
              <w:t xml:space="preserve">100,0</w:t>
            </w:r>
          </w:p>
        </w:tc>
        <w:tc>
          <w:tcPr>
            <w:tcW w:w="793" w:type="dxa"/>
          </w:tcPr>
          <w:p>
            <w:pPr>
              <w:pStyle w:val="0"/>
              <w:jc w:val="center"/>
            </w:pPr>
            <w:r>
              <w:rPr>
                <w:sz w:val="20"/>
              </w:rPr>
              <w:t xml:space="preserve">100,0</w:t>
            </w:r>
          </w:p>
        </w:tc>
        <w:tc>
          <w:tcPr>
            <w:tcW w:w="793" w:type="dxa"/>
          </w:tcPr>
          <w:p>
            <w:pPr>
              <w:pStyle w:val="0"/>
              <w:jc w:val="center"/>
            </w:pPr>
            <w:r>
              <w:rPr>
                <w:sz w:val="20"/>
              </w:rPr>
              <w:t xml:space="preserve">100,0</w:t>
            </w:r>
          </w:p>
        </w:tc>
        <w:tc>
          <w:tcPr>
            <w:tcW w:w="793" w:type="dxa"/>
          </w:tcPr>
          <w:p>
            <w:pPr>
              <w:pStyle w:val="0"/>
              <w:jc w:val="center"/>
            </w:pPr>
            <w:r>
              <w:rPr>
                <w:sz w:val="20"/>
              </w:rPr>
              <w:t xml:space="preserve">100,0</w:t>
            </w:r>
          </w:p>
        </w:tc>
        <w:tc>
          <w:tcPr>
            <w:tcW w:w="2777" w:type="dxa"/>
          </w:tcPr>
          <w:p>
            <w:pPr>
              <w:pStyle w:val="0"/>
            </w:pPr>
            <w:r>
              <w:rPr>
                <w:sz w:val="20"/>
              </w:rPr>
              <w:t xml:space="preserve">целевой индикатор введен с 2020 года, на 2019 год приведено базовое значение. Под муниципальными образованиями Новосибирской агломерации в рамках реализации понимаются 55 муниципальных образований, указанных в </w:t>
            </w:r>
            <w:hyperlink w:history="0" r:id="rId170" w:tooltip="Закон Новосибирской области от 18.12.2015 N 27-ОЗ (ред. от 27.12.2021) &quot;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quot;Об отдельных вопросах организации местного самоуправления в Новосибирской области&quot; (принят постановлением Законодательного Собрания Новосибирской области от 17.12.2015 N 27-ЗС) {КонсультантПлюс}">
              <w:r>
                <w:rPr>
                  <w:sz w:val="20"/>
                  <w:color w:val="0000ff"/>
                </w:rPr>
                <w:t xml:space="preserve">приложении N 2</w:t>
              </w:r>
            </w:hyperlink>
            <w:r>
              <w:rPr>
                <w:sz w:val="20"/>
              </w:rPr>
              <w:t xml:space="preserve"> к 27-ОЗ</w:t>
            </w:r>
          </w:p>
        </w:tc>
      </w:tr>
      <w:tr>
        <w:tc>
          <w:tcPr>
            <w:tcW w:w="2097" w:type="dxa"/>
          </w:tcPr>
          <w:p>
            <w:pPr>
              <w:pStyle w:val="0"/>
            </w:pPr>
            <w:r>
              <w:rPr>
                <w:sz w:val="20"/>
              </w:rPr>
            </w:r>
          </w:p>
        </w:tc>
        <w:tc>
          <w:tcPr>
            <w:tcW w:w="2721" w:type="dxa"/>
          </w:tcPr>
          <w:p>
            <w:pPr>
              <w:pStyle w:val="0"/>
            </w:pPr>
            <w:r>
              <w:rPr>
                <w:sz w:val="20"/>
              </w:rPr>
              <w:t xml:space="preserve">29) доля муниципальных образований Новосибирской агломерации, в которых утверждены документы градостроительного зонирования</w:t>
            </w:r>
          </w:p>
        </w:tc>
        <w:tc>
          <w:tcPr>
            <w:tcW w:w="680"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70,9</w:t>
            </w:r>
          </w:p>
        </w:tc>
        <w:tc>
          <w:tcPr>
            <w:tcW w:w="793" w:type="dxa"/>
          </w:tcPr>
          <w:p>
            <w:pPr>
              <w:pStyle w:val="0"/>
              <w:jc w:val="center"/>
            </w:pPr>
            <w:r>
              <w:rPr>
                <w:sz w:val="20"/>
              </w:rPr>
              <w:t xml:space="preserve">78,18</w:t>
            </w:r>
          </w:p>
        </w:tc>
        <w:tc>
          <w:tcPr>
            <w:tcW w:w="793" w:type="dxa"/>
          </w:tcPr>
          <w:p>
            <w:pPr>
              <w:pStyle w:val="0"/>
              <w:jc w:val="center"/>
            </w:pPr>
            <w:r>
              <w:rPr>
                <w:sz w:val="20"/>
              </w:rPr>
              <w:t xml:space="preserve">96,36</w:t>
            </w:r>
          </w:p>
        </w:tc>
        <w:tc>
          <w:tcPr>
            <w:tcW w:w="793" w:type="dxa"/>
          </w:tcPr>
          <w:p>
            <w:pPr>
              <w:pStyle w:val="0"/>
              <w:jc w:val="center"/>
            </w:pPr>
            <w:r>
              <w:rPr>
                <w:sz w:val="20"/>
              </w:rPr>
              <w:t xml:space="preserve">100,0</w:t>
            </w:r>
          </w:p>
        </w:tc>
        <w:tc>
          <w:tcPr>
            <w:tcW w:w="793" w:type="dxa"/>
          </w:tcPr>
          <w:p>
            <w:pPr>
              <w:pStyle w:val="0"/>
              <w:jc w:val="center"/>
            </w:pPr>
            <w:r>
              <w:rPr>
                <w:sz w:val="20"/>
              </w:rPr>
              <w:t xml:space="preserve">100,0</w:t>
            </w:r>
          </w:p>
        </w:tc>
        <w:tc>
          <w:tcPr>
            <w:tcW w:w="793" w:type="dxa"/>
          </w:tcPr>
          <w:p>
            <w:pPr>
              <w:pStyle w:val="0"/>
              <w:jc w:val="center"/>
            </w:pPr>
            <w:r>
              <w:rPr>
                <w:sz w:val="20"/>
              </w:rPr>
              <w:t xml:space="preserve">100,0</w:t>
            </w:r>
          </w:p>
        </w:tc>
        <w:tc>
          <w:tcPr>
            <w:tcW w:w="793" w:type="dxa"/>
          </w:tcPr>
          <w:p>
            <w:pPr>
              <w:pStyle w:val="0"/>
              <w:jc w:val="center"/>
            </w:pPr>
            <w:r>
              <w:rPr>
                <w:sz w:val="20"/>
              </w:rPr>
              <w:t xml:space="preserve">100,0</w:t>
            </w:r>
          </w:p>
        </w:tc>
        <w:tc>
          <w:tcPr>
            <w:tcW w:w="2777" w:type="dxa"/>
          </w:tcPr>
          <w:p>
            <w:pPr>
              <w:pStyle w:val="0"/>
            </w:pPr>
            <w:r>
              <w:rPr>
                <w:sz w:val="20"/>
              </w:rPr>
              <w:t xml:space="preserve">целевой индикатор введен с 2020 года, на 2019 год приведено базовое значение</w:t>
            </w:r>
          </w:p>
        </w:tc>
      </w:tr>
      <w:tr>
        <w:tc>
          <w:tcPr>
            <w:tcW w:w="2097" w:type="dxa"/>
          </w:tcPr>
          <w:p>
            <w:pPr>
              <w:pStyle w:val="0"/>
            </w:pPr>
            <w:r>
              <w:rPr>
                <w:sz w:val="20"/>
              </w:rPr>
            </w:r>
          </w:p>
        </w:tc>
        <w:tc>
          <w:tcPr>
            <w:tcW w:w="2721" w:type="dxa"/>
          </w:tcPr>
          <w:p>
            <w:pPr>
              <w:pStyle w:val="0"/>
            </w:pPr>
            <w:r>
              <w:rPr>
                <w:sz w:val="20"/>
              </w:rPr>
              <w:t xml:space="preserve">30) 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планирования либо внесены изменения в документы территориального планирования</w:t>
            </w:r>
          </w:p>
        </w:tc>
        <w:tc>
          <w:tcPr>
            <w:tcW w:w="680" w:type="dxa"/>
          </w:tcPr>
          <w:p>
            <w:pPr>
              <w:pStyle w:val="0"/>
              <w:jc w:val="center"/>
            </w:pPr>
            <w:r>
              <w:rPr>
                <w:sz w:val="20"/>
              </w:rPr>
              <w:t xml:space="preserve">шт.</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20</w:t>
            </w:r>
          </w:p>
        </w:tc>
        <w:tc>
          <w:tcPr>
            <w:tcW w:w="793" w:type="dxa"/>
          </w:tcPr>
          <w:p>
            <w:pPr>
              <w:pStyle w:val="0"/>
              <w:jc w:val="center"/>
            </w:pPr>
            <w:r>
              <w:rPr>
                <w:sz w:val="20"/>
              </w:rPr>
              <w:t xml:space="preserve">25</w:t>
            </w:r>
          </w:p>
        </w:tc>
        <w:tc>
          <w:tcPr>
            <w:tcW w:w="793" w:type="dxa"/>
          </w:tcPr>
          <w:p>
            <w:pPr>
              <w:pStyle w:val="0"/>
              <w:jc w:val="center"/>
            </w:pPr>
            <w:r>
              <w:rPr>
                <w:sz w:val="20"/>
              </w:rPr>
              <w:t xml:space="preserve">34</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целевой индикатор введен с 2020 года, на 2019 год приведено базовое значение. Под муниципальными образованиями, за исключением Новосибирской агломерации, в рамках реализации государственной программы понимаются 377 сельских поселений, 21 городское поселение, 5 городских округов и 30 муниципальных районов (период действия целевого индикатора до 01.01.2022)</w:t>
            </w:r>
          </w:p>
        </w:tc>
      </w:tr>
      <w:tr>
        <w:tc>
          <w:tcPr>
            <w:tcW w:w="2097" w:type="dxa"/>
          </w:tcPr>
          <w:p>
            <w:pPr>
              <w:pStyle w:val="0"/>
            </w:pPr>
            <w:r>
              <w:rPr>
                <w:sz w:val="20"/>
              </w:rPr>
            </w:r>
          </w:p>
        </w:tc>
        <w:tc>
          <w:tcPr>
            <w:tcW w:w="2721" w:type="dxa"/>
          </w:tcPr>
          <w:p>
            <w:pPr>
              <w:pStyle w:val="0"/>
            </w:pPr>
            <w:r>
              <w:rPr>
                <w:sz w:val="20"/>
              </w:rPr>
              <w:t xml:space="preserve">31) 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w:t>
            </w:r>
          </w:p>
        </w:tc>
        <w:tc>
          <w:tcPr>
            <w:tcW w:w="680" w:type="dxa"/>
          </w:tcPr>
          <w:p>
            <w:pPr>
              <w:pStyle w:val="0"/>
              <w:jc w:val="center"/>
            </w:pPr>
            <w:r>
              <w:rPr>
                <w:sz w:val="20"/>
              </w:rPr>
              <w:t xml:space="preserve">шт.</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337</w:t>
            </w:r>
          </w:p>
        </w:tc>
        <w:tc>
          <w:tcPr>
            <w:tcW w:w="793" w:type="dxa"/>
          </w:tcPr>
          <w:p>
            <w:pPr>
              <w:pStyle w:val="0"/>
              <w:jc w:val="center"/>
            </w:pPr>
            <w:r>
              <w:rPr>
                <w:sz w:val="20"/>
              </w:rPr>
              <w:t xml:space="preserve">405</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целевой индикатор введен с 2020 года, на 2019 год приведено базовое значение. Под муниципальными образованиями, за исключением Новосибирской агломерации, в рамках реализации государственной программы понимаются 377 сельских поселений, 21 городское поселение, 5 городских округов и 30 муниципальных районов, за исключением 55 муниципальных образований, входящих в 27-ОЗ</w:t>
            </w:r>
          </w:p>
        </w:tc>
      </w:tr>
      <w:tr>
        <w:tc>
          <w:tcPr>
            <w:tcW w:w="2097" w:type="dxa"/>
          </w:tcPr>
          <w:p>
            <w:pPr>
              <w:pStyle w:val="0"/>
            </w:pPr>
            <w:r>
              <w:rPr>
                <w:sz w:val="20"/>
              </w:rPr>
            </w:r>
          </w:p>
        </w:tc>
        <w:tc>
          <w:tcPr>
            <w:tcW w:w="2721" w:type="dxa"/>
          </w:tcPr>
          <w:p>
            <w:pPr>
              <w:pStyle w:val="0"/>
            </w:pPr>
            <w:r>
              <w:rPr>
                <w:sz w:val="20"/>
              </w:rPr>
              <w:t xml:space="preserve">32) 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w:t>
            </w:r>
          </w:p>
        </w:tc>
        <w:tc>
          <w:tcPr>
            <w:tcW w:w="680" w:type="dxa"/>
          </w:tcPr>
          <w:p>
            <w:pPr>
              <w:pStyle w:val="0"/>
              <w:jc w:val="center"/>
            </w:pPr>
            <w:r>
              <w:rPr>
                <w:sz w:val="20"/>
              </w:rPr>
              <w:t xml:space="preserve">шт.</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73</w:t>
            </w:r>
          </w:p>
        </w:tc>
        <w:tc>
          <w:tcPr>
            <w:tcW w:w="793" w:type="dxa"/>
          </w:tcPr>
          <w:p>
            <w:pPr>
              <w:pStyle w:val="0"/>
              <w:jc w:val="center"/>
            </w:pPr>
            <w:r>
              <w:rPr>
                <w:sz w:val="20"/>
              </w:rPr>
              <w:t xml:space="preserve">81</w:t>
            </w:r>
          </w:p>
        </w:tc>
        <w:tc>
          <w:tcPr>
            <w:tcW w:w="793" w:type="dxa"/>
          </w:tcPr>
          <w:p>
            <w:pPr>
              <w:pStyle w:val="0"/>
              <w:jc w:val="center"/>
            </w:pPr>
            <w:r>
              <w:rPr>
                <w:sz w:val="20"/>
              </w:rPr>
              <w:t xml:space="preserve">96</w:t>
            </w:r>
          </w:p>
        </w:tc>
        <w:tc>
          <w:tcPr>
            <w:tcW w:w="793" w:type="dxa"/>
          </w:tcPr>
          <w:p>
            <w:pPr>
              <w:pStyle w:val="0"/>
              <w:jc w:val="center"/>
            </w:pPr>
            <w:r>
              <w:rPr>
                <w:sz w:val="20"/>
              </w:rPr>
              <w:t xml:space="preserve">110</w:t>
            </w:r>
          </w:p>
        </w:tc>
        <w:tc>
          <w:tcPr>
            <w:tcW w:w="793" w:type="dxa"/>
          </w:tcPr>
          <w:p>
            <w:pPr>
              <w:pStyle w:val="0"/>
              <w:jc w:val="center"/>
            </w:pPr>
            <w:r>
              <w:rPr>
                <w:sz w:val="20"/>
              </w:rPr>
              <w:t xml:space="preserve">120</w:t>
            </w:r>
          </w:p>
        </w:tc>
        <w:tc>
          <w:tcPr>
            <w:tcW w:w="793" w:type="dxa"/>
          </w:tcPr>
          <w:p>
            <w:pPr>
              <w:pStyle w:val="0"/>
              <w:jc w:val="center"/>
            </w:pPr>
            <w:r>
              <w:rPr>
                <w:sz w:val="20"/>
              </w:rPr>
              <w:t xml:space="preserve">130</w:t>
            </w:r>
          </w:p>
        </w:tc>
        <w:tc>
          <w:tcPr>
            <w:tcW w:w="793" w:type="dxa"/>
          </w:tcPr>
          <w:p>
            <w:pPr>
              <w:pStyle w:val="0"/>
              <w:jc w:val="center"/>
            </w:pPr>
            <w:r>
              <w:rPr>
                <w:sz w:val="20"/>
              </w:rPr>
              <w:t xml:space="preserve">140</w:t>
            </w:r>
          </w:p>
        </w:tc>
        <w:tc>
          <w:tcPr>
            <w:tcW w:w="2777" w:type="dxa"/>
          </w:tcPr>
          <w:p>
            <w:pPr>
              <w:pStyle w:val="0"/>
            </w:pPr>
            <w:r>
              <w:rPr>
                <w:sz w:val="20"/>
              </w:rPr>
              <w:t xml:space="preserve">целевой индикатор введен с 2020 года, на 2019 год приведено базовое значение</w:t>
            </w:r>
          </w:p>
        </w:tc>
      </w:tr>
      <w:tr>
        <w:tc>
          <w:tcPr>
            <w:tcW w:w="2097" w:type="dxa"/>
          </w:tcPr>
          <w:p>
            <w:pPr>
              <w:pStyle w:val="0"/>
            </w:pPr>
            <w:r>
              <w:rPr>
                <w:sz w:val="20"/>
              </w:rPr>
            </w:r>
          </w:p>
        </w:tc>
        <w:tc>
          <w:tcPr>
            <w:tcW w:w="2721" w:type="dxa"/>
          </w:tcPr>
          <w:p>
            <w:pPr>
              <w:pStyle w:val="0"/>
            </w:pPr>
            <w:r>
              <w:rPr>
                <w:sz w:val="20"/>
              </w:rPr>
              <w:t xml:space="preserve">33) 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w:t>
            </w:r>
          </w:p>
        </w:tc>
        <w:tc>
          <w:tcPr>
            <w:tcW w:w="680" w:type="dxa"/>
          </w:tcPr>
          <w:p>
            <w:pPr>
              <w:pStyle w:val="0"/>
              <w:jc w:val="center"/>
            </w:pPr>
            <w:r>
              <w:rPr>
                <w:sz w:val="20"/>
              </w:rPr>
              <w:t xml:space="preserve">шт.</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31</w:t>
            </w:r>
          </w:p>
        </w:tc>
        <w:tc>
          <w:tcPr>
            <w:tcW w:w="793" w:type="dxa"/>
          </w:tcPr>
          <w:p>
            <w:pPr>
              <w:pStyle w:val="0"/>
              <w:jc w:val="center"/>
            </w:pPr>
            <w:r>
              <w:rPr>
                <w:sz w:val="20"/>
              </w:rPr>
              <w:t xml:space="preserve">63</w:t>
            </w:r>
          </w:p>
        </w:tc>
        <w:tc>
          <w:tcPr>
            <w:tcW w:w="793" w:type="dxa"/>
          </w:tcPr>
          <w:p>
            <w:pPr>
              <w:pStyle w:val="0"/>
              <w:jc w:val="center"/>
            </w:pPr>
            <w:r>
              <w:rPr>
                <w:sz w:val="20"/>
              </w:rPr>
              <w:t xml:space="preserve">52</w:t>
            </w:r>
          </w:p>
        </w:tc>
        <w:tc>
          <w:tcPr>
            <w:tcW w:w="793" w:type="dxa"/>
          </w:tcPr>
          <w:p>
            <w:pPr>
              <w:pStyle w:val="0"/>
              <w:jc w:val="center"/>
            </w:pPr>
            <w:r>
              <w:rPr>
                <w:sz w:val="20"/>
              </w:rPr>
              <w:t xml:space="preserve">64</w:t>
            </w:r>
          </w:p>
        </w:tc>
        <w:tc>
          <w:tcPr>
            <w:tcW w:w="793" w:type="dxa"/>
          </w:tcPr>
          <w:p>
            <w:pPr>
              <w:pStyle w:val="0"/>
              <w:jc w:val="center"/>
            </w:pPr>
            <w:r>
              <w:rPr>
                <w:sz w:val="20"/>
              </w:rPr>
              <w:t xml:space="preserve">74</w:t>
            </w:r>
          </w:p>
        </w:tc>
        <w:tc>
          <w:tcPr>
            <w:tcW w:w="793" w:type="dxa"/>
          </w:tcPr>
          <w:p>
            <w:pPr>
              <w:pStyle w:val="0"/>
              <w:jc w:val="center"/>
            </w:pPr>
            <w:r>
              <w:rPr>
                <w:sz w:val="20"/>
              </w:rPr>
              <w:t xml:space="preserve">84</w:t>
            </w:r>
          </w:p>
        </w:tc>
        <w:tc>
          <w:tcPr>
            <w:tcW w:w="793" w:type="dxa"/>
          </w:tcPr>
          <w:p>
            <w:pPr>
              <w:pStyle w:val="0"/>
              <w:jc w:val="center"/>
            </w:pPr>
            <w:r>
              <w:rPr>
                <w:sz w:val="20"/>
              </w:rPr>
              <w:t xml:space="preserve">94</w:t>
            </w:r>
          </w:p>
        </w:tc>
        <w:tc>
          <w:tcPr>
            <w:tcW w:w="2777" w:type="dxa"/>
          </w:tcPr>
          <w:p>
            <w:pPr>
              <w:pStyle w:val="0"/>
            </w:pPr>
            <w:r>
              <w:rPr>
                <w:sz w:val="20"/>
              </w:rPr>
              <w:t xml:space="preserve">целевой индикатор введен с 2020 года, на 2019 год приведено базовое значение</w:t>
            </w:r>
          </w:p>
        </w:tc>
      </w:tr>
      <w:tr>
        <w:tc>
          <w:tcPr>
            <w:tcW w:w="2097" w:type="dxa"/>
          </w:tcPr>
          <w:p>
            <w:pPr>
              <w:pStyle w:val="0"/>
            </w:pPr>
            <w:r>
              <w:rPr>
                <w:sz w:val="20"/>
              </w:rPr>
            </w:r>
          </w:p>
        </w:tc>
        <w:tc>
          <w:tcPr>
            <w:tcW w:w="2721" w:type="dxa"/>
          </w:tcPr>
          <w:p>
            <w:pPr>
              <w:pStyle w:val="0"/>
            </w:pPr>
            <w:r>
              <w:rPr>
                <w:sz w:val="20"/>
              </w:rPr>
              <w:t xml:space="preserve">34) количество утвержденной в рамках реализации государственной программы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области (за исключением Новосибирской агломерации)</w:t>
            </w:r>
          </w:p>
        </w:tc>
        <w:tc>
          <w:tcPr>
            <w:tcW w:w="680" w:type="dxa"/>
          </w:tcPr>
          <w:p>
            <w:pPr>
              <w:pStyle w:val="0"/>
              <w:jc w:val="center"/>
            </w:pPr>
            <w:r>
              <w:rPr>
                <w:sz w:val="20"/>
              </w:rPr>
              <w:t xml:space="preserve">шт.</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3</w:t>
            </w:r>
          </w:p>
        </w:tc>
        <w:tc>
          <w:tcPr>
            <w:tcW w:w="793" w:type="dxa"/>
          </w:tcPr>
          <w:p>
            <w:pPr>
              <w:pStyle w:val="0"/>
              <w:jc w:val="center"/>
            </w:pPr>
            <w:r>
              <w:rPr>
                <w:sz w:val="20"/>
              </w:rPr>
              <w:t xml:space="preserve">6</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целевой индикатор введен с 2020 года. Под муниципальными образованиями, за исключением Новосибирской агломерации, в рамках реализации государственной программы понимаются 377 сельских поселений, 21 городское поселение, 5 городских округов (период действия целевого индикатора до 01.01.2022)</w:t>
            </w:r>
          </w:p>
        </w:tc>
      </w:tr>
      <w:tr>
        <w:tc>
          <w:tcPr>
            <w:tcW w:w="2097" w:type="dxa"/>
          </w:tcPr>
          <w:p>
            <w:pPr>
              <w:pStyle w:val="0"/>
            </w:pPr>
            <w:r>
              <w:rPr>
                <w:sz w:val="20"/>
              </w:rPr>
            </w:r>
          </w:p>
        </w:tc>
        <w:tc>
          <w:tcPr>
            <w:tcW w:w="2721" w:type="dxa"/>
          </w:tcPr>
          <w:p>
            <w:pPr>
              <w:pStyle w:val="0"/>
            </w:pPr>
            <w:r>
              <w:rPr>
                <w:sz w:val="20"/>
              </w:rPr>
              <w:t xml:space="preserve">35) доля территориальных зон, сведения о границах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муниципальных образований Новосибирской агломерации</w:t>
            </w:r>
          </w:p>
        </w:tc>
        <w:tc>
          <w:tcPr>
            <w:tcW w:w="680"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60,5</w:t>
            </w:r>
          </w:p>
        </w:tc>
        <w:tc>
          <w:tcPr>
            <w:tcW w:w="793" w:type="dxa"/>
          </w:tcPr>
          <w:p>
            <w:pPr>
              <w:pStyle w:val="0"/>
              <w:jc w:val="center"/>
            </w:pPr>
            <w:r>
              <w:rPr>
                <w:sz w:val="20"/>
              </w:rPr>
              <w:t xml:space="preserve">75,0</w:t>
            </w:r>
          </w:p>
        </w:tc>
        <w:tc>
          <w:tcPr>
            <w:tcW w:w="793" w:type="dxa"/>
          </w:tcPr>
          <w:p>
            <w:pPr>
              <w:pStyle w:val="0"/>
              <w:jc w:val="center"/>
            </w:pPr>
            <w:r>
              <w:rPr>
                <w:sz w:val="20"/>
              </w:rPr>
              <w:t xml:space="preserve">90,0</w:t>
            </w:r>
          </w:p>
        </w:tc>
        <w:tc>
          <w:tcPr>
            <w:tcW w:w="793" w:type="dxa"/>
          </w:tcPr>
          <w:p>
            <w:pPr>
              <w:pStyle w:val="0"/>
              <w:jc w:val="center"/>
            </w:pPr>
            <w:r>
              <w:rPr>
                <w:sz w:val="20"/>
              </w:rPr>
              <w:t xml:space="preserve">95,0</w:t>
            </w:r>
          </w:p>
        </w:tc>
        <w:tc>
          <w:tcPr>
            <w:tcW w:w="793" w:type="dxa"/>
          </w:tcPr>
          <w:p>
            <w:pPr>
              <w:pStyle w:val="0"/>
              <w:jc w:val="center"/>
            </w:pPr>
            <w:r>
              <w:rPr>
                <w:sz w:val="20"/>
              </w:rPr>
              <w:t xml:space="preserve">98,0</w:t>
            </w:r>
          </w:p>
        </w:tc>
        <w:tc>
          <w:tcPr>
            <w:tcW w:w="2777" w:type="dxa"/>
          </w:tcPr>
          <w:p>
            <w:pPr>
              <w:pStyle w:val="0"/>
            </w:pPr>
            <w:r>
              <w:rPr>
                <w:sz w:val="20"/>
              </w:rPr>
              <w:t xml:space="preserve">целевой индикатор введен с 2022 года, на 2021 год приведено базовое значение. Под муниципальными образованиями Новосибирской агломерации в рамках реализации государственной программы понимаются 55 муниципальных образований, указанных в </w:t>
            </w:r>
            <w:hyperlink w:history="0" r:id="rId171" w:tooltip="Закон Новосибирской области от 18.12.2015 N 27-ОЗ (ред. от 27.12.2021) &quot;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quot;Об отдельных вопросах организации местного самоуправления в Новосибирской области&quot; (принят постановлением Законодательного Собрания Новосибирской области от 17.12.2015 N 27-ЗС) {КонсультантПлюс}">
              <w:r>
                <w:rPr>
                  <w:sz w:val="20"/>
                  <w:color w:val="0000ff"/>
                </w:rPr>
                <w:t xml:space="preserve">приложении N 2</w:t>
              </w:r>
            </w:hyperlink>
            <w:r>
              <w:rPr>
                <w:sz w:val="20"/>
              </w:rPr>
              <w:t xml:space="preserve"> к 27-ОЗ</w:t>
            </w:r>
          </w:p>
        </w:tc>
      </w:tr>
      <w:tr>
        <w:tc>
          <w:tcPr>
            <w:tcW w:w="2097" w:type="dxa"/>
          </w:tcPr>
          <w:p>
            <w:pPr>
              <w:pStyle w:val="0"/>
            </w:pPr>
            <w:r>
              <w:rPr>
                <w:sz w:val="20"/>
              </w:rPr>
            </w:r>
          </w:p>
        </w:tc>
        <w:tc>
          <w:tcPr>
            <w:tcW w:w="2721" w:type="dxa"/>
          </w:tcPr>
          <w:p>
            <w:pPr>
              <w:pStyle w:val="0"/>
            </w:pPr>
            <w:r>
              <w:rPr>
                <w:sz w:val="20"/>
              </w:rPr>
              <w:t xml:space="preserve">36) доля населенных пунктов, сведения о границах которых внесены в Единый государственный реестр недвижимости, в общем количестве населенных пунктов муниципальных образований Новосибирской агломерации</w:t>
            </w:r>
          </w:p>
        </w:tc>
        <w:tc>
          <w:tcPr>
            <w:tcW w:w="680"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37,5</w:t>
            </w:r>
          </w:p>
        </w:tc>
        <w:tc>
          <w:tcPr>
            <w:tcW w:w="793" w:type="dxa"/>
          </w:tcPr>
          <w:p>
            <w:pPr>
              <w:pStyle w:val="0"/>
              <w:jc w:val="center"/>
            </w:pPr>
            <w:r>
              <w:rPr>
                <w:sz w:val="20"/>
              </w:rPr>
              <w:t xml:space="preserve">45,0</w:t>
            </w:r>
          </w:p>
        </w:tc>
        <w:tc>
          <w:tcPr>
            <w:tcW w:w="793" w:type="dxa"/>
          </w:tcPr>
          <w:p>
            <w:pPr>
              <w:pStyle w:val="0"/>
              <w:jc w:val="center"/>
            </w:pPr>
            <w:r>
              <w:rPr>
                <w:sz w:val="20"/>
              </w:rPr>
              <w:t xml:space="preserve">60,0</w:t>
            </w:r>
          </w:p>
        </w:tc>
        <w:tc>
          <w:tcPr>
            <w:tcW w:w="793" w:type="dxa"/>
          </w:tcPr>
          <w:p>
            <w:pPr>
              <w:pStyle w:val="0"/>
              <w:jc w:val="center"/>
            </w:pPr>
            <w:r>
              <w:rPr>
                <w:sz w:val="20"/>
              </w:rPr>
              <w:t xml:space="preserve">80,0</w:t>
            </w:r>
          </w:p>
        </w:tc>
        <w:tc>
          <w:tcPr>
            <w:tcW w:w="793" w:type="dxa"/>
          </w:tcPr>
          <w:p>
            <w:pPr>
              <w:pStyle w:val="0"/>
              <w:jc w:val="center"/>
            </w:pPr>
            <w:r>
              <w:rPr>
                <w:sz w:val="20"/>
              </w:rPr>
              <w:t xml:space="preserve">95,0</w:t>
            </w:r>
          </w:p>
        </w:tc>
        <w:tc>
          <w:tcPr>
            <w:tcW w:w="2777" w:type="dxa"/>
          </w:tcPr>
          <w:p>
            <w:pPr>
              <w:pStyle w:val="0"/>
            </w:pPr>
            <w:r>
              <w:rPr>
                <w:sz w:val="20"/>
              </w:rPr>
              <w:t xml:space="preserve">целевой индикатор введен с 2022 года, на 2021 год приведено базовое значение. Под муниципальными образованиями Новосибирской агломерации в рамках реализации государственной программы понимаются 55 муниципальных образований, указанных в </w:t>
            </w:r>
            <w:hyperlink w:history="0" r:id="rId172" w:tooltip="Закон Новосибирской области от 18.12.2015 N 27-ОЗ (ред. от 27.12.2021) &quot;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quot;Об отдельных вопросах организации местного самоуправления в Новосибирской области&quot; (принят постановлением Законодательного Собрания Новосибирской области от 17.12.2015 N 27-ЗС) {КонсультантПлюс}">
              <w:r>
                <w:rPr>
                  <w:sz w:val="20"/>
                  <w:color w:val="0000ff"/>
                </w:rPr>
                <w:t xml:space="preserve">приложении N 2</w:t>
              </w:r>
            </w:hyperlink>
            <w:r>
              <w:rPr>
                <w:sz w:val="20"/>
              </w:rPr>
              <w:t xml:space="preserve"> к 27-ОЗ</w:t>
            </w:r>
          </w:p>
        </w:tc>
      </w:tr>
      <w:tr>
        <w:tc>
          <w:tcPr>
            <w:tcW w:w="2097" w:type="dxa"/>
          </w:tcPr>
          <w:p>
            <w:pPr>
              <w:pStyle w:val="0"/>
            </w:pPr>
            <w:r>
              <w:rPr>
                <w:sz w:val="20"/>
              </w:rPr>
            </w:r>
          </w:p>
        </w:tc>
        <w:tc>
          <w:tcPr>
            <w:tcW w:w="2721" w:type="dxa"/>
          </w:tcPr>
          <w:p>
            <w:pPr>
              <w:pStyle w:val="0"/>
            </w:pPr>
            <w:r>
              <w:rPr>
                <w:sz w:val="20"/>
              </w:rPr>
              <w:t xml:space="preserve">37) доля границ между Новосибирской областью и субъектами Российской Федерации, сведения о которых внесены в Единый государственный реестр недвижимости</w:t>
            </w:r>
          </w:p>
        </w:tc>
        <w:tc>
          <w:tcPr>
            <w:tcW w:w="680"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25,0</w:t>
            </w:r>
          </w:p>
        </w:tc>
        <w:tc>
          <w:tcPr>
            <w:tcW w:w="793" w:type="dxa"/>
          </w:tcPr>
          <w:p>
            <w:pPr>
              <w:pStyle w:val="0"/>
              <w:jc w:val="center"/>
            </w:pPr>
            <w:r>
              <w:rPr>
                <w:sz w:val="20"/>
              </w:rPr>
              <w:t xml:space="preserve">0,0</w:t>
            </w:r>
          </w:p>
        </w:tc>
        <w:tc>
          <w:tcPr>
            <w:tcW w:w="793" w:type="dxa"/>
          </w:tcPr>
          <w:p>
            <w:pPr>
              <w:pStyle w:val="0"/>
              <w:jc w:val="center"/>
            </w:pPr>
            <w:r>
              <w:rPr>
                <w:sz w:val="20"/>
              </w:rPr>
              <w:t xml:space="preserve">100,0</w:t>
            </w:r>
          </w:p>
        </w:tc>
        <w:tc>
          <w:tcPr>
            <w:tcW w:w="793" w:type="dxa"/>
          </w:tcPr>
          <w:p>
            <w:pPr>
              <w:pStyle w:val="0"/>
              <w:jc w:val="center"/>
            </w:pPr>
            <w:r>
              <w:rPr>
                <w:sz w:val="20"/>
              </w:rPr>
              <w:t xml:space="preserve">100,0</w:t>
            </w:r>
          </w:p>
        </w:tc>
        <w:tc>
          <w:tcPr>
            <w:tcW w:w="793" w:type="dxa"/>
          </w:tcPr>
          <w:p>
            <w:pPr>
              <w:pStyle w:val="0"/>
              <w:jc w:val="center"/>
            </w:pPr>
            <w:r>
              <w:rPr>
                <w:sz w:val="20"/>
              </w:rPr>
              <w:t xml:space="preserve">100,0</w:t>
            </w:r>
          </w:p>
        </w:tc>
        <w:tc>
          <w:tcPr>
            <w:tcW w:w="793" w:type="dxa"/>
          </w:tcPr>
          <w:p>
            <w:pPr>
              <w:pStyle w:val="0"/>
              <w:jc w:val="center"/>
            </w:pPr>
            <w:r>
              <w:rPr>
                <w:sz w:val="20"/>
              </w:rPr>
              <w:t xml:space="preserve">100,0</w:t>
            </w:r>
          </w:p>
        </w:tc>
        <w:tc>
          <w:tcPr>
            <w:tcW w:w="2777" w:type="dxa"/>
          </w:tcPr>
          <w:p>
            <w:pPr>
              <w:pStyle w:val="0"/>
            </w:pPr>
            <w:r>
              <w:rPr>
                <w:sz w:val="20"/>
              </w:rPr>
              <w:t xml:space="preserve">целевой индикатор введен с 2020 года. Новосибирская область имеет общую границу с 4 субъектами Российской Федерации: Омской областью, Кемеровской областью, Томской областью и Алтайским краем</w:t>
            </w:r>
          </w:p>
        </w:tc>
      </w:tr>
      <w:tr>
        <w:tc>
          <w:tcPr>
            <w:tcW w:w="2097" w:type="dxa"/>
          </w:tcPr>
          <w:p>
            <w:pPr>
              <w:pStyle w:val="0"/>
            </w:pPr>
            <w:r>
              <w:rPr>
                <w:sz w:val="20"/>
              </w:rPr>
            </w:r>
          </w:p>
        </w:tc>
        <w:tc>
          <w:tcPr>
            <w:tcW w:w="2721" w:type="dxa"/>
          </w:tcPr>
          <w:p>
            <w:pPr>
              <w:pStyle w:val="0"/>
            </w:pPr>
            <w:r>
              <w:rPr>
                <w:sz w:val="20"/>
              </w:rPr>
              <w:t xml:space="preserve">38) доля муниципальных образований в границах Новосибирской области, для которых проведена актуализация границ при исправлении реестровых ошибок</w:t>
            </w:r>
          </w:p>
        </w:tc>
        <w:tc>
          <w:tcPr>
            <w:tcW w:w="680"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1,2</w:t>
            </w:r>
          </w:p>
        </w:tc>
        <w:tc>
          <w:tcPr>
            <w:tcW w:w="793" w:type="dxa"/>
          </w:tcPr>
          <w:p>
            <w:pPr>
              <w:pStyle w:val="0"/>
              <w:jc w:val="center"/>
            </w:pPr>
            <w:r>
              <w:rPr>
                <w:sz w:val="20"/>
              </w:rPr>
              <w:t xml:space="preserve">0,61</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целевой индикатор введен с 2020 года (действие целевого индикатора до 01.01.2022)</w:t>
            </w:r>
          </w:p>
        </w:tc>
      </w:tr>
      <w:tr>
        <w:tc>
          <w:tcPr>
            <w:tcW w:w="2097" w:type="dxa"/>
          </w:tcPr>
          <w:p>
            <w:pPr>
              <w:pStyle w:val="0"/>
            </w:pPr>
            <w:r>
              <w:rPr>
                <w:sz w:val="20"/>
              </w:rPr>
            </w:r>
          </w:p>
        </w:tc>
        <w:tc>
          <w:tcPr>
            <w:tcW w:w="2721" w:type="dxa"/>
          </w:tcPr>
          <w:p>
            <w:pPr>
              <w:pStyle w:val="0"/>
            </w:pPr>
            <w:r>
              <w:rPr>
                <w:sz w:val="20"/>
              </w:rPr>
              <w:t xml:space="preserve">39) количество землеустроительных дел, подготовленных в целях внесения сведений об измененных границах муниципальных образований Новосибирской области в ЕГРН</w:t>
            </w:r>
          </w:p>
        </w:tc>
        <w:tc>
          <w:tcPr>
            <w:tcW w:w="680" w:type="dxa"/>
          </w:tcPr>
          <w:p>
            <w:pPr>
              <w:pStyle w:val="0"/>
              <w:jc w:val="center"/>
            </w:pPr>
            <w:r>
              <w:rPr>
                <w:sz w:val="20"/>
              </w:rPr>
              <w:t xml:space="preserve">шт.</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3</w:t>
            </w:r>
          </w:p>
        </w:tc>
        <w:tc>
          <w:tcPr>
            <w:tcW w:w="793" w:type="dxa"/>
          </w:tcPr>
          <w:p>
            <w:pPr>
              <w:pStyle w:val="0"/>
              <w:jc w:val="center"/>
            </w:pPr>
            <w:r>
              <w:rPr>
                <w:sz w:val="20"/>
              </w:rPr>
              <w:t xml:space="preserve">13</w:t>
            </w:r>
          </w:p>
        </w:tc>
        <w:tc>
          <w:tcPr>
            <w:tcW w:w="793" w:type="dxa"/>
          </w:tcPr>
          <w:p>
            <w:pPr>
              <w:pStyle w:val="0"/>
              <w:jc w:val="center"/>
            </w:pPr>
            <w:r>
              <w:rPr>
                <w:sz w:val="20"/>
              </w:rPr>
              <w:t xml:space="preserve">10</w:t>
            </w:r>
          </w:p>
        </w:tc>
        <w:tc>
          <w:tcPr>
            <w:tcW w:w="793" w:type="dxa"/>
          </w:tcPr>
          <w:p>
            <w:pPr>
              <w:pStyle w:val="0"/>
              <w:jc w:val="center"/>
            </w:pPr>
            <w:r>
              <w:rPr>
                <w:sz w:val="20"/>
              </w:rPr>
              <w:t xml:space="preserve">18</w:t>
            </w:r>
          </w:p>
        </w:tc>
        <w:tc>
          <w:tcPr>
            <w:tcW w:w="793" w:type="dxa"/>
          </w:tcPr>
          <w:p>
            <w:pPr>
              <w:pStyle w:val="0"/>
              <w:jc w:val="center"/>
            </w:pPr>
            <w:r>
              <w:rPr>
                <w:sz w:val="20"/>
              </w:rPr>
              <w:t xml:space="preserve">22</w:t>
            </w:r>
          </w:p>
        </w:tc>
        <w:tc>
          <w:tcPr>
            <w:tcW w:w="2777" w:type="dxa"/>
          </w:tcPr>
          <w:p>
            <w:pPr>
              <w:pStyle w:val="0"/>
            </w:pPr>
            <w:r>
              <w:rPr>
                <w:sz w:val="20"/>
              </w:rPr>
              <w:t xml:space="preserve">целевой индикатор введен с 2022 года, на 2021 год приведено базовое значение</w:t>
            </w:r>
          </w:p>
        </w:tc>
      </w:tr>
      <w:tr>
        <w:tc>
          <w:tcPr>
            <w:tcW w:w="2097" w:type="dxa"/>
          </w:tcPr>
          <w:p>
            <w:pPr>
              <w:pStyle w:val="0"/>
            </w:pPr>
            <w:r>
              <w:rPr>
                <w:sz w:val="20"/>
              </w:rPr>
            </w:r>
          </w:p>
        </w:tc>
        <w:tc>
          <w:tcPr>
            <w:tcW w:w="2721" w:type="dxa"/>
          </w:tcPr>
          <w:p>
            <w:pPr>
              <w:pStyle w:val="0"/>
            </w:pPr>
            <w:r>
              <w:rPr>
                <w:sz w:val="20"/>
              </w:rPr>
              <w:t xml:space="preserve">40) 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w:t>
            </w:r>
          </w:p>
        </w:tc>
        <w:tc>
          <w:tcPr>
            <w:tcW w:w="680"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2777" w:type="dxa"/>
          </w:tcPr>
          <w:p>
            <w:pPr>
              <w:pStyle w:val="0"/>
            </w:pPr>
            <w:r>
              <w:rPr>
                <w:sz w:val="20"/>
              </w:rPr>
              <w:t xml:space="preserve">целевой индикатор введен с 2020 года, на 2019 год приведено базовое значение</w:t>
            </w:r>
          </w:p>
        </w:tc>
      </w:tr>
      <w:tr>
        <w:tc>
          <w:tcPr>
            <w:tcW w:w="2097" w:type="dxa"/>
          </w:tcPr>
          <w:p>
            <w:pPr>
              <w:pStyle w:val="0"/>
            </w:pPr>
            <w:r>
              <w:rPr>
                <w:sz w:val="20"/>
              </w:rPr>
            </w:r>
          </w:p>
        </w:tc>
        <w:tc>
          <w:tcPr>
            <w:tcW w:w="2721" w:type="dxa"/>
          </w:tcPr>
          <w:p>
            <w:pPr>
              <w:pStyle w:val="0"/>
            </w:pPr>
            <w:r>
              <w:rPr>
                <w:sz w:val="20"/>
              </w:rPr>
              <w:t xml:space="preserve">41) объем предоставленных субъектам градостроительных отношений пространственных данных и материалов в бумажном и электронном виде</w:t>
            </w:r>
          </w:p>
        </w:tc>
        <w:tc>
          <w:tcPr>
            <w:tcW w:w="680" w:type="dxa"/>
          </w:tcPr>
          <w:p>
            <w:pPr>
              <w:pStyle w:val="0"/>
              <w:jc w:val="center"/>
            </w:pPr>
            <w:r>
              <w:rPr>
                <w:sz w:val="20"/>
              </w:rPr>
              <w:t xml:space="preserve">баз. ед.</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43442</w:t>
            </w:r>
          </w:p>
        </w:tc>
        <w:tc>
          <w:tcPr>
            <w:tcW w:w="793" w:type="dxa"/>
          </w:tcPr>
          <w:p>
            <w:pPr>
              <w:pStyle w:val="0"/>
              <w:jc w:val="center"/>
            </w:pPr>
            <w:r>
              <w:rPr>
                <w:sz w:val="20"/>
              </w:rPr>
              <w:t xml:space="preserve">36000</w:t>
            </w:r>
          </w:p>
        </w:tc>
        <w:tc>
          <w:tcPr>
            <w:tcW w:w="793" w:type="dxa"/>
          </w:tcPr>
          <w:p>
            <w:pPr>
              <w:pStyle w:val="0"/>
              <w:jc w:val="center"/>
            </w:pPr>
            <w:r>
              <w:rPr>
                <w:sz w:val="20"/>
              </w:rPr>
              <w:t xml:space="preserve">50000</w:t>
            </w:r>
          </w:p>
        </w:tc>
        <w:tc>
          <w:tcPr>
            <w:tcW w:w="793" w:type="dxa"/>
          </w:tcPr>
          <w:p>
            <w:pPr>
              <w:pStyle w:val="0"/>
              <w:jc w:val="center"/>
            </w:pPr>
            <w:r>
              <w:rPr>
                <w:sz w:val="20"/>
              </w:rPr>
              <w:t xml:space="preserve">60000</w:t>
            </w:r>
          </w:p>
        </w:tc>
        <w:tc>
          <w:tcPr>
            <w:tcW w:w="793" w:type="dxa"/>
          </w:tcPr>
          <w:p>
            <w:pPr>
              <w:pStyle w:val="0"/>
              <w:jc w:val="center"/>
            </w:pPr>
            <w:r>
              <w:rPr>
                <w:sz w:val="20"/>
              </w:rPr>
              <w:t xml:space="preserve">60000</w:t>
            </w:r>
          </w:p>
        </w:tc>
        <w:tc>
          <w:tcPr>
            <w:tcW w:w="793" w:type="dxa"/>
          </w:tcPr>
          <w:p>
            <w:pPr>
              <w:pStyle w:val="0"/>
              <w:jc w:val="center"/>
            </w:pPr>
            <w:r>
              <w:rPr>
                <w:sz w:val="20"/>
              </w:rPr>
              <w:t xml:space="preserve">60000</w:t>
            </w:r>
          </w:p>
        </w:tc>
        <w:tc>
          <w:tcPr>
            <w:tcW w:w="793" w:type="dxa"/>
          </w:tcPr>
          <w:p>
            <w:pPr>
              <w:pStyle w:val="0"/>
              <w:jc w:val="center"/>
            </w:pPr>
            <w:r>
              <w:rPr>
                <w:sz w:val="20"/>
              </w:rPr>
              <w:t xml:space="preserve">60000</w:t>
            </w:r>
          </w:p>
        </w:tc>
        <w:tc>
          <w:tcPr>
            <w:tcW w:w="2777" w:type="dxa"/>
          </w:tcPr>
          <w:p>
            <w:pPr>
              <w:pStyle w:val="0"/>
            </w:pPr>
            <w:r>
              <w:rPr>
                <w:sz w:val="20"/>
              </w:rPr>
              <w:t xml:space="preserve">целевой индикатор введен с 2020 года, на 2019 год приведено базовое значение</w:t>
            </w:r>
          </w:p>
        </w:tc>
      </w:tr>
      <w:tr>
        <w:tc>
          <w:tcPr>
            <w:tcW w:w="2097" w:type="dxa"/>
          </w:tcPr>
          <w:p>
            <w:pPr>
              <w:pStyle w:val="0"/>
            </w:pPr>
            <w:r>
              <w:rPr>
                <w:sz w:val="20"/>
              </w:rPr>
            </w:r>
          </w:p>
        </w:tc>
        <w:tc>
          <w:tcPr>
            <w:tcW w:w="2721" w:type="dxa"/>
          </w:tcPr>
          <w:p>
            <w:pPr>
              <w:pStyle w:val="0"/>
            </w:pPr>
            <w:r>
              <w:rPr>
                <w:sz w:val="20"/>
              </w:rPr>
              <w:t xml:space="preserve">42) доля областных исполнительных органов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w:t>
            </w:r>
          </w:p>
        </w:tc>
        <w:tc>
          <w:tcPr>
            <w:tcW w:w="680"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2777" w:type="dxa"/>
          </w:tcPr>
          <w:p>
            <w:pPr>
              <w:pStyle w:val="0"/>
            </w:pPr>
            <w:r>
              <w:rPr>
                <w:sz w:val="20"/>
              </w:rPr>
              <w:t xml:space="preserve">целевой индикатор введен с 2020 года</w:t>
            </w:r>
          </w:p>
        </w:tc>
      </w:tr>
      <w:tr>
        <w:tc>
          <w:tcPr>
            <w:gridSpan w:val="16"/>
            <w:tcW w:w="17793" w:type="dxa"/>
          </w:tcPr>
          <w:p>
            <w:pPr>
              <w:pStyle w:val="0"/>
              <w:outlineLvl w:val="3"/>
              <w:jc w:val="center"/>
            </w:pPr>
            <w:r>
              <w:rPr>
                <w:sz w:val="20"/>
              </w:rPr>
              <w:t xml:space="preserve">Подпрограмма государственной программы "Инженерное обустройство площадок комплексной застройки Новосибирской области"</w:t>
            </w:r>
          </w:p>
        </w:tc>
      </w:tr>
      <w:tr>
        <w:tc>
          <w:tcPr>
            <w:gridSpan w:val="16"/>
            <w:tcW w:w="17793" w:type="dxa"/>
          </w:tcPr>
          <w:p>
            <w:pPr>
              <w:pStyle w:val="0"/>
              <w:outlineLvl w:val="4"/>
              <w:jc w:val="center"/>
            </w:pPr>
            <w:r>
              <w:rPr>
                <w:sz w:val="20"/>
              </w:rPr>
              <w:t xml:space="preserve">Цель подпрограммы государственной программы: содействие в обеспечении земельных участков, определенных под комплексную застройку, инженерной инфраструктурой и сокращение количества "проблемных" объектов</w:t>
            </w:r>
          </w:p>
        </w:tc>
      </w:tr>
      <w:tr>
        <w:tc>
          <w:tcPr>
            <w:tcW w:w="2097" w:type="dxa"/>
            <w:vMerge w:val="restart"/>
          </w:tcPr>
          <w:p>
            <w:pPr>
              <w:pStyle w:val="0"/>
            </w:pPr>
            <w:r>
              <w:rPr>
                <w:sz w:val="20"/>
              </w:rPr>
              <w:t xml:space="preserve">Задача 1 подпрограммы государственной программы. Обеспечение инженерной инфраструктурой площадок комплексной застройки</w:t>
            </w:r>
          </w:p>
        </w:tc>
        <w:tc>
          <w:tcPr>
            <w:tcW w:w="2721" w:type="dxa"/>
          </w:tcPr>
          <w:p>
            <w:pPr>
              <w:pStyle w:val="0"/>
            </w:pPr>
            <w:r>
              <w:rPr>
                <w:sz w:val="20"/>
              </w:rPr>
              <w:t xml:space="preserve">43) площадь земельных участков, обеспеченных инженерной инфраструктурой (нарастающим итогом)</w:t>
            </w:r>
          </w:p>
        </w:tc>
        <w:tc>
          <w:tcPr>
            <w:tcW w:w="680" w:type="dxa"/>
          </w:tcPr>
          <w:p>
            <w:pPr>
              <w:pStyle w:val="0"/>
              <w:jc w:val="center"/>
            </w:pPr>
            <w:r>
              <w:rPr>
                <w:sz w:val="20"/>
              </w:rPr>
              <w:t xml:space="preserve">га</w:t>
            </w:r>
          </w:p>
        </w:tc>
        <w:tc>
          <w:tcPr>
            <w:tcW w:w="793" w:type="dxa"/>
          </w:tcPr>
          <w:p>
            <w:pPr>
              <w:pStyle w:val="0"/>
              <w:jc w:val="center"/>
            </w:pPr>
            <w:r>
              <w:rPr>
                <w:sz w:val="20"/>
              </w:rPr>
              <w:t xml:space="preserve">53</w:t>
            </w:r>
          </w:p>
        </w:tc>
        <w:tc>
          <w:tcPr>
            <w:tcW w:w="793" w:type="dxa"/>
          </w:tcPr>
          <w:p>
            <w:pPr>
              <w:pStyle w:val="0"/>
              <w:jc w:val="center"/>
            </w:pPr>
            <w:r>
              <w:rPr>
                <w:sz w:val="20"/>
              </w:rPr>
              <w:t xml:space="preserve">56</w:t>
            </w:r>
          </w:p>
        </w:tc>
        <w:tc>
          <w:tcPr>
            <w:tcW w:w="793" w:type="dxa"/>
          </w:tcPr>
          <w:p>
            <w:pPr>
              <w:pStyle w:val="0"/>
              <w:jc w:val="center"/>
            </w:pPr>
            <w:r>
              <w:rPr>
                <w:sz w:val="20"/>
              </w:rPr>
              <w:t xml:space="preserve">109,8</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r>
          </w:p>
        </w:tc>
      </w:tr>
      <w:tr>
        <w:tc>
          <w:tcPr>
            <w:vMerge w:val="continue"/>
          </w:tcPr>
          <w:p/>
        </w:tc>
        <w:tc>
          <w:tcPr>
            <w:tcW w:w="2721" w:type="dxa"/>
          </w:tcPr>
          <w:p>
            <w:pPr>
              <w:pStyle w:val="0"/>
            </w:pPr>
            <w:r>
              <w:rPr>
                <w:sz w:val="20"/>
              </w:rPr>
              <w:t xml:space="preserve">44) площадь жилья, ввод которого потенциально возможен в границах площадок комплексной застройки, обеспеченных инженерной инфраструктурой (нарастающим итогом)</w:t>
            </w:r>
          </w:p>
        </w:tc>
        <w:tc>
          <w:tcPr>
            <w:tcW w:w="680" w:type="dxa"/>
          </w:tcPr>
          <w:p>
            <w:pPr>
              <w:pStyle w:val="0"/>
              <w:jc w:val="center"/>
            </w:pPr>
            <w:r>
              <w:rPr>
                <w:sz w:val="20"/>
              </w:rPr>
              <w:t xml:space="preserve">тыс. кв. м</w:t>
            </w:r>
          </w:p>
        </w:tc>
        <w:tc>
          <w:tcPr>
            <w:tcW w:w="793" w:type="dxa"/>
          </w:tcPr>
          <w:p>
            <w:pPr>
              <w:pStyle w:val="0"/>
              <w:jc w:val="center"/>
            </w:pPr>
            <w:r>
              <w:rPr>
                <w:sz w:val="20"/>
              </w:rPr>
              <w:t xml:space="preserve">63,2</w:t>
            </w:r>
          </w:p>
        </w:tc>
        <w:tc>
          <w:tcPr>
            <w:tcW w:w="793" w:type="dxa"/>
          </w:tcPr>
          <w:p>
            <w:pPr>
              <w:pStyle w:val="0"/>
              <w:jc w:val="center"/>
            </w:pPr>
            <w:r>
              <w:rPr>
                <w:sz w:val="20"/>
              </w:rPr>
              <w:t xml:space="preserve">67,3</w:t>
            </w:r>
          </w:p>
        </w:tc>
        <w:tc>
          <w:tcPr>
            <w:tcW w:w="793" w:type="dxa"/>
          </w:tcPr>
          <w:p>
            <w:pPr>
              <w:pStyle w:val="0"/>
              <w:jc w:val="center"/>
            </w:pPr>
            <w:r>
              <w:rPr>
                <w:sz w:val="20"/>
              </w:rPr>
              <w:t xml:space="preserve">131,7</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r>
          </w:p>
        </w:tc>
      </w:tr>
      <w:tr>
        <w:tc>
          <w:tcPr>
            <w:vMerge w:val="continue"/>
          </w:tcPr>
          <w:p/>
        </w:tc>
        <w:tc>
          <w:tcPr>
            <w:tcW w:w="2721" w:type="dxa"/>
          </w:tcPr>
          <w:p>
            <w:pPr>
              <w:pStyle w:val="0"/>
            </w:pPr>
            <w:r>
              <w:rPr>
                <w:sz w:val="20"/>
              </w:rPr>
              <w:t xml:space="preserve">45) количество земельных участков, предоставленных многодетным семьям на бесплатной основе, обеспеченных инженерной инфраструктурой (нарастающим итогом)</w:t>
            </w:r>
          </w:p>
        </w:tc>
        <w:tc>
          <w:tcPr>
            <w:tcW w:w="680" w:type="dxa"/>
          </w:tcPr>
          <w:p>
            <w:pPr>
              <w:pStyle w:val="0"/>
              <w:jc w:val="center"/>
            </w:pPr>
            <w:r>
              <w:rPr>
                <w:sz w:val="20"/>
              </w:rPr>
              <w:t xml:space="preserve">ед.</w:t>
            </w:r>
          </w:p>
        </w:tc>
        <w:tc>
          <w:tcPr>
            <w:tcW w:w="793" w:type="dxa"/>
          </w:tcPr>
          <w:p>
            <w:pPr>
              <w:pStyle w:val="0"/>
              <w:jc w:val="center"/>
            </w:pPr>
            <w:r>
              <w:rPr>
                <w:sz w:val="20"/>
              </w:rPr>
              <w:t xml:space="preserve">0</w:t>
            </w:r>
          </w:p>
        </w:tc>
        <w:tc>
          <w:tcPr>
            <w:tcW w:w="793" w:type="dxa"/>
          </w:tcPr>
          <w:p>
            <w:pPr>
              <w:pStyle w:val="0"/>
              <w:jc w:val="center"/>
            </w:pPr>
            <w:r>
              <w:rPr>
                <w:sz w:val="20"/>
              </w:rPr>
              <w:t xml:space="preserve">105</w:t>
            </w:r>
          </w:p>
        </w:tc>
        <w:tc>
          <w:tcPr>
            <w:tcW w:w="793" w:type="dxa"/>
          </w:tcPr>
          <w:p>
            <w:pPr>
              <w:pStyle w:val="0"/>
              <w:jc w:val="center"/>
            </w:pPr>
            <w:r>
              <w:rPr>
                <w:sz w:val="20"/>
              </w:rPr>
              <w:t xml:space="preserve">205</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r>
          </w:p>
        </w:tc>
      </w:tr>
      <w:tr>
        <w:tc>
          <w:tcPr>
            <w:tcW w:w="2097" w:type="dxa"/>
          </w:tcPr>
          <w:p>
            <w:pPr>
              <w:pStyle w:val="0"/>
            </w:pPr>
            <w:r>
              <w:rPr>
                <w:sz w:val="20"/>
              </w:rPr>
              <w:t xml:space="preserve">Задача 2 подпрограммы государственной программы.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2721" w:type="dxa"/>
          </w:tcPr>
          <w:p>
            <w:pPr>
              <w:pStyle w:val="0"/>
            </w:pPr>
            <w:r>
              <w:rPr>
                <w:sz w:val="20"/>
              </w:rPr>
              <w:t xml:space="preserve">46) количество "проблемных" объектов, обеспеченных инженерной инфраструктурой</w:t>
            </w:r>
          </w:p>
        </w:tc>
        <w:tc>
          <w:tcPr>
            <w:tcW w:w="680" w:type="dxa"/>
          </w:tcPr>
          <w:p>
            <w:pPr>
              <w:pStyle w:val="0"/>
              <w:jc w:val="center"/>
            </w:pPr>
            <w:r>
              <w:rPr>
                <w:sz w:val="20"/>
              </w:rPr>
              <w:t xml:space="preserve">ед.</w:t>
            </w:r>
          </w:p>
        </w:tc>
        <w:tc>
          <w:tcPr>
            <w:tcW w:w="793" w:type="dxa"/>
          </w:tcPr>
          <w:p>
            <w:pPr>
              <w:pStyle w:val="0"/>
              <w:jc w:val="center"/>
            </w:pPr>
            <w:r>
              <w:rPr>
                <w:sz w:val="20"/>
              </w:rPr>
              <w:t xml:space="preserve">-</w:t>
            </w:r>
          </w:p>
        </w:tc>
        <w:tc>
          <w:tcPr>
            <w:tcW w:w="793" w:type="dxa"/>
          </w:tcPr>
          <w:p>
            <w:pPr>
              <w:pStyle w:val="0"/>
              <w:jc w:val="center"/>
            </w:pPr>
            <w:r>
              <w:rPr>
                <w:sz w:val="20"/>
              </w:rPr>
              <w:t xml:space="preserve">22</w:t>
            </w:r>
          </w:p>
        </w:tc>
        <w:tc>
          <w:tcPr>
            <w:tcW w:w="793" w:type="dxa"/>
          </w:tcPr>
          <w:p>
            <w:pPr>
              <w:pStyle w:val="0"/>
              <w:jc w:val="center"/>
            </w:pPr>
            <w:r>
              <w:rPr>
                <w:sz w:val="20"/>
              </w:rPr>
              <w:t xml:space="preserve">9</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за период реализации подпрограммы обеспечен инженерной инфраструктурой 31 объект незавершенного строительства, удовлетворяющий критериям отбора для получения государственной поддержки</w:t>
            </w:r>
          </w:p>
        </w:tc>
      </w:tr>
      <w:tr>
        <w:tc>
          <w:tcPr>
            <w:gridSpan w:val="16"/>
            <w:tcW w:w="17793" w:type="dxa"/>
          </w:tcPr>
          <w:p>
            <w:pPr>
              <w:pStyle w:val="0"/>
              <w:outlineLvl w:val="3"/>
              <w:jc w:val="center"/>
            </w:pPr>
            <w:r>
              <w:rPr>
                <w:sz w:val="20"/>
              </w:rPr>
              <w:t xml:space="preserve">Подпрограмма государственной программы "Земельные ресурсы и инфраструктура"</w:t>
            </w:r>
          </w:p>
        </w:tc>
      </w:tr>
      <w:tr>
        <w:tc>
          <w:tcPr>
            <w:gridSpan w:val="16"/>
            <w:tcW w:w="17793" w:type="dxa"/>
          </w:tcPr>
          <w:p>
            <w:pPr>
              <w:pStyle w:val="0"/>
              <w:outlineLvl w:val="4"/>
              <w:jc w:val="center"/>
            </w:pPr>
            <w:r>
              <w:rPr>
                <w:sz w:val="20"/>
              </w:rPr>
              <w:t xml:space="preserve">Цель подпрограммы государственной программы: содействие эффективному использованию земельных участков под жилищное строительство</w:t>
            </w:r>
          </w:p>
        </w:tc>
      </w:tr>
      <w:tr>
        <w:tc>
          <w:tcPr>
            <w:tcW w:w="2097" w:type="dxa"/>
            <w:vMerge w:val="restart"/>
          </w:tcPr>
          <w:p>
            <w:pPr>
              <w:pStyle w:val="0"/>
            </w:pPr>
            <w:r>
              <w:rPr>
                <w:sz w:val="20"/>
              </w:rPr>
              <w:t xml:space="preserve">Задача 1 подпрограммы государственной программы. Обеспечение инженерной инфраструктурой площадок комплексной застройки</w:t>
            </w:r>
          </w:p>
        </w:tc>
        <w:tc>
          <w:tcPr>
            <w:tcW w:w="2721" w:type="dxa"/>
          </w:tcPr>
          <w:p>
            <w:pPr>
              <w:pStyle w:val="0"/>
            </w:pPr>
            <w:r>
              <w:rPr>
                <w:sz w:val="20"/>
              </w:rPr>
              <w:t xml:space="preserve">47) площадь земельных участков, по которым выполнены мероприятия по обеспечению инженерной инфраструктурой</w:t>
            </w:r>
          </w:p>
        </w:tc>
        <w:tc>
          <w:tcPr>
            <w:tcW w:w="680" w:type="dxa"/>
          </w:tcPr>
          <w:p>
            <w:pPr>
              <w:pStyle w:val="0"/>
              <w:jc w:val="center"/>
            </w:pPr>
            <w:r>
              <w:rPr>
                <w:sz w:val="20"/>
              </w:rPr>
              <w:t xml:space="preserve">га</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0</w:t>
            </w:r>
          </w:p>
        </w:tc>
        <w:tc>
          <w:tcPr>
            <w:tcW w:w="794" w:type="dxa"/>
          </w:tcPr>
          <w:p>
            <w:pPr>
              <w:pStyle w:val="0"/>
              <w:jc w:val="center"/>
            </w:pPr>
            <w:r>
              <w:rPr>
                <w:sz w:val="20"/>
              </w:rPr>
              <w:t xml:space="preserve">1,5</w:t>
            </w:r>
          </w:p>
        </w:tc>
        <w:tc>
          <w:tcPr>
            <w:tcW w:w="793" w:type="dxa"/>
          </w:tcPr>
          <w:p>
            <w:pPr>
              <w:pStyle w:val="0"/>
              <w:jc w:val="center"/>
            </w:pPr>
            <w:r>
              <w:rPr>
                <w:sz w:val="20"/>
              </w:rPr>
              <w:t xml:space="preserve">5,8</w:t>
            </w:r>
          </w:p>
        </w:tc>
        <w:tc>
          <w:tcPr>
            <w:tcW w:w="794" w:type="dxa"/>
          </w:tcPr>
          <w:p>
            <w:pPr>
              <w:pStyle w:val="0"/>
              <w:jc w:val="center"/>
            </w:pPr>
            <w:r>
              <w:rPr>
                <w:sz w:val="20"/>
              </w:rPr>
              <w:t xml:space="preserve">20,9</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33,5</w:t>
            </w:r>
          </w:p>
        </w:tc>
        <w:tc>
          <w:tcPr>
            <w:tcW w:w="793" w:type="dxa"/>
          </w:tcPr>
          <w:p>
            <w:pPr>
              <w:pStyle w:val="0"/>
              <w:jc w:val="center"/>
            </w:pPr>
            <w:r>
              <w:rPr>
                <w:sz w:val="20"/>
              </w:rPr>
              <w:t xml:space="preserve">83</w:t>
            </w:r>
          </w:p>
        </w:tc>
        <w:tc>
          <w:tcPr>
            <w:tcW w:w="793" w:type="dxa"/>
          </w:tcPr>
          <w:p>
            <w:pPr>
              <w:pStyle w:val="0"/>
              <w:jc w:val="center"/>
            </w:pPr>
            <w:r>
              <w:rPr>
                <w:sz w:val="20"/>
              </w:rPr>
              <w:t xml:space="preserve">0</w:t>
            </w:r>
          </w:p>
        </w:tc>
        <w:tc>
          <w:tcPr>
            <w:tcW w:w="2777" w:type="dxa"/>
          </w:tcPr>
          <w:p>
            <w:pPr>
              <w:pStyle w:val="0"/>
            </w:pPr>
            <w:r>
              <w:rPr>
                <w:sz w:val="20"/>
              </w:rPr>
            </w:r>
          </w:p>
        </w:tc>
      </w:tr>
      <w:tr>
        <w:tc>
          <w:tcPr>
            <w:vMerge w:val="continue"/>
          </w:tcPr>
          <w:p/>
        </w:tc>
        <w:tc>
          <w:tcPr>
            <w:tcW w:w="2721" w:type="dxa"/>
          </w:tcPr>
          <w:p>
            <w:pPr>
              <w:pStyle w:val="0"/>
            </w:pPr>
            <w:r>
              <w:rPr>
                <w:sz w:val="20"/>
              </w:rPr>
              <w:t xml:space="preserve">48) площадь жилья, ввод которого потенциально возможен в границах площадок комплексной застройки, по которым выполнены мероприятия по обеспечению инженерной инфраструктурой</w:t>
            </w:r>
          </w:p>
        </w:tc>
        <w:tc>
          <w:tcPr>
            <w:tcW w:w="680" w:type="dxa"/>
          </w:tcPr>
          <w:p>
            <w:pPr>
              <w:pStyle w:val="0"/>
              <w:jc w:val="center"/>
            </w:pPr>
            <w:r>
              <w:rPr>
                <w:sz w:val="20"/>
              </w:rPr>
              <w:t xml:space="preserve">тыс. кв. м</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0</w:t>
            </w:r>
          </w:p>
        </w:tc>
        <w:tc>
          <w:tcPr>
            <w:tcW w:w="794" w:type="dxa"/>
          </w:tcPr>
          <w:p>
            <w:pPr>
              <w:pStyle w:val="0"/>
              <w:jc w:val="center"/>
            </w:pPr>
            <w:r>
              <w:rPr>
                <w:sz w:val="20"/>
              </w:rPr>
              <w:t xml:space="preserve">1,9</w:t>
            </w:r>
          </w:p>
        </w:tc>
        <w:tc>
          <w:tcPr>
            <w:tcW w:w="793" w:type="dxa"/>
          </w:tcPr>
          <w:p>
            <w:pPr>
              <w:pStyle w:val="0"/>
              <w:jc w:val="center"/>
            </w:pPr>
            <w:r>
              <w:rPr>
                <w:sz w:val="20"/>
              </w:rPr>
              <w:t xml:space="preserve">7,0</w:t>
            </w:r>
          </w:p>
        </w:tc>
        <w:tc>
          <w:tcPr>
            <w:tcW w:w="794" w:type="dxa"/>
          </w:tcPr>
          <w:p>
            <w:pPr>
              <w:pStyle w:val="0"/>
              <w:jc w:val="center"/>
            </w:pPr>
            <w:r>
              <w:rPr>
                <w:sz w:val="20"/>
              </w:rPr>
              <w:t xml:space="preserve">25,1</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472,4</w:t>
            </w:r>
          </w:p>
        </w:tc>
        <w:tc>
          <w:tcPr>
            <w:tcW w:w="793" w:type="dxa"/>
          </w:tcPr>
          <w:p>
            <w:pPr>
              <w:pStyle w:val="0"/>
              <w:jc w:val="center"/>
            </w:pPr>
            <w:r>
              <w:rPr>
                <w:sz w:val="20"/>
              </w:rPr>
              <w:t xml:space="preserve">870</w:t>
            </w:r>
          </w:p>
        </w:tc>
        <w:tc>
          <w:tcPr>
            <w:tcW w:w="793" w:type="dxa"/>
          </w:tcPr>
          <w:p>
            <w:pPr>
              <w:pStyle w:val="0"/>
              <w:jc w:val="center"/>
            </w:pPr>
            <w:r>
              <w:rPr>
                <w:sz w:val="20"/>
              </w:rPr>
              <w:t xml:space="preserve">0</w:t>
            </w:r>
          </w:p>
        </w:tc>
        <w:tc>
          <w:tcPr>
            <w:tcW w:w="2777" w:type="dxa"/>
          </w:tcPr>
          <w:p>
            <w:pPr>
              <w:pStyle w:val="0"/>
            </w:pPr>
            <w:r>
              <w:rPr>
                <w:sz w:val="20"/>
              </w:rPr>
            </w:r>
          </w:p>
        </w:tc>
      </w:tr>
      <w:tr>
        <w:tc>
          <w:tcPr>
            <w:vMerge w:val="continue"/>
          </w:tcPr>
          <w:p/>
        </w:tc>
        <w:tc>
          <w:tcPr>
            <w:tcW w:w="2721" w:type="dxa"/>
          </w:tcPr>
          <w:p>
            <w:pPr>
              <w:pStyle w:val="0"/>
            </w:pPr>
            <w:r>
              <w:rPr>
                <w:sz w:val="20"/>
              </w:rPr>
              <w:t xml:space="preserve">49) количество земельных участков, зарезервированных для предоставления многодетным семьям на бесплатной основе, по которым выполнены мероприятия по обеспечению инженерной инфраструктурой</w:t>
            </w:r>
          </w:p>
        </w:tc>
        <w:tc>
          <w:tcPr>
            <w:tcW w:w="680" w:type="dxa"/>
          </w:tcPr>
          <w:p>
            <w:pPr>
              <w:pStyle w:val="0"/>
              <w:jc w:val="center"/>
            </w:pPr>
            <w:r>
              <w:rPr>
                <w:sz w:val="20"/>
              </w:rPr>
              <w:t xml:space="preserve">ед.</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0</w:t>
            </w:r>
          </w:p>
        </w:tc>
        <w:tc>
          <w:tcPr>
            <w:tcW w:w="794" w:type="dxa"/>
          </w:tcPr>
          <w:p>
            <w:pPr>
              <w:pStyle w:val="0"/>
              <w:jc w:val="center"/>
            </w:pPr>
            <w:r>
              <w:rPr>
                <w:sz w:val="20"/>
              </w:rPr>
              <w:t xml:space="preserve">3</w:t>
            </w:r>
          </w:p>
        </w:tc>
        <w:tc>
          <w:tcPr>
            <w:tcW w:w="793" w:type="dxa"/>
          </w:tcPr>
          <w:p>
            <w:pPr>
              <w:pStyle w:val="0"/>
              <w:jc w:val="center"/>
            </w:pPr>
            <w:r>
              <w:rPr>
                <w:sz w:val="20"/>
              </w:rPr>
              <w:t xml:space="preserve">11</w:t>
            </w:r>
          </w:p>
        </w:tc>
        <w:tc>
          <w:tcPr>
            <w:tcW w:w="794" w:type="dxa"/>
          </w:tcPr>
          <w:p>
            <w:pPr>
              <w:pStyle w:val="0"/>
              <w:jc w:val="center"/>
            </w:pPr>
            <w:r>
              <w:rPr>
                <w:sz w:val="20"/>
              </w:rPr>
              <w:t xml:space="preserve">39</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2777" w:type="dxa"/>
          </w:tcPr>
          <w:p>
            <w:pPr>
              <w:pStyle w:val="0"/>
            </w:pPr>
            <w:r>
              <w:rPr>
                <w:sz w:val="20"/>
              </w:rPr>
            </w:r>
          </w:p>
        </w:tc>
      </w:tr>
      <w:tr>
        <w:tc>
          <w:tcPr>
            <w:vMerge w:val="continue"/>
          </w:tcPr>
          <w:p/>
        </w:tc>
        <w:tc>
          <w:tcPr>
            <w:tcW w:w="2721" w:type="dxa"/>
          </w:tcPr>
          <w:p>
            <w:pPr>
              <w:pStyle w:val="0"/>
            </w:pPr>
            <w:r>
              <w:rPr>
                <w:sz w:val="20"/>
              </w:rPr>
              <w:t xml:space="preserve">50) количество объектов инженерной и транспортной инфраструктуры, необходимых для обеспечения земельных участков для комплексного жилищного строительства</w:t>
            </w:r>
          </w:p>
        </w:tc>
        <w:tc>
          <w:tcPr>
            <w:tcW w:w="680" w:type="dxa"/>
          </w:tcPr>
          <w:p>
            <w:pPr>
              <w:pStyle w:val="0"/>
              <w:jc w:val="center"/>
            </w:pPr>
            <w:r>
              <w:rPr>
                <w:sz w:val="20"/>
              </w:rPr>
              <w:t xml:space="preserve">ед.</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5</w:t>
            </w:r>
          </w:p>
        </w:tc>
        <w:tc>
          <w:tcPr>
            <w:tcW w:w="793" w:type="dxa"/>
          </w:tcPr>
          <w:p>
            <w:pPr>
              <w:pStyle w:val="0"/>
              <w:jc w:val="center"/>
            </w:pPr>
            <w:r>
              <w:rPr>
                <w:sz w:val="20"/>
              </w:rPr>
              <w:t xml:space="preserve">0</w:t>
            </w:r>
          </w:p>
        </w:tc>
        <w:tc>
          <w:tcPr>
            <w:tcW w:w="2777" w:type="dxa"/>
          </w:tcPr>
          <w:p>
            <w:pPr>
              <w:pStyle w:val="0"/>
            </w:pPr>
            <w:r>
              <w:rPr>
                <w:sz w:val="20"/>
              </w:rPr>
              <w:t xml:space="preserve">целевой индикатор введен с 2022 года для оценки реализации новых инвестиционных проектов</w:t>
            </w:r>
          </w:p>
        </w:tc>
      </w:tr>
      <w:tr>
        <w:tc>
          <w:tcPr>
            <w:tcW w:w="2097" w:type="dxa"/>
          </w:tcPr>
          <w:p>
            <w:pPr>
              <w:pStyle w:val="0"/>
            </w:pPr>
            <w:r>
              <w:rPr>
                <w:sz w:val="20"/>
              </w:rPr>
              <w:t xml:space="preserve">Задача 2 подпрограммы государственной программы. Решение вопросов завершения строительства и ввода в эксплуатацию объектов жилищного строительства, по которым застройщиком по истечении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2721" w:type="dxa"/>
          </w:tcPr>
          <w:p>
            <w:pPr>
              <w:pStyle w:val="0"/>
            </w:pPr>
            <w:r>
              <w:rPr>
                <w:sz w:val="20"/>
              </w:rPr>
              <w:t xml:space="preserve">51) количество "проблемных" объектов, по которым выполнены мероприятия по обеспечению инженерной инфраструктурой</w:t>
            </w:r>
          </w:p>
        </w:tc>
        <w:tc>
          <w:tcPr>
            <w:tcW w:w="680" w:type="dxa"/>
          </w:tcPr>
          <w:p>
            <w:pPr>
              <w:pStyle w:val="0"/>
              <w:jc w:val="center"/>
            </w:pPr>
            <w:r>
              <w:rPr>
                <w:sz w:val="20"/>
              </w:rPr>
              <w:t xml:space="preserve">ед.</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12</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за период реализации подпрограммы будут выполнены мероприятия по обеспечению инженерной инфраструктурой 12 объектов незавершенного строительства, удовлетворяющих условиям для получения государственной поддержки.</w:t>
            </w:r>
          </w:p>
          <w:p>
            <w:pPr>
              <w:pStyle w:val="0"/>
            </w:pPr>
            <w:r>
              <w:rPr>
                <w:sz w:val="20"/>
              </w:rPr>
              <w:t xml:space="preserve">С 2018 года реализация мероприятия будет осуществляться в рамках подпрограммы "Государственная поддержка при завершении строительства "проблемных" жилых домов"</w:t>
            </w:r>
          </w:p>
        </w:tc>
      </w:tr>
      <w:tr>
        <w:tc>
          <w:tcPr>
            <w:tcW w:w="2097" w:type="dxa"/>
          </w:tcPr>
          <w:p>
            <w:pPr>
              <w:pStyle w:val="0"/>
            </w:pPr>
            <w:r>
              <w:rPr>
                <w:sz w:val="20"/>
              </w:rPr>
              <w:t xml:space="preserve">Задача 3 подпрограммы государственной программы. Создание условий для вовлечения в жилищное строительство земельных участков, находящихся в федеральной собственности, не используемых по назначению и пригодных для жилищного строительства</w:t>
            </w:r>
          </w:p>
        </w:tc>
        <w:tc>
          <w:tcPr>
            <w:tcW w:w="2721" w:type="dxa"/>
          </w:tcPr>
          <w:p>
            <w:pPr>
              <w:pStyle w:val="0"/>
            </w:pPr>
            <w:r>
              <w:rPr>
                <w:sz w:val="20"/>
              </w:rPr>
              <w:t xml:space="preserve">52) площадь земельных участков, в отношении которых сформирован перечень земельных участков, находящихся в федеральной собственности, не используемых по назначению и пригодных для жилищного строительства</w:t>
            </w:r>
          </w:p>
        </w:tc>
        <w:tc>
          <w:tcPr>
            <w:tcW w:w="680" w:type="dxa"/>
          </w:tcPr>
          <w:p>
            <w:pPr>
              <w:pStyle w:val="0"/>
              <w:jc w:val="center"/>
            </w:pPr>
            <w:r>
              <w:rPr>
                <w:sz w:val="20"/>
              </w:rPr>
              <w:t xml:space="preserve">га</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429</w:t>
            </w:r>
          </w:p>
        </w:tc>
        <w:tc>
          <w:tcPr>
            <w:tcW w:w="793" w:type="dxa"/>
          </w:tcPr>
          <w:p>
            <w:pPr>
              <w:pStyle w:val="0"/>
              <w:jc w:val="center"/>
            </w:pPr>
            <w:r>
              <w:rPr>
                <w:sz w:val="20"/>
              </w:rPr>
              <w:t xml:space="preserve">250</w:t>
            </w:r>
          </w:p>
        </w:tc>
        <w:tc>
          <w:tcPr>
            <w:tcW w:w="794" w:type="dxa"/>
          </w:tcPr>
          <w:p>
            <w:pPr>
              <w:pStyle w:val="0"/>
              <w:jc w:val="center"/>
            </w:pPr>
            <w:r>
              <w:rPr>
                <w:sz w:val="20"/>
              </w:rPr>
              <w:t xml:space="preserve">20</w:t>
            </w:r>
          </w:p>
        </w:tc>
        <w:tc>
          <w:tcPr>
            <w:tcW w:w="793" w:type="dxa"/>
          </w:tcPr>
          <w:p>
            <w:pPr>
              <w:pStyle w:val="0"/>
              <w:jc w:val="center"/>
            </w:pPr>
            <w:r>
              <w:rPr>
                <w:sz w:val="20"/>
              </w:rPr>
              <w:t xml:space="preserve">40</w:t>
            </w:r>
          </w:p>
        </w:tc>
        <w:tc>
          <w:tcPr>
            <w:tcW w:w="793" w:type="dxa"/>
          </w:tcPr>
          <w:p>
            <w:pPr>
              <w:pStyle w:val="0"/>
              <w:jc w:val="center"/>
            </w:pPr>
            <w:r>
              <w:rPr>
                <w:sz w:val="20"/>
              </w:rPr>
              <w:t xml:space="preserve">40</w:t>
            </w:r>
          </w:p>
        </w:tc>
        <w:tc>
          <w:tcPr>
            <w:tcW w:w="793" w:type="dxa"/>
          </w:tcPr>
          <w:p>
            <w:pPr>
              <w:pStyle w:val="0"/>
              <w:jc w:val="center"/>
            </w:pPr>
            <w:r>
              <w:rPr>
                <w:sz w:val="20"/>
              </w:rPr>
              <w:t xml:space="preserve">40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2777" w:type="dxa"/>
          </w:tcPr>
          <w:p>
            <w:pPr>
              <w:pStyle w:val="0"/>
            </w:pPr>
            <w:r>
              <w:rPr>
                <w:sz w:val="20"/>
              </w:rPr>
              <w:t xml:space="preserve">за период реализации подпрограммы будет сформирован перечень неэффективно используемых федеральных земельных участков площадью 899 га и направлен в Единый институт развития в жилищной сфере для вовлечения в оборот для жилищного строительства</w:t>
            </w:r>
          </w:p>
        </w:tc>
      </w:tr>
      <w:tr>
        <w:tc>
          <w:tcPr>
            <w:tcW w:w="2097" w:type="dxa"/>
          </w:tcPr>
          <w:p>
            <w:pPr>
              <w:pStyle w:val="0"/>
            </w:pPr>
            <w:r>
              <w:rPr>
                <w:sz w:val="20"/>
              </w:rPr>
              <w:t xml:space="preserve">Задача 4 подпрограммы государственной программы. Создание условий для вовлечения в жилищное строительство земельных участков, находящихся в частной собственности</w:t>
            </w:r>
          </w:p>
        </w:tc>
        <w:tc>
          <w:tcPr>
            <w:tcW w:w="2721" w:type="dxa"/>
          </w:tcPr>
          <w:p>
            <w:pPr>
              <w:pStyle w:val="0"/>
            </w:pPr>
            <w:r>
              <w:rPr>
                <w:sz w:val="20"/>
              </w:rPr>
              <w:t xml:space="preserve">53) площадь земельных участков, находящихся в частной собственности, в отношении которых приняты решения о комплексном устойчивом развитии территорий</w:t>
            </w:r>
          </w:p>
        </w:tc>
        <w:tc>
          <w:tcPr>
            <w:tcW w:w="680" w:type="dxa"/>
          </w:tcPr>
          <w:p>
            <w:pPr>
              <w:pStyle w:val="0"/>
              <w:jc w:val="center"/>
            </w:pPr>
            <w:r>
              <w:rPr>
                <w:sz w:val="20"/>
              </w:rPr>
              <w:t xml:space="preserve">га</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0</w:t>
            </w:r>
          </w:p>
        </w:tc>
        <w:tc>
          <w:tcPr>
            <w:tcW w:w="793" w:type="dxa"/>
          </w:tcPr>
          <w:p>
            <w:pPr>
              <w:pStyle w:val="0"/>
              <w:jc w:val="center"/>
            </w:pPr>
            <w:r>
              <w:rPr>
                <w:sz w:val="20"/>
              </w:rPr>
              <w:t xml:space="preserve">10</w:t>
            </w:r>
          </w:p>
        </w:tc>
        <w:tc>
          <w:tcPr>
            <w:tcW w:w="794" w:type="dxa"/>
          </w:tcPr>
          <w:p>
            <w:pPr>
              <w:pStyle w:val="0"/>
              <w:jc w:val="center"/>
            </w:pPr>
            <w:r>
              <w:rPr>
                <w:sz w:val="20"/>
              </w:rPr>
              <w:t xml:space="preserve">15</w:t>
            </w:r>
          </w:p>
        </w:tc>
        <w:tc>
          <w:tcPr>
            <w:tcW w:w="793" w:type="dxa"/>
          </w:tcPr>
          <w:p>
            <w:pPr>
              <w:pStyle w:val="0"/>
              <w:jc w:val="center"/>
            </w:pPr>
            <w:r>
              <w:rPr>
                <w:sz w:val="20"/>
              </w:rPr>
              <w:t xml:space="preserve">20</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pPr>
            <w:r>
              <w:rPr>
                <w:sz w:val="20"/>
              </w:rPr>
            </w:r>
          </w:p>
        </w:tc>
        <w:tc>
          <w:tcPr>
            <w:tcW w:w="2777" w:type="dxa"/>
          </w:tcPr>
          <w:p>
            <w:pPr>
              <w:pStyle w:val="0"/>
            </w:pPr>
            <w:r>
              <w:rPr>
                <w:sz w:val="20"/>
              </w:rPr>
              <w:t xml:space="preserve">за период реализации подпрограммы планируется вовлечение неэффективно используемых земельных участков, находящихся в частной собственности, в отношении которых приняты решения о комплексном устойчивом развитии территорий, площадью 45 га</w:t>
            </w:r>
          </w:p>
        </w:tc>
      </w:tr>
      <w:tr>
        <w:tblPrEx>
          <w:tblBorders>
            <w:insideH w:val="nil"/>
          </w:tblBorders>
        </w:tblPrEx>
        <w:tc>
          <w:tcPr>
            <w:tcW w:w="2097" w:type="dxa"/>
            <w:tcBorders>
              <w:bottom w:val="nil"/>
            </w:tcBorders>
          </w:tcPr>
          <w:p>
            <w:pPr>
              <w:pStyle w:val="0"/>
            </w:pPr>
            <w:r>
              <w:rPr>
                <w:sz w:val="20"/>
              </w:rPr>
              <w:t xml:space="preserve">Задача 5 подпрограммы государственной программы. Стимулирование программ развития на площадках комплексной застройки в рамках федерального проекта "Жилье" государственной </w:t>
            </w:r>
            <w:hyperlink w:history="0" r:id="rId173"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tc>
        <w:tc>
          <w:tcPr>
            <w:tcW w:w="2721" w:type="dxa"/>
            <w:tcBorders>
              <w:bottom w:val="nil"/>
            </w:tcBorders>
          </w:tcPr>
          <w:p>
            <w:pPr>
              <w:pStyle w:val="0"/>
            </w:pPr>
            <w:r>
              <w:rPr>
                <w:sz w:val="20"/>
              </w:rPr>
              <w:t xml:space="preserve">54) ввод жилья в рамках мероприятия по стимулированию программ развития жилищного строительства субъектов Российской Федерации</w:t>
            </w:r>
          </w:p>
        </w:tc>
        <w:tc>
          <w:tcPr>
            <w:tcW w:w="680" w:type="dxa"/>
            <w:tcBorders>
              <w:bottom w:val="nil"/>
            </w:tcBorders>
          </w:tcPr>
          <w:p>
            <w:pPr>
              <w:pStyle w:val="0"/>
              <w:jc w:val="center"/>
            </w:pPr>
            <w:r>
              <w:rPr>
                <w:sz w:val="20"/>
              </w:rPr>
              <w:t xml:space="preserve">тыс. кв. м</w:t>
            </w:r>
          </w:p>
        </w:tc>
        <w:tc>
          <w:tcPr>
            <w:tcW w:w="793" w:type="dxa"/>
            <w:tcBorders>
              <w:bottom w:val="nil"/>
            </w:tcBorders>
          </w:tcPr>
          <w:p>
            <w:pPr>
              <w:pStyle w:val="0"/>
              <w:jc w:val="center"/>
            </w:pPr>
            <w:r>
              <w:rPr>
                <w:sz w:val="20"/>
              </w:rPr>
              <w:t xml:space="preserve">-</w:t>
            </w:r>
          </w:p>
        </w:tc>
        <w:tc>
          <w:tcPr>
            <w:tcW w:w="793" w:type="dxa"/>
            <w:tcBorders>
              <w:bottom w:val="nil"/>
            </w:tcBorders>
          </w:tcPr>
          <w:p>
            <w:pPr>
              <w:pStyle w:val="0"/>
              <w:jc w:val="center"/>
            </w:pPr>
            <w:r>
              <w:rPr>
                <w:sz w:val="20"/>
              </w:rPr>
              <w:t xml:space="preserve">-</w:t>
            </w:r>
          </w:p>
        </w:tc>
        <w:tc>
          <w:tcPr>
            <w:tcW w:w="793" w:type="dxa"/>
            <w:tcBorders>
              <w:bottom w:val="nil"/>
            </w:tcBorders>
          </w:tcPr>
          <w:p>
            <w:pPr>
              <w:pStyle w:val="0"/>
              <w:jc w:val="center"/>
            </w:pPr>
            <w:r>
              <w:rPr>
                <w:sz w:val="20"/>
              </w:rPr>
              <w:t xml:space="preserve">-</w:t>
            </w:r>
          </w:p>
        </w:tc>
        <w:tc>
          <w:tcPr>
            <w:tcW w:w="794" w:type="dxa"/>
            <w:tcBorders>
              <w:bottom w:val="nil"/>
            </w:tcBorders>
          </w:tcPr>
          <w:p>
            <w:pPr>
              <w:pStyle w:val="0"/>
              <w:jc w:val="center"/>
            </w:pPr>
            <w:r>
              <w:rPr>
                <w:sz w:val="20"/>
              </w:rPr>
              <w:t xml:space="preserve">109,1</w:t>
            </w:r>
          </w:p>
        </w:tc>
        <w:tc>
          <w:tcPr>
            <w:tcW w:w="793" w:type="dxa"/>
            <w:tcBorders>
              <w:bottom w:val="nil"/>
            </w:tcBorders>
          </w:tcPr>
          <w:p>
            <w:pPr>
              <w:pStyle w:val="0"/>
              <w:jc w:val="center"/>
            </w:pPr>
            <w:r>
              <w:rPr>
                <w:sz w:val="20"/>
              </w:rPr>
              <w:t xml:space="preserve">244</w:t>
            </w:r>
          </w:p>
        </w:tc>
        <w:tc>
          <w:tcPr>
            <w:tcW w:w="794" w:type="dxa"/>
            <w:tcBorders>
              <w:bottom w:val="nil"/>
            </w:tcBorders>
          </w:tcPr>
          <w:p>
            <w:pPr>
              <w:pStyle w:val="0"/>
              <w:jc w:val="center"/>
            </w:pPr>
            <w:r>
              <w:rPr>
                <w:sz w:val="20"/>
              </w:rPr>
              <w:t xml:space="preserve">200</w:t>
            </w:r>
          </w:p>
        </w:tc>
        <w:tc>
          <w:tcPr>
            <w:tcW w:w="793" w:type="dxa"/>
            <w:tcBorders>
              <w:bottom w:val="nil"/>
            </w:tcBorders>
          </w:tcPr>
          <w:p>
            <w:pPr>
              <w:pStyle w:val="0"/>
              <w:jc w:val="center"/>
            </w:pPr>
            <w:r>
              <w:rPr>
                <w:sz w:val="20"/>
              </w:rPr>
              <w:t xml:space="preserve">339,9</w:t>
            </w:r>
          </w:p>
        </w:tc>
        <w:tc>
          <w:tcPr>
            <w:tcW w:w="793" w:type="dxa"/>
            <w:tcBorders>
              <w:bottom w:val="nil"/>
            </w:tcBorders>
          </w:tcPr>
          <w:p>
            <w:pPr>
              <w:pStyle w:val="0"/>
              <w:jc w:val="center"/>
            </w:pPr>
            <w:r>
              <w:rPr>
                <w:sz w:val="20"/>
              </w:rPr>
              <w:t xml:space="preserve">241,81</w:t>
            </w:r>
          </w:p>
        </w:tc>
        <w:tc>
          <w:tcPr>
            <w:tcW w:w="793" w:type="dxa"/>
            <w:tcBorders>
              <w:bottom w:val="nil"/>
            </w:tcBorders>
          </w:tcPr>
          <w:p>
            <w:pPr>
              <w:pStyle w:val="0"/>
              <w:jc w:val="center"/>
            </w:pPr>
            <w:r>
              <w:rPr>
                <w:sz w:val="20"/>
              </w:rPr>
              <w:t xml:space="preserve">154,0</w:t>
            </w:r>
          </w:p>
        </w:tc>
        <w:tc>
          <w:tcPr>
            <w:tcW w:w="793" w:type="dxa"/>
            <w:tcBorders>
              <w:bottom w:val="nil"/>
            </w:tcBorders>
          </w:tcPr>
          <w:p>
            <w:pPr>
              <w:pStyle w:val="0"/>
              <w:jc w:val="center"/>
            </w:pPr>
            <w:r>
              <w:rPr>
                <w:sz w:val="20"/>
              </w:rPr>
              <w:t xml:space="preserve">15,6</w:t>
            </w:r>
          </w:p>
        </w:tc>
        <w:tc>
          <w:tcPr>
            <w:tcW w:w="793" w:type="dxa"/>
            <w:tcBorders>
              <w:bottom w:val="nil"/>
            </w:tcBorders>
          </w:tcPr>
          <w:p>
            <w:pPr>
              <w:pStyle w:val="0"/>
              <w:jc w:val="center"/>
            </w:pPr>
            <w:r>
              <w:rPr>
                <w:sz w:val="20"/>
              </w:rPr>
              <w:t xml:space="preserve">842,1</w:t>
            </w:r>
          </w:p>
        </w:tc>
        <w:tc>
          <w:tcPr>
            <w:tcW w:w="793" w:type="dxa"/>
            <w:tcBorders>
              <w:bottom w:val="nil"/>
            </w:tcBorders>
          </w:tcPr>
          <w:p>
            <w:pPr>
              <w:pStyle w:val="0"/>
              <w:jc w:val="center"/>
            </w:pPr>
            <w:r>
              <w:rPr>
                <w:sz w:val="20"/>
              </w:rPr>
              <w:t xml:space="preserve">-</w:t>
            </w:r>
          </w:p>
        </w:tc>
        <w:tc>
          <w:tcPr>
            <w:tcW w:w="2777" w:type="dxa"/>
            <w:tcBorders>
              <w:bottom w:val="nil"/>
            </w:tcBorders>
          </w:tcPr>
          <w:p>
            <w:pPr>
              <w:pStyle w:val="0"/>
            </w:pPr>
            <w:r>
              <w:rPr>
                <w:sz w:val="20"/>
              </w:rPr>
              <w:t xml:space="preserve">целевой индикатор введен с 2018 года, на 2017 год приведено базовое значение. Значения 2020 - 2025 годов уточнятся после отбора субъектов по участию в федеральном проекте "Жилье".</w:t>
            </w:r>
          </w:p>
          <w:p>
            <w:pPr>
              <w:pStyle w:val="0"/>
            </w:pPr>
            <w:r>
              <w:rPr>
                <w:sz w:val="20"/>
              </w:rPr>
              <w:t xml:space="preserve">"РП"</w:t>
            </w:r>
          </w:p>
        </w:tc>
      </w:tr>
      <w:tr>
        <w:tblPrEx>
          <w:tblBorders>
            <w:insideH w:val="nil"/>
          </w:tblBorders>
        </w:tblPrEx>
        <w:tc>
          <w:tcPr>
            <w:gridSpan w:val="16"/>
            <w:tcW w:w="17793" w:type="dxa"/>
            <w:tcBorders>
              <w:top w:val="nil"/>
            </w:tcBorders>
          </w:tcPr>
          <w:p>
            <w:pPr>
              <w:pStyle w:val="0"/>
              <w:jc w:val="both"/>
            </w:pPr>
            <w:r>
              <w:rPr>
                <w:sz w:val="20"/>
              </w:rPr>
              <w:t xml:space="preserve">(в ред. </w:t>
            </w:r>
            <w:hyperlink w:history="0" r:id="rId174"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tc>
      </w:tr>
      <w:tr>
        <w:tc>
          <w:tcPr>
            <w:gridSpan w:val="16"/>
            <w:tcW w:w="17793" w:type="dxa"/>
          </w:tcPr>
          <w:p>
            <w:pPr>
              <w:pStyle w:val="0"/>
              <w:outlineLvl w:val="3"/>
              <w:jc w:val="center"/>
            </w:pPr>
            <w:r>
              <w:rPr>
                <w:sz w:val="20"/>
              </w:rPr>
              <w:t xml:space="preserve">Подпрограмма государственной программы "Государственная поддержка при завершении строительства "проблемных" жилых домов"</w:t>
            </w:r>
          </w:p>
        </w:tc>
      </w:tr>
      <w:tr>
        <w:tc>
          <w:tcPr>
            <w:gridSpan w:val="16"/>
            <w:tcW w:w="17793" w:type="dxa"/>
          </w:tcPr>
          <w:p>
            <w:pPr>
              <w:pStyle w:val="0"/>
              <w:outlineLvl w:val="4"/>
              <w:jc w:val="center"/>
            </w:pPr>
            <w:r>
              <w:rPr>
                <w:sz w:val="20"/>
              </w:rPr>
              <w:t xml:space="preserve">Цель подпрограммы: принятие мер по соблюдению законных интересов граждан, чьи денежные средства привлечены для строительства многоквартирных жилых домов</w:t>
            </w:r>
          </w:p>
        </w:tc>
      </w:tr>
      <w:tr>
        <w:tc>
          <w:tcPr>
            <w:tcW w:w="2097" w:type="dxa"/>
          </w:tcPr>
          <w:p>
            <w:pPr>
              <w:pStyle w:val="0"/>
            </w:pPr>
            <w:r>
              <w:rPr>
                <w:sz w:val="20"/>
              </w:rPr>
              <w:t xml:space="preserve">Задача 1 подпрограммы государственной программы. Обеспечение инженерной инфраструктурой "проблемных" объектов незавершенного строительства</w:t>
            </w:r>
          </w:p>
        </w:tc>
        <w:tc>
          <w:tcPr>
            <w:tcW w:w="2721" w:type="dxa"/>
          </w:tcPr>
          <w:p>
            <w:pPr>
              <w:pStyle w:val="0"/>
            </w:pPr>
            <w:r>
              <w:rPr>
                <w:sz w:val="20"/>
              </w:rPr>
              <w:t xml:space="preserve">55) количество "проблемных" объектов, по которым выполнены мероприятия по обеспечению инженерной инфраструктурой и благоустройством придомовой территории</w:t>
            </w:r>
          </w:p>
        </w:tc>
        <w:tc>
          <w:tcPr>
            <w:tcW w:w="680" w:type="dxa"/>
          </w:tcPr>
          <w:p>
            <w:pPr>
              <w:pStyle w:val="0"/>
              <w:jc w:val="center"/>
            </w:pPr>
            <w:r>
              <w:rPr>
                <w:sz w:val="20"/>
              </w:rPr>
              <w:t xml:space="preserve">ед.</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12</w:t>
            </w:r>
          </w:p>
        </w:tc>
        <w:tc>
          <w:tcPr>
            <w:tcW w:w="793" w:type="dxa"/>
          </w:tcPr>
          <w:p>
            <w:pPr>
              <w:pStyle w:val="0"/>
              <w:jc w:val="center"/>
            </w:pPr>
            <w:r>
              <w:rPr>
                <w:sz w:val="20"/>
              </w:rPr>
              <w:t xml:space="preserve">6</w:t>
            </w:r>
          </w:p>
        </w:tc>
        <w:tc>
          <w:tcPr>
            <w:tcW w:w="794" w:type="dxa"/>
          </w:tcPr>
          <w:p>
            <w:pPr>
              <w:pStyle w:val="0"/>
              <w:jc w:val="center"/>
            </w:pPr>
            <w:r>
              <w:rPr>
                <w:sz w:val="20"/>
              </w:rPr>
              <w:t xml:space="preserve">3</w:t>
            </w:r>
          </w:p>
        </w:tc>
        <w:tc>
          <w:tcPr>
            <w:tcW w:w="793" w:type="dxa"/>
          </w:tcPr>
          <w:p>
            <w:pPr>
              <w:pStyle w:val="0"/>
              <w:jc w:val="center"/>
            </w:pPr>
            <w:r>
              <w:rPr>
                <w:sz w:val="20"/>
              </w:rPr>
              <w:t xml:space="preserve">2</w:t>
            </w:r>
          </w:p>
        </w:tc>
        <w:tc>
          <w:tcPr>
            <w:tcW w:w="793" w:type="dxa"/>
          </w:tcPr>
          <w:p>
            <w:pPr>
              <w:pStyle w:val="0"/>
              <w:jc w:val="center"/>
            </w:pPr>
            <w:r>
              <w:rPr>
                <w:sz w:val="20"/>
              </w:rPr>
              <w:t xml:space="preserve">2</w:t>
            </w:r>
          </w:p>
        </w:tc>
        <w:tc>
          <w:tcPr>
            <w:tcW w:w="793" w:type="dxa"/>
          </w:tcPr>
          <w:p>
            <w:pPr>
              <w:pStyle w:val="0"/>
              <w:jc w:val="center"/>
            </w:pPr>
            <w:r>
              <w:rPr>
                <w:sz w:val="20"/>
              </w:rPr>
              <w:t xml:space="preserve">1</w:t>
            </w:r>
          </w:p>
        </w:tc>
        <w:tc>
          <w:tcPr>
            <w:tcW w:w="793" w:type="dxa"/>
          </w:tcPr>
          <w:p>
            <w:pPr>
              <w:pStyle w:val="0"/>
              <w:jc w:val="center"/>
            </w:pPr>
            <w:r>
              <w:rPr>
                <w:sz w:val="20"/>
              </w:rPr>
              <w:t xml:space="preserve">1</w:t>
            </w:r>
          </w:p>
        </w:tc>
        <w:tc>
          <w:tcPr>
            <w:tcW w:w="793" w:type="dxa"/>
          </w:tcPr>
          <w:p>
            <w:pPr>
              <w:pStyle w:val="0"/>
              <w:jc w:val="center"/>
            </w:pPr>
            <w:r>
              <w:rPr>
                <w:sz w:val="20"/>
              </w:rPr>
              <w:t xml:space="preserve">1</w:t>
            </w:r>
          </w:p>
        </w:tc>
        <w:tc>
          <w:tcPr>
            <w:tcW w:w="793" w:type="dxa"/>
          </w:tcPr>
          <w:p>
            <w:pPr>
              <w:pStyle w:val="0"/>
              <w:jc w:val="center"/>
            </w:pPr>
            <w:r>
              <w:rPr>
                <w:sz w:val="20"/>
              </w:rPr>
              <w:t xml:space="preserve">1</w:t>
            </w:r>
          </w:p>
        </w:tc>
        <w:tc>
          <w:tcPr>
            <w:tcW w:w="2777" w:type="dxa"/>
          </w:tcPr>
          <w:p>
            <w:pPr>
              <w:pStyle w:val="0"/>
            </w:pPr>
            <w:r>
              <w:rPr>
                <w:sz w:val="20"/>
              </w:rPr>
              <w:t xml:space="preserve">за период реализации подпрограммы будут выполнены мероприятия по обеспечению инженерной инфраструктурой 17 объектов незавершенного строительства, удовлетворяющих условиям для получения государственной поддержки.</w:t>
            </w:r>
          </w:p>
          <w:p>
            <w:pPr>
              <w:pStyle w:val="0"/>
            </w:pPr>
            <w:r>
              <w:rPr>
                <w:sz w:val="20"/>
              </w:rPr>
              <w:t xml:space="preserve">За 2017 год приведено базовое значение показателя</w:t>
            </w:r>
          </w:p>
        </w:tc>
      </w:tr>
      <w:tr>
        <w:tc>
          <w:tcPr>
            <w:tcW w:w="2097" w:type="dxa"/>
          </w:tcPr>
          <w:p>
            <w:pPr>
              <w:pStyle w:val="0"/>
            </w:pPr>
            <w:r>
              <w:rPr>
                <w:sz w:val="20"/>
              </w:rPr>
              <w:t xml:space="preserve">Задача 2 подпрограммы государственной программы. Компенсация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w:t>
            </w:r>
          </w:p>
        </w:tc>
        <w:tc>
          <w:tcPr>
            <w:tcW w:w="2721" w:type="dxa"/>
          </w:tcPr>
          <w:p>
            <w:pPr>
              <w:pStyle w:val="0"/>
            </w:pPr>
            <w:r>
              <w:rPr>
                <w:sz w:val="20"/>
              </w:rPr>
              <w:t xml:space="preserve">56) количество граждан, пострадавших от действий недобросовестных застройщиков, получивших субсидии</w:t>
            </w:r>
          </w:p>
        </w:tc>
        <w:tc>
          <w:tcPr>
            <w:tcW w:w="680" w:type="dxa"/>
          </w:tcPr>
          <w:p>
            <w:pPr>
              <w:pStyle w:val="0"/>
              <w:jc w:val="center"/>
            </w:pPr>
            <w:r>
              <w:rPr>
                <w:sz w:val="20"/>
              </w:rPr>
              <w:t xml:space="preserve">чел.</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25</w:t>
            </w:r>
          </w:p>
        </w:tc>
        <w:tc>
          <w:tcPr>
            <w:tcW w:w="793" w:type="dxa"/>
          </w:tcPr>
          <w:p>
            <w:pPr>
              <w:pStyle w:val="0"/>
              <w:jc w:val="center"/>
            </w:pPr>
            <w:r>
              <w:rPr>
                <w:sz w:val="20"/>
              </w:rPr>
              <w:t xml:space="preserve">15</w:t>
            </w:r>
          </w:p>
        </w:tc>
        <w:tc>
          <w:tcPr>
            <w:tcW w:w="794" w:type="dxa"/>
          </w:tcPr>
          <w:p>
            <w:pPr>
              <w:pStyle w:val="0"/>
              <w:jc w:val="center"/>
            </w:pPr>
            <w:r>
              <w:rPr>
                <w:sz w:val="20"/>
              </w:rPr>
              <w:t xml:space="preserve">20</w:t>
            </w:r>
          </w:p>
        </w:tc>
        <w:tc>
          <w:tcPr>
            <w:tcW w:w="793" w:type="dxa"/>
          </w:tcPr>
          <w:p>
            <w:pPr>
              <w:pStyle w:val="0"/>
              <w:jc w:val="center"/>
            </w:pPr>
            <w:r>
              <w:rPr>
                <w:sz w:val="20"/>
              </w:rPr>
              <w:t xml:space="preserve">20</w:t>
            </w:r>
          </w:p>
        </w:tc>
        <w:tc>
          <w:tcPr>
            <w:tcW w:w="793" w:type="dxa"/>
          </w:tcPr>
          <w:p>
            <w:pPr>
              <w:pStyle w:val="0"/>
              <w:jc w:val="center"/>
            </w:pPr>
            <w:r>
              <w:rPr>
                <w:sz w:val="20"/>
              </w:rPr>
              <w:t xml:space="preserve">20</w:t>
            </w:r>
          </w:p>
        </w:tc>
        <w:tc>
          <w:tcPr>
            <w:tcW w:w="793" w:type="dxa"/>
          </w:tcPr>
          <w:p>
            <w:pPr>
              <w:pStyle w:val="0"/>
              <w:jc w:val="center"/>
            </w:pPr>
            <w:r>
              <w:rPr>
                <w:sz w:val="20"/>
              </w:rPr>
              <w:t xml:space="preserve">20</w:t>
            </w:r>
          </w:p>
        </w:tc>
        <w:tc>
          <w:tcPr>
            <w:tcW w:w="793" w:type="dxa"/>
          </w:tcPr>
          <w:p>
            <w:pPr>
              <w:pStyle w:val="0"/>
              <w:jc w:val="center"/>
            </w:pPr>
            <w:r>
              <w:rPr>
                <w:sz w:val="20"/>
              </w:rPr>
              <w:t xml:space="preserve">23</w:t>
            </w:r>
          </w:p>
        </w:tc>
        <w:tc>
          <w:tcPr>
            <w:tcW w:w="793" w:type="dxa"/>
          </w:tcPr>
          <w:p>
            <w:pPr>
              <w:pStyle w:val="0"/>
              <w:jc w:val="center"/>
            </w:pPr>
            <w:r>
              <w:rPr>
                <w:sz w:val="20"/>
              </w:rPr>
              <w:t xml:space="preserve">23</w:t>
            </w:r>
          </w:p>
        </w:tc>
        <w:tc>
          <w:tcPr>
            <w:tcW w:w="793" w:type="dxa"/>
          </w:tcPr>
          <w:p>
            <w:pPr>
              <w:pStyle w:val="0"/>
              <w:jc w:val="center"/>
            </w:pPr>
            <w:r>
              <w:rPr>
                <w:sz w:val="20"/>
              </w:rPr>
              <w:t xml:space="preserve">23</w:t>
            </w:r>
          </w:p>
        </w:tc>
        <w:tc>
          <w:tcPr>
            <w:tcW w:w="2777" w:type="dxa"/>
          </w:tcPr>
          <w:p>
            <w:pPr>
              <w:pStyle w:val="0"/>
            </w:pPr>
            <w:r>
              <w:rPr>
                <w:sz w:val="20"/>
              </w:rPr>
              <w:t xml:space="preserve">за 2017 год приведено базовое значение показателя</w:t>
            </w:r>
          </w:p>
        </w:tc>
      </w:tr>
      <w:tr>
        <w:tc>
          <w:tcPr>
            <w:tcW w:w="2097" w:type="dxa"/>
          </w:tcPr>
          <w:p>
            <w:pPr>
              <w:pStyle w:val="0"/>
            </w:pPr>
            <w:r>
              <w:rPr>
                <w:sz w:val="20"/>
              </w:rPr>
              <w:t xml:space="preserve">Задача 3 подпрограммы государственной программы. Профилактика возникновения новых случаев недобросовестных действий застройщиков при строительстве многоквартирных жилых домов в Новосибирской области</w:t>
            </w:r>
          </w:p>
        </w:tc>
        <w:tc>
          <w:tcPr>
            <w:tcW w:w="2721" w:type="dxa"/>
          </w:tcPr>
          <w:p>
            <w:pPr>
              <w:pStyle w:val="0"/>
            </w:pPr>
            <w:r>
              <w:rPr>
                <w:sz w:val="20"/>
              </w:rPr>
              <w:t xml:space="preserve">57) количество "проблемных" объектов, введенных в эксплуатацию, из общего количества незавершенных строительством "проблемных" объектов</w:t>
            </w:r>
          </w:p>
        </w:tc>
        <w:tc>
          <w:tcPr>
            <w:tcW w:w="680" w:type="dxa"/>
          </w:tcPr>
          <w:p>
            <w:pPr>
              <w:pStyle w:val="0"/>
              <w:jc w:val="center"/>
            </w:pPr>
            <w:r>
              <w:rPr>
                <w:sz w:val="20"/>
              </w:rPr>
              <w:t xml:space="preserve">ед.</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10</w:t>
            </w:r>
          </w:p>
        </w:tc>
        <w:tc>
          <w:tcPr>
            <w:tcW w:w="793" w:type="dxa"/>
          </w:tcPr>
          <w:p>
            <w:pPr>
              <w:pStyle w:val="0"/>
              <w:jc w:val="center"/>
            </w:pPr>
            <w:r>
              <w:rPr>
                <w:sz w:val="20"/>
              </w:rPr>
              <w:t xml:space="preserve">10</w:t>
            </w:r>
          </w:p>
        </w:tc>
        <w:tc>
          <w:tcPr>
            <w:tcW w:w="794" w:type="dxa"/>
          </w:tcPr>
          <w:p>
            <w:pPr>
              <w:pStyle w:val="0"/>
              <w:jc w:val="center"/>
            </w:pPr>
            <w:r>
              <w:rPr>
                <w:sz w:val="20"/>
              </w:rPr>
              <w:t xml:space="preserve">6</w:t>
            </w:r>
          </w:p>
        </w:tc>
        <w:tc>
          <w:tcPr>
            <w:tcW w:w="793" w:type="dxa"/>
          </w:tcPr>
          <w:p>
            <w:pPr>
              <w:pStyle w:val="0"/>
              <w:jc w:val="center"/>
            </w:pPr>
            <w:r>
              <w:rPr>
                <w:sz w:val="20"/>
              </w:rPr>
              <w:t xml:space="preserve">7</w:t>
            </w:r>
          </w:p>
        </w:tc>
        <w:tc>
          <w:tcPr>
            <w:tcW w:w="793" w:type="dxa"/>
          </w:tcPr>
          <w:p>
            <w:pPr>
              <w:pStyle w:val="0"/>
              <w:jc w:val="center"/>
            </w:pPr>
            <w:r>
              <w:rPr>
                <w:sz w:val="20"/>
              </w:rPr>
              <w:t xml:space="preserve">12</w:t>
            </w:r>
          </w:p>
        </w:tc>
        <w:tc>
          <w:tcPr>
            <w:tcW w:w="793" w:type="dxa"/>
          </w:tcPr>
          <w:p>
            <w:pPr>
              <w:pStyle w:val="0"/>
              <w:jc w:val="center"/>
            </w:pPr>
            <w:r>
              <w:rPr>
                <w:sz w:val="20"/>
              </w:rPr>
              <w:t xml:space="preserve">10</w:t>
            </w:r>
          </w:p>
        </w:tc>
        <w:tc>
          <w:tcPr>
            <w:tcW w:w="793" w:type="dxa"/>
          </w:tcPr>
          <w:p>
            <w:pPr>
              <w:pStyle w:val="0"/>
              <w:jc w:val="center"/>
            </w:pPr>
            <w:r>
              <w:rPr>
                <w:sz w:val="20"/>
              </w:rPr>
              <w:t xml:space="preserve">18</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за 2017 год приведено базовое значение показателя</w:t>
            </w:r>
          </w:p>
        </w:tc>
      </w:tr>
      <w:tr>
        <w:tc>
          <w:tcPr>
            <w:gridSpan w:val="16"/>
            <w:tcW w:w="17793" w:type="dxa"/>
          </w:tcPr>
          <w:p>
            <w:pPr>
              <w:pStyle w:val="0"/>
              <w:outlineLvl w:val="3"/>
              <w:jc w:val="center"/>
            </w:pPr>
            <w:r>
              <w:rPr>
                <w:sz w:val="20"/>
              </w:rPr>
              <w:t xml:space="preserve">Подпрограмма государственной программы "Государственная поддержка граждан при приобретении (строительстве) жилья и стимулирование развития ипотечного кредитования"</w:t>
            </w:r>
          </w:p>
        </w:tc>
      </w:tr>
      <w:tr>
        <w:tc>
          <w:tcPr>
            <w:gridSpan w:val="16"/>
            <w:tcW w:w="17793" w:type="dxa"/>
          </w:tcPr>
          <w:p>
            <w:pPr>
              <w:pStyle w:val="0"/>
              <w:outlineLvl w:val="4"/>
              <w:jc w:val="center"/>
            </w:pPr>
            <w:r>
              <w:rPr>
                <w:sz w:val="20"/>
              </w:rPr>
              <w:t xml:space="preserve">Цель подпрограммы государственной программы: содействие в улучшении жилищных условий экономически активного населения</w:t>
            </w:r>
          </w:p>
        </w:tc>
      </w:tr>
      <w:tr>
        <w:tc>
          <w:tcPr>
            <w:tcW w:w="2097" w:type="dxa"/>
            <w:vMerge w:val="restart"/>
          </w:tcPr>
          <w:p>
            <w:pPr>
              <w:pStyle w:val="0"/>
            </w:pPr>
            <w:r>
              <w:rPr>
                <w:sz w:val="20"/>
              </w:rPr>
              <w:t xml:space="preserve">Задача 1 подпрограммы государственной программы. Поддержка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tc>
        <w:tc>
          <w:tcPr>
            <w:tcW w:w="2721" w:type="dxa"/>
          </w:tcPr>
          <w:p>
            <w:pPr>
              <w:pStyle w:val="0"/>
            </w:pPr>
            <w:r>
              <w:rPr>
                <w:sz w:val="20"/>
              </w:rPr>
              <w:t xml:space="preserve">58) количество граждан, получивших субсидии для компенсации части затрат по оплате стоимости жилого помещения, приобретенного в многоквартирном (в том числе малоэтажном) жилом доме</w:t>
            </w:r>
          </w:p>
        </w:tc>
        <w:tc>
          <w:tcPr>
            <w:tcW w:w="680" w:type="dxa"/>
          </w:tcPr>
          <w:p>
            <w:pPr>
              <w:pStyle w:val="0"/>
              <w:jc w:val="center"/>
            </w:pPr>
            <w:r>
              <w:rPr>
                <w:sz w:val="20"/>
              </w:rPr>
              <w:t xml:space="preserve">чел.</w:t>
            </w:r>
          </w:p>
        </w:tc>
        <w:tc>
          <w:tcPr>
            <w:tcW w:w="793" w:type="dxa"/>
          </w:tcPr>
          <w:p>
            <w:pPr>
              <w:pStyle w:val="0"/>
              <w:jc w:val="center"/>
            </w:pPr>
            <w:r>
              <w:rPr>
                <w:sz w:val="20"/>
              </w:rPr>
              <w:t xml:space="preserve">450</w:t>
            </w:r>
          </w:p>
        </w:tc>
        <w:tc>
          <w:tcPr>
            <w:tcW w:w="793" w:type="dxa"/>
          </w:tcPr>
          <w:p>
            <w:pPr>
              <w:pStyle w:val="0"/>
              <w:jc w:val="center"/>
            </w:pPr>
            <w:r>
              <w:rPr>
                <w:sz w:val="20"/>
              </w:rPr>
              <w:t xml:space="preserve">80</w:t>
            </w:r>
          </w:p>
        </w:tc>
        <w:tc>
          <w:tcPr>
            <w:tcW w:w="793" w:type="dxa"/>
          </w:tcPr>
          <w:p>
            <w:pPr>
              <w:pStyle w:val="0"/>
              <w:jc w:val="center"/>
            </w:pPr>
            <w:r>
              <w:rPr>
                <w:sz w:val="20"/>
              </w:rPr>
              <w:t xml:space="preserve">0</w:t>
            </w:r>
          </w:p>
        </w:tc>
        <w:tc>
          <w:tcPr>
            <w:tcW w:w="794" w:type="dxa"/>
          </w:tcPr>
          <w:p>
            <w:pPr>
              <w:pStyle w:val="0"/>
              <w:jc w:val="center"/>
            </w:pPr>
            <w:r>
              <w:rPr>
                <w:sz w:val="20"/>
              </w:rPr>
              <w:t xml:space="preserve">0</w:t>
            </w:r>
          </w:p>
        </w:tc>
        <w:tc>
          <w:tcPr>
            <w:tcW w:w="793" w:type="dxa"/>
          </w:tcPr>
          <w:p>
            <w:pPr>
              <w:pStyle w:val="0"/>
              <w:jc w:val="center"/>
            </w:pPr>
            <w:r>
              <w:rPr>
                <w:sz w:val="20"/>
              </w:rPr>
              <w:t xml:space="preserve">0</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r>
          </w:p>
        </w:tc>
      </w:tr>
      <w:tr>
        <w:tc>
          <w:tcPr>
            <w:vMerge w:val="continue"/>
          </w:tcPr>
          <w:p/>
        </w:tc>
        <w:tc>
          <w:tcPr>
            <w:tcW w:w="2721" w:type="dxa"/>
          </w:tcPr>
          <w:p>
            <w:pPr>
              <w:pStyle w:val="0"/>
            </w:pPr>
            <w:r>
              <w:rPr>
                <w:sz w:val="20"/>
              </w:rPr>
              <w:t xml:space="preserve">59) количество граждан, получивших субсидии на строительство индивидуальных жилых домов</w:t>
            </w:r>
          </w:p>
        </w:tc>
        <w:tc>
          <w:tcPr>
            <w:tcW w:w="680" w:type="dxa"/>
          </w:tcPr>
          <w:p>
            <w:pPr>
              <w:pStyle w:val="0"/>
              <w:jc w:val="center"/>
            </w:pPr>
            <w:r>
              <w:rPr>
                <w:sz w:val="20"/>
              </w:rPr>
              <w:t xml:space="preserve">чел.</w:t>
            </w:r>
          </w:p>
        </w:tc>
        <w:tc>
          <w:tcPr>
            <w:tcW w:w="793" w:type="dxa"/>
          </w:tcPr>
          <w:p>
            <w:pPr>
              <w:pStyle w:val="0"/>
              <w:jc w:val="center"/>
            </w:pPr>
            <w:r>
              <w:rPr>
                <w:sz w:val="20"/>
              </w:rPr>
              <w:t xml:space="preserve">5555</w:t>
            </w:r>
          </w:p>
        </w:tc>
        <w:tc>
          <w:tcPr>
            <w:tcW w:w="793" w:type="dxa"/>
          </w:tcPr>
          <w:p>
            <w:pPr>
              <w:pStyle w:val="0"/>
              <w:jc w:val="center"/>
            </w:pPr>
            <w:r>
              <w:rPr>
                <w:sz w:val="20"/>
              </w:rPr>
              <w:t xml:space="preserve">1875</w:t>
            </w:r>
          </w:p>
        </w:tc>
        <w:tc>
          <w:tcPr>
            <w:tcW w:w="793" w:type="dxa"/>
          </w:tcPr>
          <w:p>
            <w:pPr>
              <w:pStyle w:val="0"/>
              <w:jc w:val="center"/>
            </w:pPr>
            <w:r>
              <w:rPr>
                <w:sz w:val="20"/>
              </w:rPr>
              <w:t xml:space="preserve">519</w:t>
            </w:r>
          </w:p>
        </w:tc>
        <w:tc>
          <w:tcPr>
            <w:tcW w:w="794" w:type="dxa"/>
          </w:tcPr>
          <w:p>
            <w:pPr>
              <w:pStyle w:val="0"/>
              <w:jc w:val="center"/>
            </w:pPr>
            <w:r>
              <w:rPr>
                <w:sz w:val="20"/>
              </w:rPr>
              <w:t xml:space="preserve">0</w:t>
            </w:r>
          </w:p>
        </w:tc>
        <w:tc>
          <w:tcPr>
            <w:tcW w:w="793" w:type="dxa"/>
          </w:tcPr>
          <w:p>
            <w:pPr>
              <w:pStyle w:val="0"/>
              <w:jc w:val="center"/>
            </w:pPr>
            <w:r>
              <w:rPr>
                <w:sz w:val="20"/>
              </w:rPr>
              <w:t xml:space="preserve">0</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r>
          </w:p>
        </w:tc>
      </w:tr>
      <w:tr>
        <w:tc>
          <w:tcPr>
            <w:vMerge w:val="continue"/>
          </w:tcPr>
          <w:p/>
        </w:tc>
        <w:tc>
          <w:tcPr>
            <w:tcW w:w="2721" w:type="dxa"/>
          </w:tcPr>
          <w:p>
            <w:pPr>
              <w:pStyle w:val="0"/>
            </w:pPr>
            <w:r>
              <w:rPr>
                <w:sz w:val="20"/>
              </w:rPr>
              <w:t xml:space="preserve">60) количество граждан, получивших субсидии на компенсацию расходов застройщика по строительству индивидуального жилого дома</w:t>
            </w:r>
          </w:p>
        </w:tc>
        <w:tc>
          <w:tcPr>
            <w:tcW w:w="680" w:type="dxa"/>
          </w:tcPr>
          <w:p>
            <w:pPr>
              <w:pStyle w:val="0"/>
              <w:jc w:val="center"/>
            </w:pPr>
            <w:r>
              <w:rPr>
                <w:sz w:val="20"/>
              </w:rPr>
              <w:t xml:space="preserve">чел.</w:t>
            </w:r>
          </w:p>
        </w:tc>
        <w:tc>
          <w:tcPr>
            <w:tcW w:w="793" w:type="dxa"/>
          </w:tcPr>
          <w:p>
            <w:pPr>
              <w:pStyle w:val="0"/>
              <w:jc w:val="center"/>
            </w:pPr>
            <w:r>
              <w:rPr>
                <w:sz w:val="20"/>
              </w:rPr>
              <w:t xml:space="preserve">1507</w:t>
            </w:r>
          </w:p>
        </w:tc>
        <w:tc>
          <w:tcPr>
            <w:tcW w:w="793" w:type="dxa"/>
          </w:tcPr>
          <w:p>
            <w:pPr>
              <w:pStyle w:val="0"/>
              <w:jc w:val="center"/>
            </w:pPr>
            <w:r>
              <w:rPr>
                <w:sz w:val="20"/>
              </w:rPr>
              <w:t xml:space="preserve">2000</w:t>
            </w:r>
          </w:p>
        </w:tc>
        <w:tc>
          <w:tcPr>
            <w:tcW w:w="793" w:type="dxa"/>
          </w:tcPr>
          <w:p>
            <w:pPr>
              <w:pStyle w:val="0"/>
              <w:jc w:val="center"/>
            </w:pPr>
            <w:r>
              <w:rPr>
                <w:sz w:val="20"/>
              </w:rPr>
              <w:t xml:space="preserve">2991</w:t>
            </w:r>
          </w:p>
        </w:tc>
        <w:tc>
          <w:tcPr>
            <w:tcW w:w="794" w:type="dxa"/>
          </w:tcPr>
          <w:p>
            <w:pPr>
              <w:pStyle w:val="0"/>
              <w:jc w:val="center"/>
            </w:pPr>
            <w:r>
              <w:rPr>
                <w:sz w:val="20"/>
              </w:rPr>
              <w:t xml:space="preserve">489</w:t>
            </w:r>
          </w:p>
        </w:tc>
        <w:tc>
          <w:tcPr>
            <w:tcW w:w="793" w:type="dxa"/>
          </w:tcPr>
          <w:p>
            <w:pPr>
              <w:pStyle w:val="0"/>
              <w:jc w:val="center"/>
            </w:pPr>
            <w:r>
              <w:rPr>
                <w:sz w:val="20"/>
              </w:rPr>
              <w:t xml:space="preserve">314</w:t>
            </w:r>
          </w:p>
        </w:tc>
        <w:tc>
          <w:tcPr>
            <w:tcW w:w="794" w:type="dxa"/>
          </w:tcPr>
          <w:p>
            <w:pPr>
              <w:pStyle w:val="0"/>
              <w:jc w:val="center"/>
            </w:pPr>
            <w:r>
              <w:rPr>
                <w:sz w:val="20"/>
              </w:rPr>
              <w:t xml:space="preserve">19</w:t>
            </w:r>
          </w:p>
        </w:tc>
        <w:tc>
          <w:tcPr>
            <w:tcW w:w="793" w:type="dxa"/>
          </w:tcPr>
          <w:p>
            <w:pPr>
              <w:pStyle w:val="0"/>
              <w:jc w:val="center"/>
            </w:pPr>
            <w:r>
              <w:rPr>
                <w:sz w:val="20"/>
              </w:rPr>
              <w:t xml:space="preserve">2</w:t>
            </w:r>
          </w:p>
        </w:tc>
        <w:tc>
          <w:tcPr>
            <w:tcW w:w="793" w:type="dxa"/>
          </w:tcPr>
          <w:p>
            <w:pPr>
              <w:pStyle w:val="0"/>
              <w:jc w:val="center"/>
            </w:pPr>
            <w:r>
              <w:rPr>
                <w:sz w:val="20"/>
              </w:rPr>
              <w:t xml:space="preserve">1</w:t>
            </w:r>
          </w:p>
        </w:tc>
        <w:tc>
          <w:tcPr>
            <w:tcW w:w="793" w:type="dxa"/>
          </w:tcPr>
          <w:p>
            <w:pPr>
              <w:pStyle w:val="0"/>
              <w:jc w:val="center"/>
            </w:pPr>
            <w:r>
              <w:rPr>
                <w:sz w:val="20"/>
              </w:rPr>
              <w:t xml:space="preserve">1</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2777" w:type="dxa"/>
          </w:tcPr>
          <w:p>
            <w:pPr>
              <w:pStyle w:val="0"/>
            </w:pPr>
            <w:r>
              <w:rPr>
                <w:sz w:val="20"/>
              </w:rPr>
            </w:r>
          </w:p>
        </w:tc>
      </w:tr>
      <w:tr>
        <w:tc>
          <w:tcPr>
            <w:vMerge w:val="continue"/>
          </w:tcPr>
          <w:p/>
        </w:tc>
        <w:tc>
          <w:tcPr>
            <w:tcW w:w="2721" w:type="dxa"/>
          </w:tcPr>
          <w:p>
            <w:pPr>
              <w:pStyle w:val="0"/>
            </w:pPr>
            <w:r>
              <w:rPr>
                <w:sz w:val="20"/>
              </w:rPr>
              <w:t xml:space="preserve">61) количество граждан, пострадавших от действий недобросовестных застройщиков, получивших субсидии</w:t>
            </w:r>
          </w:p>
        </w:tc>
        <w:tc>
          <w:tcPr>
            <w:tcW w:w="680" w:type="dxa"/>
          </w:tcPr>
          <w:p>
            <w:pPr>
              <w:pStyle w:val="0"/>
              <w:jc w:val="center"/>
            </w:pPr>
            <w:r>
              <w:rPr>
                <w:sz w:val="20"/>
              </w:rPr>
              <w:t xml:space="preserve">чел.</w:t>
            </w:r>
          </w:p>
        </w:tc>
        <w:tc>
          <w:tcPr>
            <w:tcW w:w="793" w:type="dxa"/>
          </w:tcPr>
          <w:p>
            <w:pPr>
              <w:pStyle w:val="0"/>
              <w:jc w:val="center"/>
            </w:pPr>
            <w:r>
              <w:rPr>
                <w:sz w:val="20"/>
              </w:rPr>
              <w:t xml:space="preserve">50</w:t>
            </w:r>
          </w:p>
        </w:tc>
        <w:tc>
          <w:tcPr>
            <w:tcW w:w="793" w:type="dxa"/>
          </w:tcPr>
          <w:p>
            <w:pPr>
              <w:pStyle w:val="0"/>
              <w:jc w:val="center"/>
            </w:pPr>
            <w:r>
              <w:rPr>
                <w:sz w:val="20"/>
              </w:rPr>
              <w:t xml:space="preserve">225</w:t>
            </w:r>
          </w:p>
        </w:tc>
        <w:tc>
          <w:tcPr>
            <w:tcW w:w="793" w:type="dxa"/>
          </w:tcPr>
          <w:p>
            <w:pPr>
              <w:pStyle w:val="0"/>
              <w:jc w:val="center"/>
            </w:pPr>
            <w:r>
              <w:rPr>
                <w:sz w:val="20"/>
              </w:rPr>
              <w:t xml:space="preserve">367</w:t>
            </w:r>
          </w:p>
        </w:tc>
        <w:tc>
          <w:tcPr>
            <w:tcW w:w="794" w:type="dxa"/>
          </w:tcPr>
          <w:p>
            <w:pPr>
              <w:pStyle w:val="0"/>
              <w:jc w:val="center"/>
            </w:pPr>
            <w:r>
              <w:rPr>
                <w:sz w:val="20"/>
              </w:rPr>
              <w:t xml:space="preserve">25</w:t>
            </w:r>
          </w:p>
        </w:tc>
        <w:tc>
          <w:tcPr>
            <w:tcW w:w="793" w:type="dxa"/>
          </w:tcPr>
          <w:p>
            <w:pPr>
              <w:pStyle w:val="0"/>
              <w:jc w:val="center"/>
            </w:pPr>
            <w:r>
              <w:rPr>
                <w:sz w:val="20"/>
              </w:rPr>
              <w:t xml:space="preserve">0</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r>
          </w:p>
        </w:tc>
      </w:tr>
      <w:tr>
        <w:tc>
          <w:tcPr>
            <w:tcW w:w="2097" w:type="dxa"/>
            <w:vMerge w:val="restart"/>
          </w:tcPr>
          <w:p>
            <w:pPr>
              <w:pStyle w:val="0"/>
            </w:pPr>
            <w:r>
              <w:rPr>
                <w:sz w:val="20"/>
              </w:rPr>
            </w:r>
          </w:p>
        </w:tc>
        <w:tc>
          <w:tcPr>
            <w:tcW w:w="2721" w:type="dxa"/>
          </w:tcPr>
          <w:p>
            <w:pPr>
              <w:pStyle w:val="0"/>
            </w:pPr>
            <w:r>
              <w:rPr>
                <w:sz w:val="20"/>
              </w:rPr>
              <w:t xml:space="preserve">62) количество граждан, перед которыми выполняются обязательства по предоставлению субсидий на компенсацию части процентной ставки по жилищным кредитам</w:t>
            </w:r>
          </w:p>
        </w:tc>
        <w:tc>
          <w:tcPr>
            <w:tcW w:w="680" w:type="dxa"/>
          </w:tcPr>
          <w:p>
            <w:pPr>
              <w:pStyle w:val="0"/>
              <w:jc w:val="center"/>
            </w:pPr>
            <w:r>
              <w:rPr>
                <w:sz w:val="20"/>
              </w:rPr>
              <w:t xml:space="preserve">чел.</w:t>
            </w:r>
          </w:p>
        </w:tc>
        <w:tc>
          <w:tcPr>
            <w:tcW w:w="793" w:type="dxa"/>
          </w:tcPr>
          <w:p>
            <w:pPr>
              <w:pStyle w:val="0"/>
              <w:jc w:val="center"/>
            </w:pPr>
            <w:r>
              <w:rPr>
                <w:sz w:val="20"/>
              </w:rPr>
              <w:t xml:space="preserve">2200</w:t>
            </w:r>
          </w:p>
        </w:tc>
        <w:tc>
          <w:tcPr>
            <w:tcW w:w="793" w:type="dxa"/>
          </w:tcPr>
          <w:p>
            <w:pPr>
              <w:pStyle w:val="0"/>
              <w:jc w:val="center"/>
            </w:pPr>
            <w:r>
              <w:rPr>
                <w:sz w:val="20"/>
              </w:rPr>
              <w:t xml:space="preserve">2000</w:t>
            </w:r>
          </w:p>
        </w:tc>
        <w:tc>
          <w:tcPr>
            <w:tcW w:w="793" w:type="dxa"/>
          </w:tcPr>
          <w:p>
            <w:pPr>
              <w:pStyle w:val="0"/>
              <w:jc w:val="center"/>
            </w:pPr>
            <w:r>
              <w:rPr>
                <w:sz w:val="20"/>
              </w:rPr>
              <w:t xml:space="preserve">1000</w:t>
            </w:r>
          </w:p>
        </w:tc>
        <w:tc>
          <w:tcPr>
            <w:tcW w:w="794" w:type="dxa"/>
          </w:tcPr>
          <w:p>
            <w:pPr>
              <w:pStyle w:val="0"/>
              <w:jc w:val="center"/>
            </w:pPr>
            <w:r>
              <w:rPr>
                <w:sz w:val="20"/>
              </w:rPr>
              <w:t xml:space="preserve">500</w:t>
            </w:r>
          </w:p>
        </w:tc>
        <w:tc>
          <w:tcPr>
            <w:tcW w:w="793" w:type="dxa"/>
          </w:tcPr>
          <w:p>
            <w:pPr>
              <w:pStyle w:val="0"/>
              <w:jc w:val="center"/>
            </w:pPr>
            <w:r>
              <w:rPr>
                <w:sz w:val="20"/>
              </w:rPr>
              <w:t xml:space="preserve">10</w:t>
            </w:r>
          </w:p>
        </w:tc>
        <w:tc>
          <w:tcPr>
            <w:tcW w:w="794" w:type="dxa"/>
          </w:tcPr>
          <w:p>
            <w:pPr>
              <w:pStyle w:val="0"/>
              <w:jc w:val="center"/>
            </w:pPr>
            <w:r>
              <w:rPr>
                <w:sz w:val="20"/>
              </w:rPr>
              <w:t xml:space="preserve">2</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r>
          </w:p>
        </w:tc>
      </w:tr>
      <w:tr>
        <w:tc>
          <w:tcPr>
            <w:vMerge w:val="continue"/>
          </w:tcPr>
          <w:p/>
        </w:tc>
        <w:tc>
          <w:tcPr>
            <w:tcW w:w="2721" w:type="dxa"/>
          </w:tcPr>
          <w:p>
            <w:pPr>
              <w:pStyle w:val="0"/>
            </w:pPr>
            <w:r>
              <w:rPr>
                <w:sz w:val="20"/>
              </w:rPr>
              <w:t xml:space="preserve">63) количество граждан отдельных категорий, которым предоставлены субсидии для оплаты приобретаемых (строящихся) жилых помещений в соответствии с </w:t>
            </w:r>
            <w:hyperlink w:history="0" r:id="rId175" w:tooltip="Постановление Губернатора Новосибирской области от 04.02.2008 N 31 (ред. от 19.08.2019) &quot;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quot; {КонсультантПлюс}">
              <w:r>
                <w:rPr>
                  <w:sz w:val="20"/>
                  <w:color w:val="0000ff"/>
                </w:rPr>
                <w:t xml:space="preserve">постановлением</w:t>
              </w:r>
            </w:hyperlink>
            <w:r>
              <w:rPr>
                <w:sz w:val="20"/>
              </w:rPr>
              <w:t xml:space="preserve"> Губернатора Новосибирской области от 04.02.2008 N 31 "Об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w:t>
            </w:r>
          </w:p>
        </w:tc>
        <w:tc>
          <w:tcPr>
            <w:tcW w:w="680" w:type="dxa"/>
          </w:tcPr>
          <w:p>
            <w:pPr>
              <w:pStyle w:val="0"/>
              <w:jc w:val="center"/>
            </w:pPr>
            <w:r>
              <w:rPr>
                <w:sz w:val="20"/>
              </w:rPr>
              <w:t xml:space="preserve">чел.</w:t>
            </w:r>
          </w:p>
        </w:tc>
        <w:tc>
          <w:tcPr>
            <w:tcW w:w="793" w:type="dxa"/>
          </w:tcPr>
          <w:p>
            <w:pPr>
              <w:pStyle w:val="0"/>
              <w:jc w:val="center"/>
            </w:pPr>
            <w:r>
              <w:rPr>
                <w:sz w:val="20"/>
              </w:rPr>
              <w:t xml:space="preserve">10</w:t>
            </w:r>
          </w:p>
        </w:tc>
        <w:tc>
          <w:tcPr>
            <w:tcW w:w="793" w:type="dxa"/>
          </w:tcPr>
          <w:p>
            <w:pPr>
              <w:pStyle w:val="0"/>
              <w:jc w:val="center"/>
            </w:pPr>
            <w:r>
              <w:rPr>
                <w:sz w:val="20"/>
              </w:rPr>
              <w:t xml:space="preserve">10</w:t>
            </w:r>
          </w:p>
        </w:tc>
        <w:tc>
          <w:tcPr>
            <w:tcW w:w="793" w:type="dxa"/>
          </w:tcPr>
          <w:p>
            <w:pPr>
              <w:pStyle w:val="0"/>
              <w:jc w:val="center"/>
            </w:pPr>
            <w:r>
              <w:rPr>
                <w:sz w:val="20"/>
              </w:rPr>
              <w:t xml:space="preserve">2</w:t>
            </w:r>
          </w:p>
        </w:tc>
        <w:tc>
          <w:tcPr>
            <w:tcW w:w="794" w:type="dxa"/>
          </w:tcPr>
          <w:p>
            <w:pPr>
              <w:pStyle w:val="0"/>
              <w:jc w:val="center"/>
            </w:pPr>
            <w:r>
              <w:rPr>
                <w:sz w:val="20"/>
              </w:rPr>
              <w:t xml:space="preserve">3</w:t>
            </w:r>
          </w:p>
        </w:tc>
        <w:tc>
          <w:tcPr>
            <w:tcW w:w="793" w:type="dxa"/>
          </w:tcPr>
          <w:p>
            <w:pPr>
              <w:pStyle w:val="0"/>
              <w:jc w:val="center"/>
            </w:pPr>
            <w:r>
              <w:rPr>
                <w:sz w:val="20"/>
              </w:rPr>
              <w:t xml:space="preserve">2</w:t>
            </w:r>
          </w:p>
        </w:tc>
        <w:tc>
          <w:tcPr>
            <w:tcW w:w="794" w:type="dxa"/>
          </w:tcPr>
          <w:p>
            <w:pPr>
              <w:pStyle w:val="0"/>
              <w:jc w:val="center"/>
            </w:pPr>
            <w:r>
              <w:rPr>
                <w:sz w:val="20"/>
              </w:rPr>
              <w:t xml:space="preserve">1</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2</w:t>
            </w:r>
          </w:p>
        </w:tc>
        <w:tc>
          <w:tcPr>
            <w:tcW w:w="793" w:type="dxa"/>
          </w:tcPr>
          <w:p>
            <w:pPr>
              <w:pStyle w:val="0"/>
              <w:jc w:val="center"/>
            </w:pPr>
            <w:r>
              <w:rPr>
                <w:sz w:val="20"/>
              </w:rPr>
              <w:t xml:space="preserve">2</w:t>
            </w:r>
          </w:p>
        </w:tc>
        <w:tc>
          <w:tcPr>
            <w:tcW w:w="793" w:type="dxa"/>
          </w:tcPr>
          <w:p>
            <w:pPr>
              <w:pStyle w:val="0"/>
              <w:jc w:val="center"/>
            </w:pPr>
            <w:r>
              <w:rPr>
                <w:sz w:val="20"/>
              </w:rPr>
              <w:t xml:space="preserve">2</w:t>
            </w:r>
          </w:p>
        </w:tc>
        <w:tc>
          <w:tcPr>
            <w:tcW w:w="793" w:type="dxa"/>
          </w:tcPr>
          <w:p>
            <w:pPr>
              <w:pStyle w:val="0"/>
              <w:jc w:val="center"/>
            </w:pPr>
            <w:r>
              <w:rPr>
                <w:sz w:val="20"/>
              </w:rPr>
              <w:t xml:space="preserve">2</w:t>
            </w:r>
          </w:p>
        </w:tc>
        <w:tc>
          <w:tcPr>
            <w:tcW w:w="2777" w:type="dxa"/>
          </w:tcPr>
          <w:p>
            <w:pPr>
              <w:pStyle w:val="0"/>
            </w:pPr>
            <w:r>
              <w:rPr>
                <w:sz w:val="20"/>
              </w:rPr>
            </w:r>
          </w:p>
        </w:tc>
      </w:tr>
      <w:tr>
        <w:tc>
          <w:tcPr>
            <w:tcW w:w="2097" w:type="dxa"/>
            <w:vMerge w:val="restart"/>
          </w:tcPr>
          <w:p>
            <w:pPr>
              <w:pStyle w:val="0"/>
            </w:pPr>
            <w:r>
              <w:rPr>
                <w:sz w:val="20"/>
              </w:rPr>
              <w:t xml:space="preserve">Задача 2 подпрограммы государственной программы. Стимулирование развития ипотечного кредитования</w:t>
            </w:r>
          </w:p>
        </w:tc>
        <w:tc>
          <w:tcPr>
            <w:tcW w:w="2721" w:type="dxa"/>
          </w:tcPr>
          <w:p>
            <w:pPr>
              <w:pStyle w:val="0"/>
            </w:pPr>
            <w:r>
              <w:rPr>
                <w:sz w:val="20"/>
              </w:rPr>
              <w:t xml:space="preserve">64) количество ипотечных кредитов (займов), выданных с льготной процентной ставкой</w:t>
            </w:r>
          </w:p>
        </w:tc>
        <w:tc>
          <w:tcPr>
            <w:tcW w:w="680" w:type="dxa"/>
          </w:tcPr>
          <w:p>
            <w:pPr>
              <w:pStyle w:val="0"/>
              <w:jc w:val="center"/>
            </w:pPr>
            <w:r>
              <w:rPr>
                <w:sz w:val="20"/>
              </w:rPr>
              <w:t xml:space="preserve">штук</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0</w:t>
            </w:r>
          </w:p>
        </w:tc>
        <w:tc>
          <w:tcPr>
            <w:tcW w:w="793" w:type="dxa"/>
          </w:tcPr>
          <w:p>
            <w:pPr>
              <w:pStyle w:val="0"/>
              <w:jc w:val="center"/>
            </w:pPr>
            <w:r>
              <w:rPr>
                <w:sz w:val="20"/>
              </w:rPr>
              <w:t xml:space="preserve">0</w:t>
            </w:r>
          </w:p>
        </w:tc>
        <w:tc>
          <w:tcPr>
            <w:tcW w:w="794" w:type="dxa"/>
          </w:tcPr>
          <w:p>
            <w:pPr>
              <w:pStyle w:val="0"/>
              <w:jc w:val="center"/>
            </w:pPr>
            <w:r>
              <w:rPr>
                <w:sz w:val="20"/>
              </w:rPr>
              <w:t xml:space="preserve">34</w:t>
            </w:r>
          </w:p>
        </w:tc>
        <w:tc>
          <w:tcPr>
            <w:tcW w:w="793" w:type="dxa"/>
          </w:tcPr>
          <w:p>
            <w:pPr>
              <w:pStyle w:val="0"/>
              <w:jc w:val="center"/>
            </w:pPr>
            <w:r>
              <w:rPr>
                <w:sz w:val="20"/>
              </w:rPr>
              <w:t xml:space="preserve">20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2777" w:type="dxa"/>
          </w:tcPr>
          <w:p>
            <w:pPr>
              <w:pStyle w:val="0"/>
            </w:pPr>
            <w:r>
              <w:rPr>
                <w:sz w:val="20"/>
              </w:rPr>
              <w:t xml:space="preserve">целевой индикатор введен с 2018 года, на 2017 год приведено базовое значение</w:t>
            </w:r>
          </w:p>
        </w:tc>
      </w:tr>
      <w:tr>
        <w:tc>
          <w:tcPr>
            <w:vMerge w:val="continue"/>
          </w:tcPr>
          <w:p/>
        </w:tc>
        <w:tc>
          <w:tcPr>
            <w:tcW w:w="2721" w:type="dxa"/>
          </w:tcPr>
          <w:p>
            <w:pPr>
              <w:pStyle w:val="0"/>
            </w:pPr>
            <w:r>
              <w:rPr>
                <w:sz w:val="20"/>
              </w:rPr>
              <w:t xml:space="preserve">65) количество работников бюджетной сферы, получивших субсидии при ипотечном кредитовании</w:t>
            </w:r>
          </w:p>
        </w:tc>
        <w:tc>
          <w:tcPr>
            <w:tcW w:w="680" w:type="dxa"/>
          </w:tcPr>
          <w:p>
            <w:pPr>
              <w:pStyle w:val="0"/>
              <w:jc w:val="center"/>
            </w:pPr>
            <w:r>
              <w:rPr>
                <w:sz w:val="20"/>
              </w:rPr>
              <w:t xml:space="preserve">чел.</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4" w:type="dxa"/>
          </w:tcPr>
          <w:p>
            <w:pPr>
              <w:pStyle w:val="0"/>
              <w:jc w:val="center"/>
            </w:pPr>
            <w:r>
              <w:rPr>
                <w:sz w:val="20"/>
              </w:rPr>
              <w:t xml:space="preserve">0</w:t>
            </w:r>
          </w:p>
        </w:tc>
        <w:tc>
          <w:tcPr>
            <w:tcW w:w="793" w:type="dxa"/>
          </w:tcPr>
          <w:p>
            <w:pPr>
              <w:pStyle w:val="0"/>
              <w:jc w:val="center"/>
            </w:pPr>
            <w:r>
              <w:rPr>
                <w:sz w:val="20"/>
              </w:rPr>
              <w:t xml:space="preserve">2</w:t>
            </w:r>
          </w:p>
        </w:tc>
        <w:tc>
          <w:tcPr>
            <w:tcW w:w="794" w:type="dxa"/>
          </w:tcPr>
          <w:p>
            <w:pPr>
              <w:pStyle w:val="0"/>
              <w:jc w:val="center"/>
            </w:pPr>
            <w:r>
              <w:rPr>
                <w:sz w:val="20"/>
              </w:rPr>
              <w:t xml:space="preserve">22</w:t>
            </w:r>
          </w:p>
        </w:tc>
        <w:tc>
          <w:tcPr>
            <w:tcW w:w="793" w:type="dxa"/>
          </w:tcPr>
          <w:p>
            <w:pPr>
              <w:pStyle w:val="0"/>
              <w:jc w:val="center"/>
            </w:pPr>
            <w:r>
              <w:rPr>
                <w:sz w:val="20"/>
              </w:rPr>
              <w:t xml:space="preserve">6</w:t>
            </w:r>
          </w:p>
        </w:tc>
        <w:tc>
          <w:tcPr>
            <w:tcW w:w="793" w:type="dxa"/>
          </w:tcPr>
          <w:p>
            <w:pPr>
              <w:pStyle w:val="0"/>
              <w:jc w:val="center"/>
            </w:pPr>
            <w:r>
              <w:rPr>
                <w:sz w:val="20"/>
              </w:rPr>
              <w:t xml:space="preserve">6</w:t>
            </w:r>
          </w:p>
        </w:tc>
        <w:tc>
          <w:tcPr>
            <w:tcW w:w="793" w:type="dxa"/>
          </w:tcPr>
          <w:p>
            <w:pPr>
              <w:pStyle w:val="0"/>
              <w:jc w:val="center"/>
            </w:pPr>
            <w:r>
              <w:rPr>
                <w:sz w:val="20"/>
              </w:rPr>
              <w:t xml:space="preserve">6</w:t>
            </w:r>
          </w:p>
        </w:tc>
        <w:tc>
          <w:tcPr>
            <w:tcW w:w="793" w:type="dxa"/>
          </w:tcPr>
          <w:p>
            <w:pPr>
              <w:pStyle w:val="0"/>
              <w:jc w:val="center"/>
            </w:pPr>
            <w:r>
              <w:rPr>
                <w:sz w:val="20"/>
              </w:rPr>
              <w:t xml:space="preserve">6</w:t>
            </w:r>
          </w:p>
        </w:tc>
        <w:tc>
          <w:tcPr>
            <w:tcW w:w="793" w:type="dxa"/>
          </w:tcPr>
          <w:p>
            <w:pPr>
              <w:pStyle w:val="0"/>
              <w:jc w:val="center"/>
            </w:pPr>
            <w:r>
              <w:rPr>
                <w:sz w:val="20"/>
              </w:rPr>
              <w:t xml:space="preserve">6</w:t>
            </w:r>
          </w:p>
        </w:tc>
        <w:tc>
          <w:tcPr>
            <w:tcW w:w="793" w:type="dxa"/>
          </w:tcPr>
          <w:p>
            <w:pPr>
              <w:pStyle w:val="0"/>
              <w:jc w:val="center"/>
            </w:pPr>
            <w:r>
              <w:rPr>
                <w:sz w:val="20"/>
              </w:rPr>
              <w:t xml:space="preserve">6</w:t>
            </w:r>
          </w:p>
        </w:tc>
        <w:tc>
          <w:tcPr>
            <w:tcW w:w="2777" w:type="dxa"/>
          </w:tcPr>
          <w:p>
            <w:pPr>
              <w:pStyle w:val="0"/>
            </w:pPr>
            <w:r>
              <w:rPr>
                <w:sz w:val="20"/>
              </w:rPr>
              <w:t xml:space="preserve">целевой индикатор введен с 2018 года, на 2017 год приведено базовое значение</w:t>
            </w:r>
          </w:p>
        </w:tc>
      </w:tr>
      <w:tr>
        <w:tc>
          <w:tcPr>
            <w:gridSpan w:val="16"/>
            <w:tcW w:w="17793" w:type="dxa"/>
          </w:tcPr>
          <w:p>
            <w:pPr>
              <w:pStyle w:val="0"/>
              <w:outlineLvl w:val="3"/>
              <w:jc w:val="center"/>
            </w:pPr>
            <w:r>
              <w:rPr>
                <w:sz w:val="20"/>
              </w:rPr>
              <w:t xml:space="preserve">Подпрограмма государственной 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w:t>
            </w:r>
          </w:p>
        </w:tc>
      </w:tr>
      <w:tr>
        <w:tc>
          <w:tcPr>
            <w:gridSpan w:val="16"/>
            <w:tcW w:w="17793" w:type="dxa"/>
          </w:tcPr>
          <w:p>
            <w:pPr>
              <w:pStyle w:val="0"/>
              <w:outlineLvl w:val="4"/>
              <w:jc w:val="center"/>
            </w:pPr>
            <w:r>
              <w:rPr>
                <w:sz w:val="20"/>
              </w:rPr>
              <w:t xml:space="preserve">Цель подпрограммы государственной программы: улучшение жилищных условий многодетных малообеспеченных семей</w:t>
            </w:r>
          </w:p>
        </w:tc>
      </w:tr>
      <w:tr>
        <w:tc>
          <w:tcPr>
            <w:tcW w:w="2097" w:type="dxa"/>
          </w:tcPr>
          <w:p>
            <w:pPr>
              <w:pStyle w:val="0"/>
            </w:pPr>
            <w:r>
              <w:rPr>
                <w:sz w:val="20"/>
              </w:rPr>
              <w:t xml:space="preserve">Задача 1 подпрограммы государственной программы. Обеспечение многодетных малообеспеченных семей, имеющих 5 и более детей, жилыми помещениями по договорам социального найма</w:t>
            </w:r>
          </w:p>
        </w:tc>
        <w:tc>
          <w:tcPr>
            <w:tcW w:w="2721" w:type="dxa"/>
          </w:tcPr>
          <w:p>
            <w:pPr>
              <w:pStyle w:val="0"/>
            </w:pPr>
            <w:r>
              <w:rPr>
                <w:sz w:val="20"/>
              </w:rPr>
              <w:t xml:space="preserve">66) количество многодетных малообеспеченных семей, обеспеченных жилыми помещениями в рамках подпрограммы</w:t>
            </w:r>
          </w:p>
        </w:tc>
        <w:tc>
          <w:tcPr>
            <w:tcW w:w="680" w:type="dxa"/>
          </w:tcPr>
          <w:p>
            <w:pPr>
              <w:pStyle w:val="0"/>
              <w:jc w:val="center"/>
            </w:pPr>
            <w:r>
              <w:rPr>
                <w:sz w:val="20"/>
              </w:rPr>
              <w:t xml:space="preserve">семья</w:t>
            </w:r>
          </w:p>
        </w:tc>
        <w:tc>
          <w:tcPr>
            <w:tcW w:w="793" w:type="dxa"/>
          </w:tcPr>
          <w:p>
            <w:pPr>
              <w:pStyle w:val="0"/>
              <w:jc w:val="center"/>
            </w:pPr>
            <w:r>
              <w:rPr>
                <w:sz w:val="20"/>
              </w:rPr>
              <w:t xml:space="preserve">5</w:t>
            </w:r>
          </w:p>
        </w:tc>
        <w:tc>
          <w:tcPr>
            <w:tcW w:w="793" w:type="dxa"/>
          </w:tcPr>
          <w:p>
            <w:pPr>
              <w:pStyle w:val="0"/>
              <w:jc w:val="center"/>
            </w:pPr>
            <w:r>
              <w:rPr>
                <w:sz w:val="20"/>
              </w:rPr>
              <w:t xml:space="preserve">10</w:t>
            </w:r>
          </w:p>
        </w:tc>
        <w:tc>
          <w:tcPr>
            <w:tcW w:w="793" w:type="dxa"/>
          </w:tcPr>
          <w:p>
            <w:pPr>
              <w:pStyle w:val="0"/>
              <w:jc w:val="center"/>
            </w:pPr>
            <w:r>
              <w:rPr>
                <w:sz w:val="20"/>
              </w:rPr>
              <w:t xml:space="preserve">4</w:t>
            </w:r>
          </w:p>
        </w:tc>
        <w:tc>
          <w:tcPr>
            <w:tcW w:w="794" w:type="dxa"/>
          </w:tcPr>
          <w:p>
            <w:pPr>
              <w:pStyle w:val="0"/>
              <w:jc w:val="center"/>
            </w:pPr>
            <w:r>
              <w:rPr>
                <w:sz w:val="20"/>
              </w:rPr>
              <w:t xml:space="preserve">25</w:t>
            </w:r>
          </w:p>
        </w:tc>
        <w:tc>
          <w:tcPr>
            <w:tcW w:w="793" w:type="dxa"/>
          </w:tcPr>
          <w:p>
            <w:pPr>
              <w:pStyle w:val="0"/>
              <w:jc w:val="center"/>
            </w:pPr>
            <w:r>
              <w:rPr>
                <w:sz w:val="20"/>
              </w:rPr>
              <w:t xml:space="preserve">19</w:t>
            </w:r>
          </w:p>
        </w:tc>
        <w:tc>
          <w:tcPr>
            <w:tcW w:w="794" w:type="dxa"/>
          </w:tcPr>
          <w:p>
            <w:pPr>
              <w:pStyle w:val="0"/>
              <w:jc w:val="center"/>
            </w:pPr>
            <w:r>
              <w:rPr>
                <w:sz w:val="20"/>
              </w:rPr>
              <w:t xml:space="preserve">8</w:t>
            </w:r>
          </w:p>
        </w:tc>
        <w:tc>
          <w:tcPr>
            <w:tcW w:w="793" w:type="dxa"/>
          </w:tcPr>
          <w:p>
            <w:pPr>
              <w:pStyle w:val="0"/>
              <w:jc w:val="center"/>
            </w:pPr>
            <w:r>
              <w:rPr>
                <w:sz w:val="20"/>
              </w:rPr>
              <w:t xml:space="preserve">5</w:t>
            </w:r>
          </w:p>
        </w:tc>
        <w:tc>
          <w:tcPr>
            <w:tcW w:w="793" w:type="dxa"/>
          </w:tcPr>
          <w:p>
            <w:pPr>
              <w:pStyle w:val="0"/>
              <w:jc w:val="center"/>
            </w:pPr>
            <w:r>
              <w:rPr>
                <w:sz w:val="20"/>
              </w:rPr>
              <w:t xml:space="preserve">8</w:t>
            </w:r>
          </w:p>
        </w:tc>
        <w:tc>
          <w:tcPr>
            <w:tcW w:w="793" w:type="dxa"/>
          </w:tcPr>
          <w:p>
            <w:pPr>
              <w:pStyle w:val="0"/>
              <w:jc w:val="center"/>
            </w:pPr>
            <w:r>
              <w:rPr>
                <w:sz w:val="20"/>
              </w:rPr>
              <w:t xml:space="preserve">13</w:t>
            </w:r>
          </w:p>
        </w:tc>
        <w:tc>
          <w:tcPr>
            <w:tcW w:w="793" w:type="dxa"/>
          </w:tcPr>
          <w:p>
            <w:pPr>
              <w:pStyle w:val="0"/>
              <w:jc w:val="center"/>
            </w:pPr>
            <w:r>
              <w:rPr>
                <w:sz w:val="20"/>
              </w:rPr>
              <w:t xml:space="preserve">6</w:t>
            </w:r>
          </w:p>
        </w:tc>
        <w:tc>
          <w:tcPr>
            <w:tcW w:w="793" w:type="dxa"/>
          </w:tcPr>
          <w:p>
            <w:pPr>
              <w:pStyle w:val="0"/>
              <w:jc w:val="center"/>
            </w:pPr>
            <w:r>
              <w:rPr>
                <w:sz w:val="20"/>
              </w:rPr>
              <w:t xml:space="preserve">13</w:t>
            </w:r>
          </w:p>
        </w:tc>
        <w:tc>
          <w:tcPr>
            <w:tcW w:w="793" w:type="dxa"/>
          </w:tcPr>
          <w:p>
            <w:pPr>
              <w:pStyle w:val="0"/>
              <w:jc w:val="center"/>
            </w:pPr>
            <w:r>
              <w:rPr>
                <w:sz w:val="20"/>
              </w:rPr>
              <w:t xml:space="preserve">13</w:t>
            </w:r>
          </w:p>
        </w:tc>
        <w:tc>
          <w:tcPr>
            <w:tcW w:w="2777" w:type="dxa"/>
          </w:tcPr>
          <w:p>
            <w:pPr>
              <w:pStyle w:val="0"/>
            </w:pPr>
            <w:r>
              <w:rPr>
                <w:sz w:val="20"/>
              </w:rPr>
            </w:r>
          </w:p>
        </w:tc>
      </w:tr>
      <w:tr>
        <w:tc>
          <w:tcPr>
            <w:gridSpan w:val="16"/>
            <w:tcW w:w="17793" w:type="dxa"/>
          </w:tcPr>
          <w:p>
            <w:pPr>
              <w:pStyle w:val="0"/>
              <w:outlineLvl w:val="3"/>
              <w:jc w:val="center"/>
            </w:pPr>
            <w:r>
              <w:rPr>
                <w:sz w:val="20"/>
              </w:rPr>
              <w:t xml:space="preserve">Подпрограмма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r>
      <w:tr>
        <w:tc>
          <w:tcPr>
            <w:gridSpan w:val="16"/>
            <w:tcW w:w="17793" w:type="dxa"/>
          </w:tcPr>
          <w:p>
            <w:pPr>
              <w:pStyle w:val="0"/>
              <w:outlineLvl w:val="4"/>
              <w:jc w:val="center"/>
            </w:pPr>
            <w:r>
              <w:rPr>
                <w:sz w:val="20"/>
              </w:rPr>
              <w:t xml:space="preserve">Цель подпрограммы государственной программы: закрепление кадров за счет улучшения жилищных условий отдельных категорий граждан, проживающих на территории Новосибирской области</w:t>
            </w:r>
          </w:p>
        </w:tc>
      </w:tr>
      <w:tr>
        <w:tc>
          <w:tcPr>
            <w:tcW w:w="2097" w:type="dxa"/>
          </w:tcPr>
          <w:p>
            <w:pPr>
              <w:pStyle w:val="0"/>
            </w:pPr>
            <w:r>
              <w:rPr>
                <w:sz w:val="20"/>
              </w:rPr>
              <w:t xml:space="preserve">Задача 1 подпрограммы государственной программы. Обеспечение отдельных категорий граждан, проживающих и работающих на территории Новосибирской области, служебным жильем</w:t>
            </w:r>
          </w:p>
        </w:tc>
        <w:tc>
          <w:tcPr>
            <w:tcW w:w="2721" w:type="dxa"/>
          </w:tcPr>
          <w:p>
            <w:pPr>
              <w:pStyle w:val="0"/>
            </w:pPr>
            <w:r>
              <w:rPr>
                <w:sz w:val="20"/>
              </w:rPr>
              <w:t xml:space="preserve">67) количество квартир, построенных (приобретенных на первичном рынке) для предоставления отдельным категориям граждан, проживающих и работающих на территории Новосибирской области, в качестве служебного жилья</w:t>
            </w:r>
          </w:p>
        </w:tc>
        <w:tc>
          <w:tcPr>
            <w:tcW w:w="680" w:type="dxa"/>
          </w:tcPr>
          <w:p>
            <w:pPr>
              <w:pStyle w:val="0"/>
              <w:jc w:val="center"/>
            </w:pPr>
            <w:r>
              <w:rPr>
                <w:sz w:val="20"/>
              </w:rPr>
              <w:t xml:space="preserve">квартира</w:t>
            </w:r>
          </w:p>
        </w:tc>
        <w:tc>
          <w:tcPr>
            <w:tcW w:w="793" w:type="dxa"/>
          </w:tcPr>
          <w:p>
            <w:pPr>
              <w:pStyle w:val="0"/>
              <w:jc w:val="center"/>
            </w:pPr>
            <w:r>
              <w:rPr>
                <w:sz w:val="20"/>
              </w:rPr>
              <w:t xml:space="preserve">3</w:t>
            </w:r>
          </w:p>
        </w:tc>
        <w:tc>
          <w:tcPr>
            <w:tcW w:w="793" w:type="dxa"/>
          </w:tcPr>
          <w:p>
            <w:pPr>
              <w:pStyle w:val="0"/>
              <w:jc w:val="center"/>
            </w:pPr>
            <w:r>
              <w:rPr>
                <w:sz w:val="20"/>
              </w:rPr>
              <w:t xml:space="preserve">3</w:t>
            </w:r>
          </w:p>
        </w:tc>
        <w:tc>
          <w:tcPr>
            <w:tcW w:w="793" w:type="dxa"/>
          </w:tcPr>
          <w:p>
            <w:pPr>
              <w:pStyle w:val="0"/>
              <w:jc w:val="center"/>
            </w:pPr>
            <w:r>
              <w:rPr>
                <w:sz w:val="20"/>
              </w:rPr>
              <w:t xml:space="preserve">0</w:t>
            </w:r>
          </w:p>
        </w:tc>
        <w:tc>
          <w:tcPr>
            <w:tcW w:w="794" w:type="dxa"/>
          </w:tcPr>
          <w:p>
            <w:pPr>
              <w:pStyle w:val="0"/>
              <w:jc w:val="center"/>
            </w:pPr>
            <w:r>
              <w:rPr>
                <w:sz w:val="20"/>
              </w:rPr>
              <w:t xml:space="preserve">0</w:t>
            </w:r>
          </w:p>
        </w:tc>
        <w:tc>
          <w:tcPr>
            <w:tcW w:w="793" w:type="dxa"/>
          </w:tcPr>
          <w:p>
            <w:pPr>
              <w:pStyle w:val="0"/>
              <w:jc w:val="center"/>
            </w:pPr>
            <w:r>
              <w:rPr>
                <w:sz w:val="20"/>
              </w:rPr>
              <w:t xml:space="preserve">0</w:t>
            </w:r>
          </w:p>
        </w:tc>
        <w:tc>
          <w:tcPr>
            <w:tcW w:w="794" w:type="dxa"/>
          </w:tcPr>
          <w:p>
            <w:pPr>
              <w:pStyle w:val="0"/>
              <w:jc w:val="center"/>
            </w:pPr>
            <w:r>
              <w:rPr>
                <w:sz w:val="20"/>
              </w:rPr>
              <w:t xml:space="preserve">100</w:t>
            </w:r>
          </w:p>
        </w:tc>
        <w:tc>
          <w:tcPr>
            <w:tcW w:w="793" w:type="dxa"/>
          </w:tcPr>
          <w:p>
            <w:pPr>
              <w:pStyle w:val="0"/>
              <w:jc w:val="center"/>
            </w:pPr>
            <w:r>
              <w:rPr>
                <w:sz w:val="20"/>
              </w:rPr>
              <w:t xml:space="preserve">0</w:t>
            </w:r>
          </w:p>
        </w:tc>
        <w:tc>
          <w:tcPr>
            <w:tcW w:w="793" w:type="dxa"/>
          </w:tcPr>
          <w:p>
            <w:pPr>
              <w:pStyle w:val="0"/>
              <w:jc w:val="center"/>
            </w:pPr>
            <w:r>
              <w:rPr>
                <w:sz w:val="20"/>
              </w:rPr>
              <w:t xml:space="preserve">60</w:t>
            </w:r>
          </w:p>
        </w:tc>
        <w:tc>
          <w:tcPr>
            <w:tcW w:w="793" w:type="dxa"/>
          </w:tcPr>
          <w:p>
            <w:pPr>
              <w:pStyle w:val="0"/>
              <w:jc w:val="center"/>
            </w:pPr>
            <w:r>
              <w:rPr>
                <w:sz w:val="20"/>
              </w:rPr>
              <w:t xml:space="preserve">175</w:t>
            </w:r>
          </w:p>
        </w:tc>
        <w:tc>
          <w:tcPr>
            <w:tcW w:w="793" w:type="dxa"/>
          </w:tcPr>
          <w:p>
            <w:pPr>
              <w:pStyle w:val="0"/>
              <w:jc w:val="center"/>
            </w:pPr>
            <w:r>
              <w:rPr>
                <w:sz w:val="20"/>
              </w:rPr>
              <w:t xml:space="preserve">219</w:t>
            </w:r>
          </w:p>
        </w:tc>
        <w:tc>
          <w:tcPr>
            <w:tcW w:w="793" w:type="dxa"/>
          </w:tcPr>
          <w:p>
            <w:pPr>
              <w:pStyle w:val="0"/>
              <w:jc w:val="center"/>
            </w:pPr>
            <w:r>
              <w:rPr>
                <w:sz w:val="20"/>
              </w:rPr>
              <w:t xml:space="preserve">108</w:t>
            </w:r>
          </w:p>
        </w:tc>
        <w:tc>
          <w:tcPr>
            <w:tcW w:w="793" w:type="dxa"/>
          </w:tcPr>
          <w:p>
            <w:pPr>
              <w:pStyle w:val="0"/>
              <w:jc w:val="center"/>
            </w:pPr>
            <w:r>
              <w:rPr>
                <w:sz w:val="20"/>
              </w:rPr>
              <w:t xml:space="preserve">106</w:t>
            </w:r>
          </w:p>
        </w:tc>
        <w:tc>
          <w:tcPr>
            <w:tcW w:w="2777" w:type="dxa"/>
          </w:tcPr>
          <w:p>
            <w:pPr>
              <w:pStyle w:val="0"/>
            </w:pPr>
            <w:r>
              <w:rPr>
                <w:sz w:val="20"/>
              </w:rPr>
              <w:t xml:space="preserve">приобретение квартир для предоставления в качестве служебного жилья</w:t>
            </w:r>
          </w:p>
        </w:tc>
      </w:tr>
      <w:tr>
        <w:tc>
          <w:tcPr>
            <w:gridSpan w:val="16"/>
            <w:tcW w:w="17793" w:type="dxa"/>
          </w:tcPr>
          <w:p>
            <w:pPr>
              <w:pStyle w:val="0"/>
              <w:outlineLvl w:val="3"/>
              <w:jc w:val="center"/>
            </w:pPr>
            <w:r>
              <w:rPr>
                <w:sz w:val="20"/>
              </w:rPr>
              <w:t xml:space="preserve">Подпрограмма государственной программы "Государственная поддержка муниципальных образований Новосибирской области при строительстве специализированного жилищного фонда"</w:t>
            </w:r>
          </w:p>
        </w:tc>
      </w:tr>
      <w:tr>
        <w:tc>
          <w:tcPr>
            <w:gridSpan w:val="16"/>
            <w:tcW w:w="17793" w:type="dxa"/>
          </w:tcPr>
          <w:p>
            <w:pPr>
              <w:pStyle w:val="0"/>
              <w:outlineLvl w:val="4"/>
              <w:jc w:val="center"/>
            </w:pPr>
            <w:r>
              <w:rPr>
                <w:sz w:val="20"/>
              </w:rPr>
              <w:t xml:space="preserve">Цель подпрограммы государственной программы: создание специализированного жилищного фонда для предоставления отдельным категориям граждан</w:t>
            </w:r>
          </w:p>
        </w:tc>
      </w:tr>
      <w:tr>
        <w:tc>
          <w:tcPr>
            <w:tcW w:w="2097" w:type="dxa"/>
          </w:tcPr>
          <w:p>
            <w:pPr>
              <w:pStyle w:val="0"/>
            </w:pPr>
            <w:r>
              <w:rPr>
                <w:sz w:val="20"/>
              </w:rPr>
              <w:t xml:space="preserve">Задача 1 подпрограммы государственной программы. Стимулирование строительства специализированного жилищного фонда для предоставления отдельным категориям граждан</w:t>
            </w:r>
          </w:p>
        </w:tc>
        <w:tc>
          <w:tcPr>
            <w:tcW w:w="2721" w:type="dxa"/>
          </w:tcPr>
          <w:p>
            <w:pPr>
              <w:pStyle w:val="0"/>
            </w:pPr>
            <w:r>
              <w:rPr>
                <w:sz w:val="20"/>
              </w:rPr>
              <w:t xml:space="preserve">68) количество жилых помещений специализированного жилищного фонда, построенных для предоставления отдельным категориям граждан</w:t>
            </w:r>
          </w:p>
        </w:tc>
        <w:tc>
          <w:tcPr>
            <w:tcW w:w="680" w:type="dxa"/>
          </w:tcPr>
          <w:p>
            <w:pPr>
              <w:pStyle w:val="0"/>
              <w:jc w:val="center"/>
            </w:pPr>
            <w:r>
              <w:rPr>
                <w:sz w:val="20"/>
              </w:rPr>
              <w:t xml:space="preserve">квартира</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163</w:t>
            </w:r>
          </w:p>
        </w:tc>
        <w:tc>
          <w:tcPr>
            <w:tcW w:w="793" w:type="dxa"/>
          </w:tcPr>
          <w:p>
            <w:pPr>
              <w:pStyle w:val="0"/>
              <w:jc w:val="center"/>
            </w:pPr>
            <w:r>
              <w:rPr>
                <w:sz w:val="20"/>
              </w:rPr>
              <w:t xml:space="preserve">393</w:t>
            </w:r>
          </w:p>
        </w:tc>
        <w:tc>
          <w:tcPr>
            <w:tcW w:w="793" w:type="dxa"/>
          </w:tcPr>
          <w:p>
            <w:pPr>
              <w:pStyle w:val="0"/>
              <w:jc w:val="center"/>
            </w:pPr>
            <w:r>
              <w:rPr>
                <w:sz w:val="20"/>
              </w:rPr>
              <w:t xml:space="preserve">547</w:t>
            </w:r>
          </w:p>
        </w:tc>
        <w:tc>
          <w:tcPr>
            <w:tcW w:w="793" w:type="dxa"/>
          </w:tcPr>
          <w:p>
            <w:pPr>
              <w:pStyle w:val="0"/>
              <w:jc w:val="center"/>
            </w:pPr>
            <w:r>
              <w:rPr>
                <w:sz w:val="20"/>
              </w:rPr>
              <w:t xml:space="preserve">477</w:t>
            </w:r>
          </w:p>
        </w:tc>
        <w:tc>
          <w:tcPr>
            <w:tcW w:w="793" w:type="dxa"/>
          </w:tcPr>
          <w:p>
            <w:pPr>
              <w:pStyle w:val="0"/>
              <w:jc w:val="center"/>
            </w:pPr>
            <w:r>
              <w:rPr>
                <w:sz w:val="20"/>
              </w:rPr>
              <w:t xml:space="preserve">447</w:t>
            </w:r>
          </w:p>
        </w:tc>
        <w:tc>
          <w:tcPr>
            <w:tcW w:w="2777" w:type="dxa"/>
          </w:tcPr>
          <w:p>
            <w:pPr>
              <w:pStyle w:val="0"/>
            </w:pPr>
            <w:r>
              <w:rPr>
                <w:sz w:val="20"/>
              </w:rPr>
              <w:t xml:space="preserve">целевой индикатор введен с 2021 года, на 2020 год приведено базовое значение</w:t>
            </w:r>
          </w:p>
        </w:tc>
      </w:tr>
      <w:tr>
        <w:tc>
          <w:tcPr>
            <w:gridSpan w:val="16"/>
            <w:tcW w:w="17793" w:type="dxa"/>
          </w:tcPr>
          <w:p>
            <w:pPr>
              <w:pStyle w:val="0"/>
              <w:outlineLvl w:val="3"/>
              <w:jc w:val="center"/>
            </w:pPr>
            <w:r>
              <w:rPr>
                <w:sz w:val="20"/>
              </w:rPr>
              <w:t xml:space="preserve">Подпрограмма государственной программы "Государственная поддержка отдельных категорий работников бюджетной сферы при ипотечном жилищном кредитовании"</w:t>
            </w:r>
          </w:p>
        </w:tc>
      </w:tr>
      <w:tr>
        <w:tc>
          <w:tcPr>
            <w:gridSpan w:val="16"/>
            <w:tcW w:w="17793" w:type="dxa"/>
          </w:tcPr>
          <w:p>
            <w:pPr>
              <w:pStyle w:val="0"/>
              <w:outlineLvl w:val="4"/>
              <w:jc w:val="center"/>
            </w:pPr>
            <w:r>
              <w:rPr>
                <w:sz w:val="20"/>
              </w:rPr>
              <w:t xml:space="preserve">Цель подпрограммы государственной программы: повышение доступности жилья для молодых специалистов бюджетной сферы</w:t>
            </w:r>
          </w:p>
        </w:tc>
      </w:tr>
      <w:tr>
        <w:tc>
          <w:tcPr>
            <w:tcW w:w="2097" w:type="dxa"/>
          </w:tcPr>
          <w:p>
            <w:pPr>
              <w:pStyle w:val="0"/>
            </w:pPr>
            <w:r>
              <w:rPr>
                <w:sz w:val="20"/>
              </w:rPr>
              <w:t xml:space="preserve">Задача 1 подпрограммы государственной программы. Поддержка платежеспособного спроса на приобретение жилья путем предоставления работникам бюджетной сферы субсидий при ипотечном жилищном кредитовании</w:t>
            </w:r>
          </w:p>
        </w:tc>
        <w:tc>
          <w:tcPr>
            <w:tcW w:w="2721" w:type="dxa"/>
          </w:tcPr>
          <w:p>
            <w:pPr>
              <w:pStyle w:val="0"/>
            </w:pPr>
            <w:r>
              <w:rPr>
                <w:sz w:val="20"/>
              </w:rPr>
              <w:t xml:space="preserve">69) количество граждан - отдельных категорий работников бюджетной сферы, получивших государственную поддержку в рамках подпрограммы</w:t>
            </w:r>
          </w:p>
        </w:tc>
        <w:tc>
          <w:tcPr>
            <w:tcW w:w="680" w:type="dxa"/>
          </w:tcPr>
          <w:p>
            <w:pPr>
              <w:pStyle w:val="0"/>
              <w:jc w:val="center"/>
            </w:pPr>
            <w:r>
              <w:rPr>
                <w:sz w:val="20"/>
              </w:rPr>
              <w:t xml:space="preserve">чел.</w:t>
            </w:r>
          </w:p>
        </w:tc>
        <w:tc>
          <w:tcPr>
            <w:tcW w:w="793" w:type="dxa"/>
          </w:tcPr>
          <w:p>
            <w:pPr>
              <w:pStyle w:val="0"/>
              <w:jc w:val="center"/>
            </w:pPr>
            <w:r>
              <w:rPr>
                <w:sz w:val="20"/>
              </w:rPr>
              <w:t xml:space="preserve">220</w:t>
            </w:r>
          </w:p>
        </w:tc>
        <w:tc>
          <w:tcPr>
            <w:tcW w:w="793" w:type="dxa"/>
          </w:tcPr>
          <w:p>
            <w:pPr>
              <w:pStyle w:val="0"/>
              <w:jc w:val="center"/>
            </w:pPr>
            <w:r>
              <w:rPr>
                <w:sz w:val="20"/>
              </w:rPr>
              <w:t xml:space="preserve">25</w:t>
            </w:r>
          </w:p>
        </w:tc>
        <w:tc>
          <w:tcPr>
            <w:tcW w:w="793" w:type="dxa"/>
          </w:tcPr>
          <w:p>
            <w:pPr>
              <w:pStyle w:val="0"/>
              <w:jc w:val="center"/>
            </w:pPr>
            <w:r>
              <w:rPr>
                <w:sz w:val="20"/>
              </w:rPr>
              <w:t xml:space="preserve">26</w:t>
            </w:r>
          </w:p>
        </w:tc>
        <w:tc>
          <w:tcPr>
            <w:tcW w:w="794" w:type="dxa"/>
          </w:tcPr>
          <w:p>
            <w:pPr>
              <w:pStyle w:val="0"/>
              <w:jc w:val="center"/>
            </w:pPr>
            <w:r>
              <w:rPr>
                <w:sz w:val="20"/>
              </w:rPr>
              <w:t xml:space="preserve">30</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за период реализации подпрограммы оказана поддержка 81 гражданину.</w:t>
            </w:r>
          </w:p>
          <w:p>
            <w:pPr>
              <w:pStyle w:val="0"/>
            </w:pPr>
            <w:r>
              <w:rPr>
                <w:sz w:val="20"/>
              </w:rPr>
              <w:t xml:space="preserve">С 2018 года господдержка работников бюджетной сферы осуществляется в рамках подпрограммы "Государственная поддержка граждан при приобретении (строительстве) жилья и стимулирование развития ипотечного кредитования"</w:t>
            </w:r>
          </w:p>
        </w:tc>
      </w:tr>
      <w:tr>
        <w:tc>
          <w:tcPr>
            <w:gridSpan w:val="16"/>
            <w:tcW w:w="17793" w:type="dxa"/>
          </w:tcPr>
          <w:p>
            <w:pPr>
              <w:pStyle w:val="0"/>
              <w:outlineLvl w:val="3"/>
              <w:jc w:val="center"/>
            </w:pPr>
            <w:r>
              <w:rPr>
                <w:sz w:val="20"/>
              </w:rPr>
              <w:t xml:space="preserve">Подпрограмма государственной программы "Государственная поддержка отдельных категорий граждан, являющихся нанимателями по договорам коммерческого найма жилых помещений"</w:t>
            </w:r>
          </w:p>
        </w:tc>
      </w:tr>
      <w:tr>
        <w:tc>
          <w:tcPr>
            <w:gridSpan w:val="16"/>
            <w:tcW w:w="17793" w:type="dxa"/>
          </w:tcPr>
          <w:p>
            <w:pPr>
              <w:pStyle w:val="0"/>
              <w:outlineLvl w:val="4"/>
              <w:jc w:val="center"/>
            </w:pPr>
            <w:r>
              <w:rPr>
                <w:sz w:val="20"/>
              </w:rPr>
              <w:t xml:space="preserve">Цель подпрограммы государственной программы: создание условий для повышения доступности жилья для отдельных категорий граждан путем предоставления жилых помещений по договорам коммерческого найма</w:t>
            </w:r>
          </w:p>
        </w:tc>
      </w:tr>
      <w:tr>
        <w:tc>
          <w:tcPr>
            <w:tcW w:w="2097" w:type="dxa"/>
          </w:tcPr>
          <w:p>
            <w:pPr>
              <w:pStyle w:val="0"/>
            </w:pPr>
            <w:r>
              <w:rPr>
                <w:sz w:val="20"/>
              </w:rPr>
              <w:t xml:space="preserve">Задача 1 подпрограммы государственной программы. Создание условий для обеспечения граждан отдельных категорий жильем по договорам коммерческого найма</w:t>
            </w:r>
          </w:p>
        </w:tc>
        <w:tc>
          <w:tcPr>
            <w:tcW w:w="2721" w:type="dxa"/>
          </w:tcPr>
          <w:p>
            <w:pPr>
              <w:pStyle w:val="0"/>
            </w:pPr>
            <w:r>
              <w:rPr>
                <w:sz w:val="20"/>
              </w:rPr>
              <w:t xml:space="preserve">70) количество граждан, получающих государственную поддержку в рамках подпрограммы</w:t>
            </w:r>
          </w:p>
        </w:tc>
        <w:tc>
          <w:tcPr>
            <w:tcW w:w="680" w:type="dxa"/>
          </w:tcPr>
          <w:p>
            <w:pPr>
              <w:pStyle w:val="0"/>
              <w:jc w:val="center"/>
            </w:pPr>
            <w:r>
              <w:rPr>
                <w:sz w:val="20"/>
              </w:rPr>
              <w:t xml:space="preserve">чел.</w:t>
            </w:r>
          </w:p>
        </w:tc>
        <w:tc>
          <w:tcPr>
            <w:tcW w:w="793" w:type="dxa"/>
          </w:tcPr>
          <w:p>
            <w:pPr>
              <w:pStyle w:val="0"/>
              <w:jc w:val="center"/>
            </w:pPr>
            <w:r>
              <w:rPr>
                <w:sz w:val="20"/>
              </w:rPr>
              <w:t xml:space="preserve">330</w:t>
            </w:r>
          </w:p>
        </w:tc>
        <w:tc>
          <w:tcPr>
            <w:tcW w:w="793" w:type="dxa"/>
          </w:tcPr>
          <w:p>
            <w:pPr>
              <w:pStyle w:val="0"/>
              <w:jc w:val="center"/>
            </w:pPr>
            <w:r>
              <w:rPr>
                <w:sz w:val="20"/>
              </w:rPr>
              <w:t xml:space="preserve">80</w:t>
            </w:r>
          </w:p>
        </w:tc>
        <w:tc>
          <w:tcPr>
            <w:tcW w:w="793" w:type="dxa"/>
          </w:tcPr>
          <w:p>
            <w:pPr>
              <w:pStyle w:val="0"/>
              <w:jc w:val="center"/>
            </w:pPr>
            <w:r>
              <w:rPr>
                <w:sz w:val="20"/>
              </w:rPr>
              <w:t xml:space="preserve">80</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в результате реализации подпрограммы предоставляются субсидии 80 гражданам на компенсацию части платежей по договорам коммерческого найма.</w:t>
            </w:r>
          </w:p>
          <w:p>
            <w:pPr>
              <w:pStyle w:val="0"/>
            </w:pPr>
            <w:r>
              <w:rPr>
                <w:sz w:val="20"/>
              </w:rPr>
              <w:t xml:space="preserve">С 2017 года реализуется в рамках подпрограммы "Развитие рынка наемного жилья"</w:t>
            </w:r>
          </w:p>
        </w:tc>
      </w:tr>
      <w:tr>
        <w:tc>
          <w:tcPr>
            <w:gridSpan w:val="16"/>
            <w:tcW w:w="17793" w:type="dxa"/>
          </w:tcPr>
          <w:p>
            <w:pPr>
              <w:pStyle w:val="0"/>
              <w:outlineLvl w:val="3"/>
              <w:jc w:val="center"/>
            </w:pPr>
            <w:r>
              <w:rPr>
                <w:sz w:val="20"/>
              </w:rPr>
              <w:t xml:space="preserve">Подпрограмма государственной программы "Развитие рынка наемного жилья"</w:t>
            </w:r>
          </w:p>
        </w:tc>
      </w:tr>
      <w:tr>
        <w:tc>
          <w:tcPr>
            <w:gridSpan w:val="16"/>
            <w:tcW w:w="17793" w:type="dxa"/>
          </w:tcPr>
          <w:p>
            <w:pPr>
              <w:pStyle w:val="0"/>
              <w:outlineLvl w:val="4"/>
              <w:jc w:val="center"/>
            </w:pPr>
            <w:r>
              <w:rPr>
                <w:sz w:val="20"/>
              </w:rPr>
              <w:t xml:space="preserve">Цель подпрограммы государственной программы: развитие рынка наемного жилья на территории Новосибирской области</w:t>
            </w:r>
          </w:p>
        </w:tc>
      </w:tr>
      <w:tr>
        <w:tc>
          <w:tcPr>
            <w:tcW w:w="2097" w:type="dxa"/>
            <w:vMerge w:val="restart"/>
          </w:tcPr>
          <w:p>
            <w:pPr>
              <w:pStyle w:val="0"/>
            </w:pPr>
            <w:r>
              <w:rPr>
                <w:sz w:val="20"/>
              </w:rPr>
              <w:t xml:space="preserve">Задача 1 подпрограммы государственной программы. Создание условий для строительства наемного жилья социального и коммерческого использования</w:t>
            </w:r>
          </w:p>
        </w:tc>
        <w:tc>
          <w:tcPr>
            <w:tcW w:w="2721" w:type="dxa"/>
          </w:tcPr>
          <w:p>
            <w:pPr>
              <w:pStyle w:val="0"/>
            </w:pPr>
            <w:r>
              <w:rPr>
                <w:sz w:val="20"/>
              </w:rPr>
              <w:t xml:space="preserve">71) площадь земельных участков, планируемых в целях строительства наемного жилья коммерческого или социального использования</w:t>
            </w:r>
          </w:p>
        </w:tc>
        <w:tc>
          <w:tcPr>
            <w:tcW w:w="680" w:type="dxa"/>
          </w:tcPr>
          <w:p>
            <w:pPr>
              <w:pStyle w:val="0"/>
              <w:jc w:val="center"/>
            </w:pPr>
            <w:r>
              <w:rPr>
                <w:sz w:val="20"/>
              </w:rPr>
              <w:t xml:space="preserve">га</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0</w:t>
            </w:r>
          </w:p>
        </w:tc>
        <w:tc>
          <w:tcPr>
            <w:tcW w:w="793" w:type="dxa"/>
          </w:tcPr>
          <w:p>
            <w:pPr>
              <w:pStyle w:val="0"/>
              <w:jc w:val="center"/>
            </w:pPr>
            <w:r>
              <w:rPr>
                <w:sz w:val="20"/>
              </w:rPr>
              <w:t xml:space="preserve">9,5</w:t>
            </w:r>
          </w:p>
        </w:tc>
        <w:tc>
          <w:tcPr>
            <w:tcW w:w="794" w:type="dxa"/>
          </w:tcPr>
          <w:p>
            <w:pPr>
              <w:pStyle w:val="0"/>
              <w:jc w:val="center"/>
            </w:pPr>
            <w:r>
              <w:rPr>
                <w:sz w:val="20"/>
              </w:rPr>
              <w:t xml:space="preserve">4,0</w:t>
            </w:r>
          </w:p>
        </w:tc>
        <w:tc>
          <w:tcPr>
            <w:tcW w:w="793" w:type="dxa"/>
          </w:tcPr>
          <w:p>
            <w:pPr>
              <w:pStyle w:val="0"/>
              <w:jc w:val="center"/>
            </w:pPr>
            <w:r>
              <w:rPr>
                <w:sz w:val="20"/>
              </w:rPr>
              <w:t xml:space="preserve">1,5</w:t>
            </w:r>
          </w:p>
        </w:tc>
        <w:tc>
          <w:tcPr>
            <w:tcW w:w="793" w:type="dxa"/>
          </w:tcPr>
          <w:p>
            <w:pPr>
              <w:pStyle w:val="0"/>
              <w:jc w:val="center"/>
            </w:pPr>
            <w:r>
              <w:rPr>
                <w:sz w:val="20"/>
              </w:rPr>
              <w:t xml:space="preserve">4,0</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целевой индикатор введен с 2018 года, на 2017 год приведено базовое значение</w:t>
            </w:r>
          </w:p>
        </w:tc>
      </w:tr>
      <w:tr>
        <w:tc>
          <w:tcPr>
            <w:vMerge w:val="continue"/>
          </w:tcPr>
          <w:p/>
        </w:tc>
        <w:tc>
          <w:tcPr>
            <w:tcW w:w="2721" w:type="dxa"/>
          </w:tcPr>
          <w:p>
            <w:pPr>
              <w:pStyle w:val="0"/>
            </w:pPr>
            <w:r>
              <w:rPr>
                <w:sz w:val="20"/>
              </w:rPr>
              <w:t xml:space="preserve">72) общая площадь построенного наемного жилья социального использования</w:t>
            </w:r>
          </w:p>
        </w:tc>
        <w:tc>
          <w:tcPr>
            <w:tcW w:w="680" w:type="dxa"/>
          </w:tcPr>
          <w:p>
            <w:pPr>
              <w:pStyle w:val="0"/>
              <w:jc w:val="center"/>
            </w:pPr>
            <w:r>
              <w:rPr>
                <w:sz w:val="20"/>
              </w:rPr>
              <w:t xml:space="preserve">тыс. кв.</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3,0</w:t>
            </w:r>
          </w:p>
        </w:tc>
        <w:tc>
          <w:tcPr>
            <w:tcW w:w="793" w:type="dxa"/>
          </w:tcPr>
          <w:p>
            <w:pPr>
              <w:pStyle w:val="0"/>
              <w:jc w:val="center"/>
            </w:pPr>
            <w:r>
              <w:rPr>
                <w:sz w:val="20"/>
              </w:rPr>
              <w:t xml:space="preserve">0,8</w:t>
            </w:r>
          </w:p>
        </w:tc>
        <w:tc>
          <w:tcPr>
            <w:tcW w:w="793" w:type="dxa"/>
          </w:tcPr>
          <w:p>
            <w:pPr>
              <w:pStyle w:val="0"/>
              <w:jc w:val="center"/>
            </w:pPr>
            <w:r>
              <w:rPr>
                <w:sz w:val="20"/>
              </w:rPr>
              <w:t xml:space="preserve">3,0</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vMerge w:val="restart"/>
          </w:tcPr>
          <w:p>
            <w:pPr>
              <w:pStyle w:val="0"/>
            </w:pPr>
            <w:r>
              <w:rPr>
                <w:sz w:val="20"/>
              </w:rPr>
              <w:t xml:space="preserve">к концу 2021 года создание до 6,8 тыс. кв. м общей площади наемного жилья социального использования;</w:t>
            </w:r>
          </w:p>
          <w:p>
            <w:pPr>
              <w:pStyle w:val="0"/>
            </w:pPr>
            <w:r>
              <w:rPr>
                <w:sz w:val="20"/>
              </w:rPr>
              <w:t xml:space="preserve">до 7,2 тыс. кв. м общей площади наемного жилья коммерческого использования</w:t>
            </w:r>
          </w:p>
        </w:tc>
      </w:tr>
      <w:tr>
        <w:tc>
          <w:tcPr>
            <w:vMerge w:val="continue"/>
          </w:tcPr>
          <w:p/>
        </w:tc>
        <w:tc>
          <w:tcPr>
            <w:tcW w:w="2721" w:type="dxa"/>
          </w:tcPr>
          <w:p>
            <w:pPr>
              <w:pStyle w:val="0"/>
            </w:pPr>
            <w:r>
              <w:rPr>
                <w:sz w:val="20"/>
              </w:rPr>
              <w:t xml:space="preserve">73) общая площадь построенного наемного жилья коммерческого использования</w:t>
            </w:r>
          </w:p>
        </w:tc>
        <w:tc>
          <w:tcPr>
            <w:tcW w:w="680" w:type="dxa"/>
          </w:tcPr>
          <w:p>
            <w:pPr>
              <w:pStyle w:val="0"/>
              <w:jc w:val="center"/>
            </w:pPr>
            <w:r>
              <w:rPr>
                <w:sz w:val="20"/>
              </w:rPr>
              <w:t xml:space="preserve">тыс. кв. м</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3,5</w:t>
            </w:r>
          </w:p>
        </w:tc>
        <w:tc>
          <w:tcPr>
            <w:tcW w:w="793" w:type="dxa"/>
          </w:tcPr>
          <w:p>
            <w:pPr>
              <w:pStyle w:val="0"/>
              <w:jc w:val="center"/>
            </w:pPr>
            <w:r>
              <w:rPr>
                <w:sz w:val="20"/>
              </w:rPr>
              <w:t xml:space="preserve">0,7</w:t>
            </w:r>
          </w:p>
        </w:tc>
        <w:tc>
          <w:tcPr>
            <w:tcW w:w="793" w:type="dxa"/>
          </w:tcPr>
          <w:p>
            <w:pPr>
              <w:pStyle w:val="0"/>
              <w:jc w:val="center"/>
            </w:pPr>
            <w:r>
              <w:rPr>
                <w:sz w:val="20"/>
              </w:rPr>
              <w:t xml:space="preserve">3,0</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vMerge w:val="continue"/>
          </w:tcPr>
          <w:p/>
        </w:tc>
      </w:tr>
      <w:tr>
        <w:tc>
          <w:tcPr>
            <w:vMerge w:val="continue"/>
          </w:tcPr>
          <w:p/>
        </w:tc>
        <w:tc>
          <w:tcPr>
            <w:tcW w:w="2721" w:type="dxa"/>
          </w:tcPr>
          <w:p>
            <w:pPr>
              <w:pStyle w:val="0"/>
            </w:pPr>
            <w:r>
              <w:rPr>
                <w:sz w:val="20"/>
              </w:rPr>
              <w:t xml:space="preserve">74) доля наемного жилья, предоставленного организациями, от общей площади жилищного фонда на территории Новосибирской области</w:t>
            </w:r>
          </w:p>
        </w:tc>
        <w:tc>
          <w:tcPr>
            <w:tcW w:w="680"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w:t>
            </w:r>
          </w:p>
        </w:tc>
        <w:tc>
          <w:tcPr>
            <w:tcW w:w="793" w:type="dxa"/>
          </w:tcPr>
          <w:p>
            <w:pPr>
              <w:pStyle w:val="0"/>
              <w:jc w:val="center"/>
            </w:pPr>
            <w:r>
              <w:rPr>
                <w:sz w:val="20"/>
              </w:rPr>
              <w:t xml:space="preserve">-</w:t>
            </w:r>
          </w:p>
        </w:tc>
        <w:tc>
          <w:tcPr>
            <w:tcW w:w="794" w:type="dxa"/>
          </w:tcPr>
          <w:p>
            <w:pPr>
              <w:pStyle w:val="0"/>
              <w:jc w:val="center"/>
            </w:pPr>
            <w:r>
              <w:rPr>
                <w:sz w:val="20"/>
              </w:rPr>
              <w:t xml:space="preserve">13,5</w:t>
            </w:r>
          </w:p>
        </w:tc>
        <w:tc>
          <w:tcPr>
            <w:tcW w:w="793" w:type="dxa"/>
          </w:tcPr>
          <w:p>
            <w:pPr>
              <w:pStyle w:val="0"/>
              <w:jc w:val="center"/>
            </w:pPr>
            <w:r>
              <w:rPr>
                <w:sz w:val="20"/>
              </w:rPr>
              <w:t xml:space="preserve">15,0</w:t>
            </w:r>
          </w:p>
        </w:tc>
        <w:tc>
          <w:tcPr>
            <w:tcW w:w="793" w:type="dxa"/>
          </w:tcPr>
          <w:p>
            <w:pPr>
              <w:pStyle w:val="0"/>
              <w:jc w:val="center"/>
            </w:pPr>
            <w:r>
              <w:rPr>
                <w:sz w:val="20"/>
              </w:rPr>
              <w:t xml:space="preserve">18,5</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2777" w:type="dxa"/>
          </w:tcPr>
          <w:p>
            <w:pPr>
              <w:pStyle w:val="0"/>
            </w:pPr>
            <w:r>
              <w:rPr>
                <w:sz w:val="20"/>
              </w:rPr>
              <w:t xml:space="preserve">целевой индикатор введен с 2020 года, на 2019 год приведено базовое значение</w:t>
            </w:r>
          </w:p>
        </w:tc>
      </w:tr>
      <w:tr>
        <w:tc>
          <w:tcPr>
            <w:tcW w:w="2097" w:type="dxa"/>
          </w:tcPr>
          <w:p>
            <w:pPr>
              <w:pStyle w:val="0"/>
            </w:pPr>
            <w:r>
              <w:rPr>
                <w:sz w:val="20"/>
              </w:rPr>
              <w:t xml:space="preserve">Задача 2 подпрограммы государственной программы. Создание условий для обеспечения граждан отдельных категорий жильем по договорам коммерческого найма</w:t>
            </w:r>
          </w:p>
        </w:tc>
        <w:tc>
          <w:tcPr>
            <w:tcW w:w="2721" w:type="dxa"/>
          </w:tcPr>
          <w:p>
            <w:pPr>
              <w:pStyle w:val="0"/>
            </w:pPr>
            <w:r>
              <w:rPr>
                <w:sz w:val="20"/>
              </w:rPr>
              <w:t xml:space="preserve">75) количество граждан, получающих государственную поддержку в рамках подпрограммы</w:t>
            </w:r>
          </w:p>
        </w:tc>
        <w:tc>
          <w:tcPr>
            <w:tcW w:w="680" w:type="dxa"/>
          </w:tcPr>
          <w:p>
            <w:pPr>
              <w:pStyle w:val="0"/>
              <w:jc w:val="center"/>
            </w:pPr>
            <w:r>
              <w:rPr>
                <w:sz w:val="20"/>
              </w:rPr>
              <w:t xml:space="preserve">чел.</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80</w:t>
            </w:r>
          </w:p>
        </w:tc>
        <w:tc>
          <w:tcPr>
            <w:tcW w:w="794" w:type="dxa"/>
          </w:tcPr>
          <w:p>
            <w:pPr>
              <w:pStyle w:val="0"/>
              <w:jc w:val="center"/>
            </w:pPr>
            <w:r>
              <w:rPr>
                <w:sz w:val="20"/>
              </w:rPr>
              <w:t xml:space="preserve">70</w:t>
            </w:r>
          </w:p>
        </w:tc>
        <w:tc>
          <w:tcPr>
            <w:tcW w:w="793" w:type="dxa"/>
          </w:tcPr>
          <w:p>
            <w:pPr>
              <w:pStyle w:val="0"/>
              <w:jc w:val="center"/>
            </w:pPr>
            <w:r>
              <w:rPr>
                <w:sz w:val="20"/>
              </w:rPr>
              <w:t xml:space="preserve">47</w:t>
            </w:r>
          </w:p>
        </w:tc>
        <w:tc>
          <w:tcPr>
            <w:tcW w:w="794" w:type="dxa"/>
          </w:tcPr>
          <w:p>
            <w:pPr>
              <w:pStyle w:val="0"/>
              <w:jc w:val="center"/>
            </w:pPr>
            <w:r>
              <w:rPr>
                <w:sz w:val="20"/>
              </w:rPr>
              <w:t xml:space="preserve">40</w:t>
            </w:r>
          </w:p>
        </w:tc>
        <w:tc>
          <w:tcPr>
            <w:tcW w:w="793" w:type="dxa"/>
          </w:tcPr>
          <w:p>
            <w:pPr>
              <w:pStyle w:val="0"/>
              <w:jc w:val="center"/>
            </w:pPr>
            <w:r>
              <w:rPr>
                <w:sz w:val="20"/>
              </w:rPr>
              <w:t xml:space="preserve">30</w:t>
            </w:r>
          </w:p>
        </w:tc>
        <w:tc>
          <w:tcPr>
            <w:tcW w:w="793" w:type="dxa"/>
          </w:tcPr>
          <w:p>
            <w:pPr>
              <w:pStyle w:val="0"/>
              <w:jc w:val="center"/>
            </w:pPr>
            <w:r>
              <w:rPr>
                <w:sz w:val="20"/>
              </w:rPr>
              <w:t xml:space="preserve">15</w:t>
            </w:r>
          </w:p>
        </w:tc>
        <w:tc>
          <w:tcPr>
            <w:tcW w:w="793" w:type="dxa"/>
          </w:tcPr>
          <w:p>
            <w:pPr>
              <w:pStyle w:val="0"/>
              <w:jc w:val="center"/>
            </w:pPr>
            <w:r>
              <w:rPr>
                <w:sz w:val="20"/>
              </w:rPr>
              <w:t xml:space="preserve">10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793" w:type="dxa"/>
          </w:tcPr>
          <w:p>
            <w:pPr>
              <w:pStyle w:val="0"/>
              <w:jc w:val="center"/>
            </w:pPr>
            <w:r>
              <w:rPr>
                <w:sz w:val="20"/>
              </w:rPr>
              <w:t xml:space="preserve">0</w:t>
            </w:r>
          </w:p>
        </w:tc>
        <w:tc>
          <w:tcPr>
            <w:tcW w:w="2777" w:type="dxa"/>
          </w:tcPr>
          <w:p>
            <w:pPr>
              <w:pStyle w:val="0"/>
            </w:pPr>
            <w:r>
              <w:rPr>
                <w:sz w:val="20"/>
              </w:rPr>
              <w:t xml:space="preserve">на 2016 год приведено базовое значение показателя. В результате реализации программы ежегодно предоставляются субсидии гражданам на компенсацию части платежей по договорам коммерческого найма</w:t>
            </w:r>
          </w:p>
        </w:tc>
      </w:tr>
    </w:tbl>
    <w:p>
      <w:pPr>
        <w:sectPr>
          <w:headerReference w:type="default" r:id="rId167"/>
          <w:headerReference w:type="first" r:id="rId167"/>
          <w:footerReference w:type="default" r:id="rId168"/>
          <w:footerReference w:type="first" r:id="rId168"/>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1610" w:name="P1610"/>
    <w:bookmarkEnd w:id="1610"/>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19.03.2019 N 106-п)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59"/>
        <w:gridCol w:w="1984"/>
        <w:gridCol w:w="907"/>
        <w:gridCol w:w="5556"/>
      </w:tblGrid>
      <w:tr>
        <w:tc>
          <w:tcPr>
            <w:tcW w:w="5159" w:type="dxa"/>
          </w:tcPr>
          <w:p>
            <w:pPr>
              <w:pStyle w:val="0"/>
              <w:jc w:val="center"/>
            </w:pPr>
            <w:r>
              <w:rPr>
                <w:sz w:val="20"/>
              </w:rPr>
              <w:t xml:space="preserve">Наименование основного мероприятия</w:t>
            </w:r>
          </w:p>
        </w:tc>
        <w:tc>
          <w:tcPr>
            <w:tcW w:w="1984" w:type="dxa"/>
          </w:tcPr>
          <w:p>
            <w:pPr>
              <w:pStyle w:val="0"/>
              <w:jc w:val="center"/>
            </w:pPr>
            <w:r>
              <w:rPr>
                <w:sz w:val="20"/>
              </w:rPr>
              <w:t xml:space="preserve">Государственные заказчики/ответственные за привлечение средств</w:t>
            </w:r>
          </w:p>
        </w:tc>
        <w:tc>
          <w:tcPr>
            <w:tcW w:w="907" w:type="dxa"/>
          </w:tcPr>
          <w:p>
            <w:pPr>
              <w:pStyle w:val="0"/>
              <w:jc w:val="center"/>
            </w:pPr>
            <w:r>
              <w:rPr>
                <w:sz w:val="20"/>
              </w:rPr>
              <w:t xml:space="preserve">Срок реализации</w:t>
            </w:r>
          </w:p>
        </w:tc>
        <w:tc>
          <w:tcPr>
            <w:tcW w:w="5556" w:type="dxa"/>
          </w:tcPr>
          <w:p>
            <w:pPr>
              <w:pStyle w:val="0"/>
              <w:jc w:val="center"/>
            </w:pPr>
            <w:r>
              <w:rPr>
                <w:sz w:val="20"/>
              </w:rPr>
              <w:t xml:space="preserve">Ожидаемый результат (краткое описание)</w:t>
            </w:r>
          </w:p>
        </w:tc>
      </w:tr>
      <w:tr>
        <w:tc>
          <w:tcPr>
            <w:gridSpan w:val="4"/>
            <w:tcW w:w="13606" w:type="dxa"/>
          </w:tcPr>
          <w:p>
            <w:pPr>
              <w:pStyle w:val="0"/>
              <w:outlineLvl w:val="2"/>
              <w:jc w:val="center"/>
            </w:pPr>
            <w:r>
              <w:rPr>
                <w:sz w:val="20"/>
              </w:rPr>
              <w:t xml:space="preserve">Государственная программа Новосибирской области "Стимулирование развития жилищного строительства в Новосибирской области"</w:t>
            </w:r>
          </w:p>
        </w:tc>
      </w:tr>
      <w:tr>
        <w:tc>
          <w:tcPr>
            <w:gridSpan w:val="4"/>
            <w:tcW w:w="13606" w:type="dxa"/>
          </w:tcPr>
          <w:p>
            <w:pPr>
              <w:pStyle w:val="0"/>
              <w:outlineLvl w:val="3"/>
              <w:jc w:val="center"/>
            </w:pPr>
            <w:r>
              <w:rPr>
                <w:sz w:val="20"/>
              </w:rPr>
              <w:t xml:space="preserve">1. Цель государственной программы - стимулирование развития жилищного строительства, формирование рынка доступного и комфортного жилья на территории Новосибирской области</w:t>
            </w:r>
          </w:p>
        </w:tc>
      </w:tr>
      <w:tr>
        <w:tc>
          <w:tcPr>
            <w:gridSpan w:val="4"/>
            <w:tcW w:w="13606" w:type="dxa"/>
          </w:tcPr>
          <w:p>
            <w:pPr>
              <w:pStyle w:val="0"/>
              <w:outlineLvl w:val="4"/>
              <w:jc w:val="center"/>
            </w:pPr>
            <w:r>
              <w:rPr>
                <w:sz w:val="20"/>
              </w:rPr>
              <w:t xml:space="preserve">1.1. Задача 1 государственной программы. Создание условий для осуществления градостроительной деятельности на территории Новосибирской области</w:t>
            </w:r>
          </w:p>
        </w:tc>
      </w:tr>
      <w:tr>
        <w:tc>
          <w:tcPr>
            <w:gridSpan w:val="4"/>
            <w:tcW w:w="13606" w:type="dxa"/>
          </w:tcPr>
          <w:p>
            <w:pPr>
              <w:pStyle w:val="0"/>
              <w:outlineLvl w:val="5"/>
              <w:jc w:val="center"/>
            </w:pPr>
            <w:r>
              <w:rPr>
                <w:sz w:val="20"/>
              </w:rPr>
              <w:t xml:space="preserve">1.1.1. Подпрограмма государственной программы "Градостроительная подготовка территорий Новосибирской области"</w:t>
            </w:r>
          </w:p>
        </w:tc>
      </w:tr>
      <w:tr>
        <w:tc>
          <w:tcPr>
            <w:gridSpan w:val="4"/>
            <w:tcW w:w="13606" w:type="dxa"/>
          </w:tcPr>
          <w:p>
            <w:pPr>
              <w:pStyle w:val="0"/>
              <w:outlineLvl w:val="6"/>
              <w:jc w:val="center"/>
            </w:pPr>
            <w:r>
              <w:rPr>
                <w:sz w:val="20"/>
              </w:rPr>
              <w:t xml:space="preserve">1.1.1.1. Цель подпрограммы государственной программы: обеспечение муниципальных образований Новосибирской области актуальной градостроительной документацией, предусмотренной Градостроительным кодексом Российской Федерации</w:t>
            </w:r>
          </w:p>
        </w:tc>
      </w:tr>
      <w:tr>
        <w:tc>
          <w:tcPr>
            <w:gridSpan w:val="4"/>
            <w:tcW w:w="13606" w:type="dxa"/>
          </w:tcPr>
          <w:p>
            <w:pPr>
              <w:pStyle w:val="0"/>
              <w:outlineLvl w:val="7"/>
              <w:jc w:val="center"/>
            </w:pPr>
            <w:r>
              <w:rPr>
                <w:sz w:val="20"/>
              </w:rPr>
              <w:t xml:space="preserve">1.1.1.1.1. Задача 1 подпрограммы государственной программы: актуализация документов территориального планирования на основании результатов мониторинга их реализации</w:t>
            </w:r>
          </w:p>
        </w:tc>
      </w:tr>
      <w:tr>
        <w:tc>
          <w:tcPr>
            <w:tcW w:w="5159" w:type="dxa"/>
          </w:tcPr>
          <w:p>
            <w:pPr>
              <w:pStyle w:val="0"/>
              <w:jc w:val="both"/>
            </w:pPr>
            <w:r>
              <w:rPr>
                <w:sz w:val="20"/>
              </w:rPr>
              <w:t xml:space="preserve">1.1.1.1.1.1. Предоставление субсидий бюджетам муниципальных образований Новосибирской области на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обеспечение муниципальных районов и городских округов Новосибирской области (за исключением Новосибирской агломерации) актуальными документами территориального планирования и градостроительного зонирования</w:t>
            </w:r>
          </w:p>
        </w:tc>
      </w:tr>
      <w:tr>
        <w:tc>
          <w:tcPr>
            <w:tcW w:w="5159" w:type="dxa"/>
          </w:tcPr>
          <w:p>
            <w:pPr>
              <w:pStyle w:val="0"/>
              <w:jc w:val="both"/>
            </w:pPr>
            <w:r>
              <w:rPr>
                <w:sz w:val="20"/>
              </w:rPr>
              <w:t xml:space="preserve">1.1.1.1.1.2. Подготовка градостроительной документации и научно-исследовательских работ для обеспечения архитектурной и градостроительной деятельности на территории Новосибирской области</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2015 год</w:t>
            </w:r>
          </w:p>
        </w:tc>
        <w:tc>
          <w:tcPr>
            <w:tcW w:w="5556" w:type="dxa"/>
          </w:tcPr>
          <w:p>
            <w:pPr>
              <w:pStyle w:val="0"/>
              <w:jc w:val="both"/>
            </w:pPr>
            <w:r>
              <w:rPr>
                <w:sz w:val="20"/>
              </w:rPr>
              <w:t xml:space="preserve">подготовка проектов градостроительного развития зон опережающего развития Новосибирской агломерации (строительно-производственная зона)</w:t>
            </w:r>
          </w:p>
        </w:tc>
      </w:tr>
      <w:tr>
        <w:tc>
          <w:tcPr>
            <w:tcW w:w="5159" w:type="dxa"/>
          </w:tcPr>
          <w:p>
            <w:pPr>
              <w:pStyle w:val="0"/>
              <w:jc w:val="both"/>
            </w:pPr>
            <w:r>
              <w:rPr>
                <w:sz w:val="20"/>
              </w:rPr>
              <w:t xml:space="preserve">1.1.1.1.1.3. Согласование документов территориального планирования муниципальных образований Новосибирской области</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2016 - 2018 годы</w:t>
            </w:r>
          </w:p>
        </w:tc>
        <w:tc>
          <w:tcPr>
            <w:tcW w:w="5556" w:type="dxa"/>
          </w:tcPr>
          <w:p>
            <w:pPr>
              <w:pStyle w:val="0"/>
              <w:jc w:val="both"/>
            </w:pPr>
            <w:r>
              <w:rPr>
                <w:sz w:val="20"/>
              </w:rPr>
              <w:t xml:space="preserve">по результатам согласования к концу 2018 года будут утверждены 11 документов территориального планирования муниципальных образований Новосибирской области (за исключением муниципальных образований Новосибирской агломерации)</w:t>
            </w:r>
          </w:p>
        </w:tc>
      </w:tr>
      <w:tr>
        <w:tc>
          <w:tcPr>
            <w:tcW w:w="5159" w:type="dxa"/>
          </w:tcPr>
          <w:p>
            <w:pPr>
              <w:pStyle w:val="0"/>
              <w:jc w:val="both"/>
            </w:pPr>
            <w:r>
              <w:rPr>
                <w:sz w:val="20"/>
              </w:rPr>
              <w:t xml:space="preserve">1.1.1.1.1.4. Подготовка и утверждение документов территориального планирования муниципальных образований Новосибирской агломерации, а также внесение в них изменений</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2016 - 2018 годы</w:t>
            </w:r>
          </w:p>
        </w:tc>
        <w:tc>
          <w:tcPr>
            <w:tcW w:w="5556" w:type="dxa"/>
          </w:tcPr>
          <w:p>
            <w:pPr>
              <w:pStyle w:val="0"/>
              <w:jc w:val="both"/>
            </w:pPr>
            <w:r>
              <w:rPr>
                <w:sz w:val="20"/>
              </w:rPr>
              <w:t xml:space="preserve">к концу 2018 года будут утверждены 6 генеральных планов муниципальных образований, расположенных в границах Новосибирской агломерации</w:t>
            </w:r>
          </w:p>
        </w:tc>
      </w:tr>
      <w:tr>
        <w:tc>
          <w:tcPr>
            <w:tcW w:w="5159" w:type="dxa"/>
          </w:tcPr>
          <w:p>
            <w:pPr>
              <w:pStyle w:val="0"/>
              <w:jc w:val="both"/>
            </w:pPr>
            <w:r>
              <w:rPr>
                <w:sz w:val="20"/>
              </w:rPr>
              <w:t xml:space="preserve">1.1.1.1.1.5. Подготовка и утверждение документов градостроительного зонирования муниципальных образований Новосибирской агломерации, а также внесение в них изменений</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2016 - 2018 годы</w:t>
            </w:r>
          </w:p>
        </w:tc>
        <w:tc>
          <w:tcPr>
            <w:tcW w:w="5556" w:type="dxa"/>
          </w:tcPr>
          <w:p>
            <w:pPr>
              <w:pStyle w:val="0"/>
              <w:jc w:val="both"/>
            </w:pPr>
            <w:r>
              <w:rPr>
                <w:sz w:val="20"/>
              </w:rPr>
              <w:t xml:space="preserve">к концу 2018 года будут утверждены 28 Правил землепользования и застройки муниципальных образований, расположенных в границах Новосибирской агломерации</w:t>
            </w:r>
          </w:p>
        </w:tc>
      </w:tr>
      <w:tr>
        <w:tc>
          <w:tcPr>
            <w:tcW w:w="5159" w:type="dxa"/>
          </w:tcPr>
          <w:p>
            <w:pPr>
              <w:pStyle w:val="0"/>
              <w:jc w:val="both"/>
            </w:pPr>
            <w:r>
              <w:rPr>
                <w:sz w:val="20"/>
              </w:rPr>
              <w:t xml:space="preserve">1.1.1.1.1.6. Проведение исследовательских или научно-исследовательских работ в целях развития агломераций Новосибирской области</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2016 - 2018 годы</w:t>
            </w:r>
          </w:p>
        </w:tc>
        <w:tc>
          <w:tcPr>
            <w:tcW w:w="5556" w:type="dxa"/>
          </w:tcPr>
          <w:p>
            <w:pPr>
              <w:pStyle w:val="0"/>
              <w:jc w:val="both"/>
            </w:pPr>
            <w:r>
              <w:rPr>
                <w:sz w:val="20"/>
              </w:rPr>
              <w:t xml:space="preserve">формирование стратегии градостроительного развития зон опережающего развития Новосибирской агломерации (Аэросити, восточно-логистическая транспортная зона, строительно-производственная зона, порт Ташара, Наукополис), разработка комплексной транспортной схемы Новосибирской агломерации</w:t>
            </w:r>
          </w:p>
        </w:tc>
      </w:tr>
      <w:tr>
        <w:tc>
          <w:tcPr>
            <w:tcW w:w="5159" w:type="dxa"/>
          </w:tcPr>
          <w:p>
            <w:pPr>
              <w:pStyle w:val="0"/>
              <w:jc w:val="both"/>
            </w:pPr>
            <w:r>
              <w:rPr>
                <w:sz w:val="20"/>
              </w:rPr>
              <w:t xml:space="preserve">1.1.1.1.1.8. Методическая поддержка, формирование единых рекомендаций к подготовке и утверждению градостроительной документации муниципальными образованиями Новосибирской области</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2017 год</w:t>
            </w:r>
          </w:p>
        </w:tc>
        <w:tc>
          <w:tcPr>
            <w:tcW w:w="5556" w:type="dxa"/>
          </w:tcPr>
          <w:p>
            <w:pPr>
              <w:pStyle w:val="0"/>
              <w:jc w:val="both"/>
            </w:pPr>
            <w:r>
              <w:rPr>
                <w:sz w:val="20"/>
              </w:rPr>
              <w:t xml:space="preserve">подготовка типовых образцов документации территориального планирования и градостроительного зонирования для обеспечения градостроительной деятельности на территории муниципальных образований Новосибирской области</w:t>
            </w:r>
          </w:p>
        </w:tc>
      </w:tr>
      <w:tr>
        <w:tc>
          <w:tcPr>
            <w:gridSpan w:val="4"/>
            <w:tcW w:w="13606" w:type="dxa"/>
          </w:tcPr>
          <w:p>
            <w:pPr>
              <w:pStyle w:val="0"/>
              <w:outlineLvl w:val="7"/>
              <w:jc w:val="center"/>
            </w:pPr>
            <w:r>
              <w:rPr>
                <w:sz w:val="20"/>
              </w:rPr>
              <w:t xml:space="preserve">1.1.1.1.2. Задача 2 подпрограммы государственной программы: подготовка документации по планировке территории в целях размещения объектов регионального и местного значения, а также обеспечения развития Новосибирской агломерации</w:t>
            </w:r>
          </w:p>
        </w:tc>
      </w:tr>
      <w:tr>
        <w:tc>
          <w:tcPr>
            <w:tcW w:w="5159" w:type="dxa"/>
          </w:tcPr>
          <w:p>
            <w:pPr>
              <w:pStyle w:val="0"/>
              <w:jc w:val="both"/>
            </w:pPr>
            <w:r>
              <w:rPr>
                <w:sz w:val="20"/>
              </w:rPr>
              <w:t xml:space="preserve">1.1.1.1.2.1. Подготовка и утверждение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 в рамках полномочий Минстроя НСО</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2017 - 2018 годы</w:t>
            </w:r>
          </w:p>
        </w:tc>
        <w:tc>
          <w:tcPr>
            <w:tcW w:w="5556" w:type="dxa"/>
          </w:tcPr>
          <w:p>
            <w:pPr>
              <w:pStyle w:val="0"/>
              <w:jc w:val="both"/>
            </w:pPr>
            <w:r>
              <w:rPr>
                <w:sz w:val="20"/>
              </w:rPr>
              <w:t xml:space="preserve">утверждение 53 документаций по планировке территории, предусматривающих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w:t>
            </w:r>
          </w:p>
        </w:tc>
      </w:tr>
      <w:tr>
        <w:tc>
          <w:tcPr>
            <w:tcW w:w="5159" w:type="dxa"/>
          </w:tcPr>
          <w:p>
            <w:pPr>
              <w:pStyle w:val="0"/>
              <w:jc w:val="both"/>
            </w:pPr>
            <w:r>
              <w:rPr>
                <w:sz w:val="20"/>
              </w:rPr>
              <w:t xml:space="preserve">1.1.1.1.2.2. Утверждение документации по планировке территории, подготовленной на основании документов территориального планирования муниципальных образований Новосибирской агломерации</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2016 - 2018 годы</w:t>
            </w:r>
          </w:p>
        </w:tc>
        <w:tc>
          <w:tcPr>
            <w:tcW w:w="5556" w:type="dxa"/>
          </w:tcPr>
          <w:p>
            <w:pPr>
              <w:pStyle w:val="0"/>
              <w:jc w:val="both"/>
            </w:pPr>
            <w:r>
              <w:rPr>
                <w:sz w:val="20"/>
              </w:rPr>
              <w:t xml:space="preserve">утверждение 40 документаций по планировке территории, предусмотренных документами территориального планирования муниципальных образований Новосибирской агломерации</w:t>
            </w:r>
          </w:p>
        </w:tc>
      </w:tr>
      <w:tr>
        <w:tc>
          <w:tcPr>
            <w:tcW w:w="5159" w:type="dxa"/>
          </w:tcPr>
          <w:p>
            <w:pPr>
              <w:pStyle w:val="0"/>
              <w:jc w:val="both"/>
            </w:pPr>
            <w:r>
              <w:rPr>
                <w:sz w:val="20"/>
              </w:rPr>
              <w:t xml:space="preserve">1.1.1.1.2.3. Разработка методических материалов для муниципальных образований Новосибирской области с требованиями к составу, содержанию, порядку подготовки и утверждения документации по планировке территорий</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2016, 2018 годы</w:t>
            </w:r>
          </w:p>
        </w:tc>
        <w:tc>
          <w:tcPr>
            <w:tcW w:w="5556" w:type="dxa"/>
          </w:tcPr>
          <w:p>
            <w:pPr>
              <w:pStyle w:val="0"/>
              <w:jc w:val="both"/>
            </w:pPr>
            <w:r>
              <w:rPr>
                <w:sz w:val="20"/>
              </w:rPr>
              <w:t xml:space="preserve">обеспечение выполнения требований градостроительного законодательства при подготовке документации по планировке территорий в 100% муниципальных образований Новосибирской области</w:t>
            </w:r>
          </w:p>
        </w:tc>
      </w:tr>
      <w:tr>
        <w:tc>
          <w:tcPr>
            <w:gridSpan w:val="4"/>
            <w:tcW w:w="13606" w:type="dxa"/>
          </w:tcPr>
          <w:p>
            <w:pPr>
              <w:pStyle w:val="0"/>
              <w:outlineLvl w:val="5"/>
              <w:jc w:val="center"/>
            </w:pPr>
            <w:r>
              <w:rPr>
                <w:sz w:val="20"/>
              </w:rPr>
              <w:t xml:space="preserve">1.1.2. Подпрограмма государственной программы "Фонд пространственных данных Новосибирской области"</w:t>
            </w:r>
          </w:p>
        </w:tc>
      </w:tr>
      <w:tr>
        <w:tc>
          <w:tcPr>
            <w:gridSpan w:val="4"/>
            <w:tcW w:w="13606" w:type="dxa"/>
          </w:tcPr>
          <w:p>
            <w:pPr>
              <w:pStyle w:val="0"/>
              <w:outlineLvl w:val="6"/>
              <w:jc w:val="center"/>
            </w:pPr>
            <w:r>
              <w:rPr>
                <w:sz w:val="20"/>
              </w:rPr>
              <w:t xml:space="preserve">1.1.2.1. Цель подпрограммы государственной программы: обеспечение всех субъектов градостроительных отношений актуальными пространственными данными и материалами на территории Новосибирской области</w:t>
            </w:r>
          </w:p>
        </w:tc>
      </w:tr>
      <w:tr>
        <w:tc>
          <w:tcPr>
            <w:gridSpan w:val="4"/>
            <w:tcW w:w="13606" w:type="dxa"/>
          </w:tcPr>
          <w:p>
            <w:pPr>
              <w:pStyle w:val="0"/>
              <w:outlineLvl w:val="7"/>
              <w:jc w:val="center"/>
            </w:pPr>
            <w:r>
              <w:rPr>
                <w:sz w:val="20"/>
              </w:rPr>
              <w:t xml:space="preserve">1.1.2.1.1. Задача 1 подпрограммы государственной программы: формирование пространственных данных и материалов Фонда пространственных данных Новосибирской области</w:t>
            </w:r>
          </w:p>
        </w:tc>
      </w:tr>
      <w:tr>
        <w:tc>
          <w:tcPr>
            <w:tcW w:w="5159" w:type="dxa"/>
          </w:tcPr>
          <w:p>
            <w:pPr>
              <w:pStyle w:val="0"/>
              <w:jc w:val="both"/>
            </w:pPr>
            <w:r>
              <w:rPr>
                <w:sz w:val="20"/>
              </w:rPr>
              <w:t xml:space="preserve">1.1.2.1.1.1. Субсидирование государственного бюджетного учреждения Новосибирской области "Фонд пространственных данных Новосибирской области" на выполнение государственного задания</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составит 100%</w:t>
            </w:r>
          </w:p>
        </w:tc>
      </w:tr>
      <w:tr>
        <w:tc>
          <w:tcPr>
            <w:tcW w:w="5159" w:type="dxa"/>
          </w:tcPr>
          <w:p>
            <w:pPr>
              <w:pStyle w:val="0"/>
              <w:jc w:val="both"/>
            </w:pPr>
            <w:r>
              <w:rPr>
                <w:sz w:val="20"/>
              </w:rPr>
              <w:t xml:space="preserve">1.1.2.1.1.2. Актуализация пространственных данных и материалов фонда пространственных данных Новосибирской области</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объем предоставленных субъектам градостроительных отношений пространственных данных и материалов в бумажном и электронном виде составит 11000 выданных заказов (штук)</w:t>
            </w:r>
          </w:p>
        </w:tc>
      </w:tr>
      <w:tr>
        <w:tc>
          <w:tcPr>
            <w:gridSpan w:val="4"/>
            <w:tcW w:w="13606" w:type="dxa"/>
          </w:tcPr>
          <w:p>
            <w:pPr>
              <w:pStyle w:val="0"/>
              <w:outlineLvl w:val="4"/>
              <w:jc w:val="center"/>
            </w:pPr>
            <w:r>
              <w:rPr>
                <w:sz w:val="20"/>
              </w:rPr>
              <w:t xml:space="preserve">1.2. Задача 2 государственной программы. Содействие эффективному использованию земельных участков под жилищное строительство</w:t>
            </w:r>
          </w:p>
        </w:tc>
      </w:tr>
      <w:tr>
        <w:tc>
          <w:tcPr>
            <w:gridSpan w:val="4"/>
            <w:tcW w:w="13606" w:type="dxa"/>
          </w:tcPr>
          <w:p>
            <w:pPr>
              <w:pStyle w:val="0"/>
              <w:outlineLvl w:val="5"/>
              <w:jc w:val="center"/>
            </w:pPr>
            <w:r>
              <w:rPr>
                <w:sz w:val="20"/>
              </w:rPr>
              <w:t xml:space="preserve">1.2.1. Подпрограмма государственной программы "Инженерное обустройство площадок комплексной застройки Новосибирской области"</w:t>
            </w:r>
          </w:p>
        </w:tc>
      </w:tr>
      <w:tr>
        <w:tc>
          <w:tcPr>
            <w:gridSpan w:val="4"/>
            <w:tcW w:w="13606" w:type="dxa"/>
          </w:tcPr>
          <w:p>
            <w:pPr>
              <w:pStyle w:val="0"/>
              <w:outlineLvl w:val="6"/>
              <w:jc w:val="center"/>
            </w:pPr>
            <w:r>
              <w:rPr>
                <w:sz w:val="20"/>
              </w:rPr>
              <w:t xml:space="preserve">1.2.1.1. Цель подпрограммы государственной программы: содействие в обеспечении земельных участков, определенных под комплексную застройку, инженерной инфраструктурой и сокращение количества "проблемных" объектов</w:t>
            </w:r>
          </w:p>
        </w:tc>
      </w:tr>
      <w:tr>
        <w:tc>
          <w:tcPr>
            <w:gridSpan w:val="4"/>
            <w:tcW w:w="13606" w:type="dxa"/>
          </w:tcPr>
          <w:p>
            <w:pPr>
              <w:pStyle w:val="0"/>
              <w:outlineLvl w:val="7"/>
              <w:jc w:val="center"/>
            </w:pPr>
            <w:r>
              <w:rPr>
                <w:sz w:val="20"/>
              </w:rPr>
              <w:t xml:space="preserve">1.2.1.1.1. Задача 1 подпрограммы государственной программы: обеспечение инженерной инфраструктурой площадок комплексной застройки</w:t>
            </w:r>
          </w:p>
        </w:tc>
      </w:tr>
      <w:tr>
        <w:tc>
          <w:tcPr>
            <w:tcW w:w="5159" w:type="dxa"/>
          </w:tcPr>
          <w:p>
            <w:pPr>
              <w:pStyle w:val="0"/>
              <w:jc w:val="both"/>
            </w:pPr>
            <w:r>
              <w:rPr>
                <w:sz w:val="20"/>
              </w:rPr>
              <w:t xml:space="preserve">1.2.1.1.1.1. Предоставление субсидий бюджетам муниципальных образований Новосибирской области на инженерное обустройство площадок комплексной застройки</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2015 - 2016 годы</w:t>
            </w:r>
          </w:p>
        </w:tc>
        <w:tc>
          <w:tcPr>
            <w:tcW w:w="5556" w:type="dxa"/>
          </w:tcPr>
          <w:p>
            <w:pPr>
              <w:pStyle w:val="0"/>
              <w:jc w:val="both"/>
            </w:pPr>
            <w:r>
              <w:rPr>
                <w:sz w:val="20"/>
              </w:rPr>
              <w:t xml:space="preserve">за период реализации подпрограммы будут:</w:t>
            </w:r>
          </w:p>
          <w:p>
            <w:pPr>
              <w:pStyle w:val="0"/>
              <w:jc w:val="both"/>
            </w:pPr>
            <w:r>
              <w:rPr>
                <w:sz w:val="20"/>
              </w:rPr>
              <w:t xml:space="preserve">обеспечены инженерной инфраструктурой 131,7 тыс. кв. м жилья, обеспечены инженерной инфраструктурой 109,8 га земельных участков. Предоставлены 205 земельных участков многодетным семьям на бесплатной основе, обеспеченных инженерной инфраструктурой</w:t>
            </w:r>
          </w:p>
        </w:tc>
      </w:tr>
      <w:tr>
        <w:tc>
          <w:tcPr>
            <w:tcW w:w="5159" w:type="dxa"/>
          </w:tcPr>
          <w:p>
            <w:pPr>
              <w:pStyle w:val="0"/>
              <w:jc w:val="both"/>
            </w:pPr>
            <w:r>
              <w:rPr>
                <w:sz w:val="20"/>
              </w:rPr>
              <w:t xml:space="preserve">1.2.1.1.1.2. Организация комплексного освоения земельных участков в рамках деятельности АО "АРЖС НСО"</w:t>
            </w:r>
          </w:p>
        </w:tc>
        <w:tc>
          <w:tcPr>
            <w:tcW w:w="1984" w:type="dxa"/>
          </w:tcPr>
          <w:p>
            <w:pPr>
              <w:pStyle w:val="0"/>
              <w:jc w:val="center"/>
            </w:pPr>
            <w:r>
              <w:rPr>
                <w:sz w:val="20"/>
              </w:rPr>
              <w:t xml:space="preserve">АО "АРЖС НСО"</w:t>
            </w:r>
          </w:p>
        </w:tc>
        <w:tc>
          <w:tcPr>
            <w:tcW w:w="907" w:type="dxa"/>
          </w:tcPr>
          <w:p>
            <w:pPr>
              <w:pStyle w:val="0"/>
              <w:jc w:val="center"/>
            </w:pPr>
            <w:r>
              <w:rPr>
                <w:sz w:val="20"/>
              </w:rPr>
              <w:t xml:space="preserve">2015 год</w:t>
            </w:r>
          </w:p>
        </w:tc>
        <w:tc>
          <w:tcPr>
            <w:tcW w:w="5556" w:type="dxa"/>
          </w:tcPr>
          <w:p>
            <w:pPr>
              <w:pStyle w:val="0"/>
              <w:jc w:val="both"/>
            </w:pPr>
            <w:r>
              <w:rPr>
                <w:sz w:val="20"/>
              </w:rPr>
              <w:t xml:space="preserve">в 2015 году в целях организации комплексного, в первую очередь малоэтажного, жилищного строительства АО "Агентство развития жилищного строительства Новосибирской области" на площадке комплексного жилищного строительства в п. Ложок Барышевского сельсовета Новосибирского района осуществлено строительство скважинных водозаборов, газопровода высокого давления, кабельной линии 10 кВ, трансформаторных подстанций, магистральных сетей водоснабжения и канализования, внутриквартальных дорог, тротуаров, наружного освещения</w:t>
            </w:r>
          </w:p>
        </w:tc>
      </w:tr>
      <w:tr>
        <w:tc>
          <w:tcPr>
            <w:gridSpan w:val="4"/>
            <w:tcW w:w="13606" w:type="dxa"/>
          </w:tcPr>
          <w:p>
            <w:pPr>
              <w:pStyle w:val="0"/>
              <w:outlineLvl w:val="7"/>
              <w:jc w:val="center"/>
            </w:pPr>
            <w:r>
              <w:rPr>
                <w:sz w:val="20"/>
              </w:rPr>
              <w:t xml:space="preserve">1.2.1.1.2. Задача 2 подпрограммы государственной программы: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r>
      <w:tr>
        <w:tc>
          <w:tcPr>
            <w:tcW w:w="5159" w:type="dxa"/>
          </w:tcPr>
          <w:p>
            <w:pPr>
              <w:pStyle w:val="0"/>
              <w:jc w:val="both"/>
            </w:pPr>
            <w:r>
              <w:rPr>
                <w:sz w:val="20"/>
              </w:rPr>
              <w:t xml:space="preserve">1.2.1.1.2.1. Предоставление субсидий бюджетам муниципальных образований Новосибирской области на покрытие части расходов на оплату по договорам технологического присоединения к сетям электро-, тепло-, водоснабжения и водоотведения, на установку лифтового оборудования, а также на проведение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2015 - 2016 годы</w:t>
            </w:r>
          </w:p>
        </w:tc>
        <w:tc>
          <w:tcPr>
            <w:tcW w:w="5556" w:type="dxa"/>
          </w:tcPr>
          <w:p>
            <w:pPr>
              <w:pStyle w:val="0"/>
              <w:jc w:val="both"/>
            </w:pPr>
            <w:r>
              <w:rPr>
                <w:sz w:val="20"/>
              </w:rPr>
              <w:t xml:space="preserve">за период реализации подпрограммы планируется обеспечить инженерной инфраструктурой 31 "проблемный" объект обманутых дольщиков, что составляет 52,54% "проблемных" объектов, удовлетворяющих критериям отбора для получения государственной поддержки</w:t>
            </w:r>
          </w:p>
        </w:tc>
      </w:tr>
      <w:tr>
        <w:tc>
          <w:tcPr>
            <w:gridSpan w:val="4"/>
            <w:tcW w:w="13606" w:type="dxa"/>
          </w:tcPr>
          <w:p>
            <w:pPr>
              <w:pStyle w:val="0"/>
              <w:outlineLvl w:val="5"/>
              <w:jc w:val="center"/>
            </w:pPr>
            <w:r>
              <w:rPr>
                <w:sz w:val="20"/>
              </w:rPr>
              <w:t xml:space="preserve">1.2.2. Подпрограмма государственной программы "Земельные ресурсы и инфраструктура"</w:t>
            </w:r>
          </w:p>
        </w:tc>
      </w:tr>
      <w:tr>
        <w:tc>
          <w:tcPr>
            <w:gridSpan w:val="4"/>
            <w:tcW w:w="13606" w:type="dxa"/>
          </w:tcPr>
          <w:p>
            <w:pPr>
              <w:pStyle w:val="0"/>
              <w:outlineLvl w:val="6"/>
              <w:jc w:val="center"/>
            </w:pPr>
            <w:r>
              <w:rPr>
                <w:sz w:val="20"/>
              </w:rPr>
              <w:t xml:space="preserve">1.2.2.1. Цель подпрограммы государственной программы: содействие эффективному использованию земельных участков под жилищное строительство</w:t>
            </w:r>
          </w:p>
        </w:tc>
      </w:tr>
      <w:tr>
        <w:tc>
          <w:tcPr>
            <w:gridSpan w:val="4"/>
            <w:tcW w:w="13606" w:type="dxa"/>
          </w:tcPr>
          <w:p>
            <w:pPr>
              <w:pStyle w:val="0"/>
              <w:outlineLvl w:val="7"/>
              <w:jc w:val="center"/>
            </w:pPr>
            <w:r>
              <w:rPr>
                <w:sz w:val="20"/>
              </w:rPr>
              <w:t xml:space="preserve">1.2.2.1.1. Задача 1 подпрограммы государственной программы: обеспечение инженерной инфраструктурой площадок комплексной застройки</w:t>
            </w:r>
          </w:p>
        </w:tc>
      </w:tr>
      <w:tr>
        <w:tc>
          <w:tcPr>
            <w:tcW w:w="5159" w:type="dxa"/>
          </w:tcPr>
          <w:p>
            <w:pPr>
              <w:pStyle w:val="0"/>
              <w:jc w:val="both"/>
            </w:pPr>
            <w:r>
              <w:rPr>
                <w:sz w:val="20"/>
              </w:rPr>
              <w:t xml:space="preserve">1.2.2.1.1.1. Предоставление субсидий бюджетам муниципальных образований Новосибирской области на инженерное обустройство площадок комплексной застройки</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2017 - 2018 годы</w:t>
            </w:r>
          </w:p>
        </w:tc>
        <w:tc>
          <w:tcPr>
            <w:tcW w:w="5556" w:type="dxa"/>
          </w:tcPr>
          <w:p>
            <w:pPr>
              <w:pStyle w:val="0"/>
              <w:jc w:val="both"/>
            </w:pPr>
            <w:r>
              <w:rPr>
                <w:sz w:val="20"/>
              </w:rPr>
              <w:t xml:space="preserve">в рамках реализации подпрограммы бюджетные средства будут направлены на обеспечение инженерной инфраструктурой площадок комплексной застройки</w:t>
            </w:r>
          </w:p>
        </w:tc>
      </w:tr>
      <w:tr>
        <w:tc>
          <w:tcPr>
            <w:gridSpan w:val="4"/>
            <w:tcW w:w="13606" w:type="dxa"/>
          </w:tcPr>
          <w:p>
            <w:pPr>
              <w:pStyle w:val="0"/>
              <w:outlineLvl w:val="7"/>
              <w:jc w:val="center"/>
            </w:pPr>
            <w:r>
              <w:rPr>
                <w:sz w:val="20"/>
              </w:rPr>
              <w:t xml:space="preserve">1.2.2.1.2. Задача 2 подпрограммы государственной программы: решение вопросов завершения строительства и ввода в эксплуатацию объектов жилищного строительства, по которым застройщиком по истечении одного года,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r>
      <w:tr>
        <w:tc>
          <w:tcPr>
            <w:tcW w:w="5159" w:type="dxa"/>
          </w:tcPr>
          <w:p>
            <w:pPr>
              <w:pStyle w:val="0"/>
              <w:jc w:val="both"/>
            </w:pPr>
            <w:r>
              <w:rPr>
                <w:sz w:val="20"/>
              </w:rPr>
              <w:t xml:space="preserve">1.2.2.1.2.1. Предоставление субсидий бюджетам муниципальных образований на покрытие части расходов на оплату по договорам технологического присоединения к сетям электро-, тепло-, водоснабжения и водоотведения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2017 год</w:t>
            </w:r>
          </w:p>
        </w:tc>
        <w:tc>
          <w:tcPr>
            <w:tcW w:w="5556" w:type="dxa"/>
          </w:tcPr>
          <w:p>
            <w:pPr>
              <w:pStyle w:val="0"/>
              <w:jc w:val="both"/>
            </w:pPr>
            <w:r>
              <w:rPr>
                <w:sz w:val="20"/>
              </w:rPr>
              <w:t xml:space="preserve">за период реализации подпрограммы планируется выполнить мероприятия по обеспечению инженерной инфраструктурой 12 "проблемных" объектов, что составляет 54,5% "проблемных" объектов с учетом итогов реализации госпрограммы в 2016 году, удовлетворяющих условиям для получения государственной поддержки</w:t>
            </w:r>
          </w:p>
        </w:tc>
      </w:tr>
      <w:tr>
        <w:tc>
          <w:tcPr>
            <w:tcW w:w="5159" w:type="dxa"/>
          </w:tcPr>
          <w:p>
            <w:pPr>
              <w:pStyle w:val="0"/>
              <w:jc w:val="both"/>
            </w:pPr>
            <w:r>
              <w:rPr>
                <w:sz w:val="20"/>
              </w:rPr>
              <w:t xml:space="preserve">1.2.2.1.2.2. Проведение мониторинга объектов жилищного строительства, по которым застройщиком по истечении года со дня, установленного договором об участии в строительстве многоквартирного дома, не исполнены обязательства по вводу в эксплуатацию многоквартирного дома</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2017 год</w:t>
            </w:r>
          </w:p>
        </w:tc>
        <w:tc>
          <w:tcPr>
            <w:tcW w:w="5556" w:type="dxa"/>
          </w:tcPr>
          <w:p>
            <w:pPr>
              <w:pStyle w:val="0"/>
              <w:jc w:val="both"/>
            </w:pPr>
            <w:r>
              <w:rPr>
                <w:sz w:val="20"/>
              </w:rPr>
              <w:t xml:space="preserve">к концу 2017 года планируется ввести 10 "проблемных" объектов, что составляет 20,4% от общего количества незавершенных строительством "проблемных" объектов</w:t>
            </w:r>
          </w:p>
        </w:tc>
      </w:tr>
      <w:tr>
        <w:tc>
          <w:tcPr>
            <w:gridSpan w:val="4"/>
            <w:tcW w:w="13606" w:type="dxa"/>
          </w:tcPr>
          <w:p>
            <w:pPr>
              <w:pStyle w:val="0"/>
              <w:outlineLvl w:val="7"/>
              <w:jc w:val="center"/>
            </w:pPr>
            <w:r>
              <w:rPr>
                <w:sz w:val="20"/>
              </w:rPr>
              <w:t xml:space="preserve">1.2.2.1.3. Задача 3 подпрограммы государственной программы: создание условий для вовлечения в жилищное строительство земельных участков, находящихся в федеральной собственности, не используемых по назначению и пригодных для жилищного строительства</w:t>
            </w:r>
          </w:p>
        </w:tc>
      </w:tr>
      <w:tr>
        <w:tc>
          <w:tcPr>
            <w:tcW w:w="5159" w:type="dxa"/>
          </w:tcPr>
          <w:p>
            <w:pPr>
              <w:pStyle w:val="0"/>
              <w:jc w:val="both"/>
            </w:pPr>
            <w:r>
              <w:rPr>
                <w:sz w:val="20"/>
              </w:rPr>
              <w:t xml:space="preserve">1.2.2.1.3.1. Формирование перечня земельных участков, находящихся в федеральной собственности, не используемых по назначению и пригодных для жилищного строительства</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2017 - 2018 годы</w:t>
            </w:r>
          </w:p>
        </w:tc>
        <w:tc>
          <w:tcPr>
            <w:tcW w:w="5556" w:type="dxa"/>
          </w:tcPr>
          <w:p>
            <w:pPr>
              <w:pStyle w:val="0"/>
              <w:jc w:val="both"/>
            </w:pPr>
            <w:r>
              <w:rPr>
                <w:sz w:val="20"/>
              </w:rPr>
              <w:t xml:space="preserve">за период реализации подпрограммы планируется сформировать в Единый институт развития в жилищной сфере перечень неэффективно используемых федеральных земельных участков для вовлечения в оборот для жилищного строительства</w:t>
            </w:r>
          </w:p>
        </w:tc>
      </w:tr>
      <w:tr>
        <w:tc>
          <w:tcPr>
            <w:gridSpan w:val="4"/>
            <w:tcW w:w="13606" w:type="dxa"/>
          </w:tcPr>
          <w:p>
            <w:pPr>
              <w:pStyle w:val="0"/>
              <w:outlineLvl w:val="7"/>
              <w:jc w:val="center"/>
            </w:pPr>
            <w:r>
              <w:rPr>
                <w:sz w:val="20"/>
              </w:rPr>
              <w:t xml:space="preserve">1.2.2.1.4. Задача 4 подпрограммы государственной программы: создание условий для вовлечения в жилищное строительство земельных участков, находящихся в частной собственности</w:t>
            </w:r>
          </w:p>
        </w:tc>
      </w:tr>
      <w:tr>
        <w:tc>
          <w:tcPr>
            <w:tcW w:w="5159" w:type="dxa"/>
          </w:tcPr>
          <w:p>
            <w:pPr>
              <w:pStyle w:val="0"/>
              <w:jc w:val="both"/>
            </w:pPr>
            <w:r>
              <w:rPr>
                <w:sz w:val="20"/>
              </w:rPr>
              <w:t xml:space="preserve">1.2.2.1.4.1. Формирование перечня земельных участков, находящихся в частной собственности, не используемых по назначению и пригодных для жилищного строительства</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вовлечение неэффективно используемых земельных участков, находящихся в частной собственности, в отношении которых приняты решения о комплексном устойчивом развитии территорий</w:t>
            </w:r>
          </w:p>
        </w:tc>
      </w:tr>
      <w:tr>
        <w:tc>
          <w:tcPr>
            <w:gridSpan w:val="4"/>
            <w:tcW w:w="13606" w:type="dxa"/>
          </w:tcPr>
          <w:p>
            <w:pPr>
              <w:pStyle w:val="0"/>
              <w:outlineLvl w:val="7"/>
              <w:jc w:val="center"/>
            </w:pPr>
            <w:r>
              <w:rPr>
                <w:sz w:val="20"/>
              </w:rPr>
              <w:t xml:space="preserve">1.2.2.1.5. Задача 5 подпрограммы государственной программы: стимулирование программ развития на площадках комплексной застройки в рамках федерального проекта "Ипотека и арендное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tc>
      </w:tr>
      <w:tr>
        <w:tc>
          <w:tcPr>
            <w:tcW w:w="5159" w:type="dxa"/>
          </w:tcPr>
          <w:p>
            <w:pPr>
              <w:pStyle w:val="0"/>
              <w:jc w:val="both"/>
            </w:pPr>
            <w:r>
              <w:rPr>
                <w:sz w:val="20"/>
              </w:rPr>
              <w:t xml:space="preserve">1.2.2.1.5.1. Содействие строительству на площадках комплексной застройки</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обеспечение ввода жилья на площадках комплексной застройки ежегодно не менее 100 тыс. кв. м</w:t>
            </w:r>
          </w:p>
        </w:tc>
      </w:tr>
      <w:tr>
        <w:tc>
          <w:tcPr>
            <w:gridSpan w:val="4"/>
            <w:tcW w:w="13606" w:type="dxa"/>
          </w:tcPr>
          <w:p>
            <w:pPr>
              <w:pStyle w:val="0"/>
              <w:outlineLvl w:val="5"/>
              <w:jc w:val="center"/>
            </w:pPr>
            <w:r>
              <w:rPr>
                <w:sz w:val="20"/>
              </w:rPr>
              <w:t xml:space="preserve">1.2.3. Подпрограмма государственной программы "Государственная поддержка при завершении строительства "проблемных" жилых домов"</w:t>
            </w:r>
          </w:p>
        </w:tc>
      </w:tr>
      <w:tr>
        <w:tc>
          <w:tcPr>
            <w:gridSpan w:val="4"/>
            <w:tcW w:w="13606" w:type="dxa"/>
          </w:tcPr>
          <w:p>
            <w:pPr>
              <w:pStyle w:val="0"/>
              <w:outlineLvl w:val="6"/>
              <w:jc w:val="center"/>
            </w:pPr>
            <w:r>
              <w:rPr>
                <w:sz w:val="20"/>
              </w:rPr>
              <w:t xml:space="preserve">1.2.3.1. Цель подпрограммы государственной программы: принятие мер по соблюдению законных интересов граждан, чьи денежные средства привлечены для строительства многоквартирных жилых домов</w:t>
            </w:r>
          </w:p>
        </w:tc>
      </w:tr>
      <w:tr>
        <w:tc>
          <w:tcPr>
            <w:gridSpan w:val="4"/>
            <w:tcW w:w="13606" w:type="dxa"/>
          </w:tcPr>
          <w:p>
            <w:pPr>
              <w:pStyle w:val="0"/>
              <w:outlineLvl w:val="7"/>
              <w:jc w:val="center"/>
            </w:pPr>
            <w:r>
              <w:rPr>
                <w:sz w:val="20"/>
              </w:rPr>
              <w:t xml:space="preserve">1.2.3.1.1. Задача 1 подпрограммы государственной программы: обеспечение инженерной инфраструктурой "проблемных" объектов незавершенного строительства</w:t>
            </w:r>
          </w:p>
        </w:tc>
      </w:tr>
      <w:tr>
        <w:tc>
          <w:tcPr>
            <w:tcW w:w="5159" w:type="dxa"/>
          </w:tcPr>
          <w:p>
            <w:pPr>
              <w:pStyle w:val="0"/>
              <w:jc w:val="both"/>
            </w:pPr>
            <w:r>
              <w:rPr>
                <w:sz w:val="20"/>
              </w:rPr>
              <w:t xml:space="preserve">1.2.3.1.1.1. Предоставление субсидий бюджетам муниципальных образований на покрытие части расходов на оплату по договорам технологического присоединения к сетям электро-, тепло-, водоснабжения и водоотведения в целях решения вопросов завершения строительства и ввода в эксплуатацию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за период реализации подпрограммы планируется выполнить мероприятия по обеспечению инженерной инфраструктурой 6 "проблемных" объектов обманутых дольщиков, что составляет 100% "проблемных" объектов, удовлетворяющих условиям для получения государственной поддержки</w:t>
            </w:r>
          </w:p>
        </w:tc>
      </w:tr>
      <w:tr>
        <w:tc>
          <w:tcPr>
            <w:gridSpan w:val="4"/>
            <w:tcW w:w="13606" w:type="dxa"/>
          </w:tcPr>
          <w:p>
            <w:pPr>
              <w:pStyle w:val="0"/>
              <w:outlineLvl w:val="7"/>
              <w:jc w:val="center"/>
            </w:pPr>
            <w:r>
              <w:rPr>
                <w:sz w:val="20"/>
              </w:rPr>
              <w:t xml:space="preserve">1.2.3.1.2. Задача 2 подпрограммы государственной программы: компенсация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w:t>
            </w:r>
          </w:p>
        </w:tc>
      </w:tr>
      <w:tr>
        <w:tc>
          <w:tcPr>
            <w:tcW w:w="5159" w:type="dxa"/>
          </w:tcPr>
          <w:p>
            <w:pPr>
              <w:pStyle w:val="0"/>
              <w:jc w:val="both"/>
            </w:pPr>
            <w:r>
              <w:rPr>
                <w:sz w:val="20"/>
              </w:rPr>
              <w:t xml:space="preserve">1.2.3.1.2.1. Предоставление субсидий гражданам, пострадавшим от недобросовестных застройщиков</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предоставление субсидий 15 гражданам, пострадавшим от действий недобросовестных застройщиков</w:t>
            </w:r>
          </w:p>
        </w:tc>
      </w:tr>
      <w:tr>
        <w:tc>
          <w:tcPr>
            <w:gridSpan w:val="4"/>
            <w:tcW w:w="13606" w:type="dxa"/>
          </w:tcPr>
          <w:p>
            <w:pPr>
              <w:pStyle w:val="0"/>
              <w:outlineLvl w:val="7"/>
              <w:jc w:val="center"/>
            </w:pPr>
            <w:r>
              <w:rPr>
                <w:sz w:val="20"/>
              </w:rPr>
              <w:t xml:space="preserve">1.2.3.1.3. Задача 3 подпрограммы государственной программы: профилактика возникновения новых случаев недобросовестных действий застройщиков при строительстве многоквартирных жилых домов в Новосибирской области</w:t>
            </w:r>
          </w:p>
        </w:tc>
      </w:tr>
      <w:tr>
        <w:tc>
          <w:tcPr>
            <w:tcW w:w="5159" w:type="dxa"/>
          </w:tcPr>
          <w:p>
            <w:pPr>
              <w:pStyle w:val="0"/>
              <w:jc w:val="both"/>
            </w:pPr>
            <w:r>
              <w:rPr>
                <w:sz w:val="20"/>
              </w:rPr>
              <w:t xml:space="preserve">1.2.3.1.3.1. Проведение мониторинга объектов жилищного строительства, по которым застройщиком не исполнены обязательства по вводу в эксплуатацию многоквартирного дома в соответствии с условиями договора участия в долевом строительстве</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к концу 2018 года планируется ввести 10 "проблемных" объектов</w:t>
            </w:r>
          </w:p>
        </w:tc>
      </w:tr>
      <w:tr>
        <w:tc>
          <w:tcPr>
            <w:tcW w:w="5159" w:type="dxa"/>
          </w:tcPr>
          <w:p>
            <w:pPr>
              <w:pStyle w:val="0"/>
              <w:jc w:val="both"/>
            </w:pPr>
            <w:r>
              <w:rPr>
                <w:sz w:val="20"/>
              </w:rPr>
              <w:t xml:space="preserve">1.2.3.1.3.2. Проведение контрольно-проверочных мероприятий, направленных на соблюдение требований законодательства о долевом строительстве, на основании анализа отчетности застройщиков и информации органов местного самоуправления</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ежегодно раз в квартал планируется проведение контрольно-проверочных мероприятий, направленных на соблюдение требований законодательства о долевом строительстве</w:t>
            </w:r>
          </w:p>
        </w:tc>
      </w:tr>
      <w:tr>
        <w:tc>
          <w:tcPr>
            <w:tcW w:w="5159" w:type="dxa"/>
          </w:tcPr>
          <w:p>
            <w:pPr>
              <w:pStyle w:val="0"/>
              <w:jc w:val="both"/>
            </w:pPr>
            <w:r>
              <w:rPr>
                <w:sz w:val="20"/>
              </w:rPr>
              <w:t xml:space="preserve">1.2.3.1.3.3. Проведение консультационной работы с гражданами</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планируется оказание консультационной помощи гражданам - участникам долевого строительства по вопросам долевого строительства</w:t>
            </w:r>
          </w:p>
        </w:tc>
      </w:tr>
      <w:tr>
        <w:tc>
          <w:tcPr>
            <w:gridSpan w:val="4"/>
            <w:tcW w:w="13606" w:type="dxa"/>
          </w:tcPr>
          <w:p>
            <w:pPr>
              <w:pStyle w:val="0"/>
              <w:outlineLvl w:val="4"/>
              <w:jc w:val="center"/>
            </w:pPr>
            <w:r>
              <w:rPr>
                <w:sz w:val="20"/>
              </w:rPr>
              <w:t xml:space="preserve">1.3. Задача 3 государственной программы: улучшение жилищных условий различных категорий граждан и создание условий для развития ипотечного кредитования</w:t>
            </w:r>
          </w:p>
        </w:tc>
      </w:tr>
      <w:tr>
        <w:tc>
          <w:tcPr>
            <w:gridSpan w:val="4"/>
            <w:tcW w:w="13606" w:type="dxa"/>
          </w:tcPr>
          <w:p>
            <w:pPr>
              <w:pStyle w:val="0"/>
              <w:outlineLvl w:val="5"/>
              <w:jc w:val="center"/>
            </w:pPr>
            <w:r>
              <w:rPr>
                <w:sz w:val="20"/>
              </w:rPr>
              <w:t xml:space="preserve">1.3.1. Подпрограмма государственной программы "Государственная поддержка граждан при приобретении (строительстве) жилья и стимулирование развития ипотечного кредитования"</w:t>
            </w:r>
          </w:p>
        </w:tc>
      </w:tr>
      <w:tr>
        <w:tc>
          <w:tcPr>
            <w:gridSpan w:val="4"/>
            <w:tcW w:w="13606" w:type="dxa"/>
          </w:tcPr>
          <w:p>
            <w:pPr>
              <w:pStyle w:val="0"/>
              <w:outlineLvl w:val="6"/>
              <w:jc w:val="center"/>
            </w:pPr>
            <w:r>
              <w:rPr>
                <w:sz w:val="20"/>
              </w:rPr>
              <w:t xml:space="preserve">1.3.1.1. Цель подпрограммы государственной программы: содействие в улучшении жилищных условий экономически активного населения</w:t>
            </w:r>
          </w:p>
        </w:tc>
      </w:tr>
      <w:tr>
        <w:tc>
          <w:tcPr>
            <w:gridSpan w:val="4"/>
            <w:tcW w:w="13606" w:type="dxa"/>
          </w:tcPr>
          <w:p>
            <w:pPr>
              <w:pStyle w:val="0"/>
              <w:outlineLvl w:val="7"/>
              <w:jc w:val="center"/>
            </w:pPr>
            <w:r>
              <w:rPr>
                <w:sz w:val="20"/>
              </w:rPr>
              <w:t xml:space="preserve">1.3.1.1.1. Задача 1 подпрограммы государственной программы: поддержка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tc>
      </w:tr>
      <w:tr>
        <w:tc>
          <w:tcPr>
            <w:tcW w:w="5159" w:type="dxa"/>
          </w:tcPr>
          <w:p>
            <w:pPr>
              <w:pStyle w:val="0"/>
              <w:jc w:val="both"/>
            </w:pPr>
            <w:r>
              <w:rPr>
                <w:sz w:val="20"/>
              </w:rPr>
              <w:t xml:space="preserve">1.3.1.1.1.1. Предоставление субсидий гражданам для компенсации части затрат по оплате стоимости жилого помещения, приобретенного в многоквартирном (в том числе малоэтажном) жилом доме</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2015 год</w:t>
            </w:r>
          </w:p>
        </w:tc>
        <w:tc>
          <w:tcPr>
            <w:tcW w:w="5556" w:type="dxa"/>
          </w:tcPr>
          <w:p>
            <w:pPr>
              <w:pStyle w:val="0"/>
              <w:jc w:val="both"/>
            </w:pPr>
            <w:r>
              <w:rPr>
                <w:sz w:val="20"/>
              </w:rPr>
              <w:t xml:space="preserve">улучшение жилищных условий 80 граждан при покупке квартир в новостройках</w:t>
            </w:r>
          </w:p>
        </w:tc>
      </w:tr>
      <w:tr>
        <w:tc>
          <w:tcPr>
            <w:tcW w:w="5159" w:type="dxa"/>
          </w:tcPr>
          <w:p>
            <w:pPr>
              <w:pStyle w:val="0"/>
              <w:jc w:val="both"/>
            </w:pPr>
            <w:r>
              <w:rPr>
                <w:sz w:val="20"/>
              </w:rPr>
              <w:t xml:space="preserve">1.3.1.1.1.2. Предоставление целевых субсидий гражданам на строительство индивидуальных жилых домов</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2015 - 2016 годы</w:t>
            </w:r>
          </w:p>
        </w:tc>
        <w:tc>
          <w:tcPr>
            <w:tcW w:w="5556" w:type="dxa"/>
          </w:tcPr>
          <w:p>
            <w:pPr>
              <w:pStyle w:val="0"/>
              <w:jc w:val="both"/>
            </w:pPr>
            <w:r>
              <w:rPr>
                <w:sz w:val="20"/>
              </w:rPr>
              <w:t xml:space="preserve">стимулирование строительства 2394 индивидуальных жилых домов</w:t>
            </w:r>
          </w:p>
        </w:tc>
      </w:tr>
      <w:tr>
        <w:tc>
          <w:tcPr>
            <w:tcW w:w="5159" w:type="dxa"/>
          </w:tcPr>
          <w:p>
            <w:pPr>
              <w:pStyle w:val="0"/>
              <w:jc w:val="both"/>
            </w:pPr>
            <w:r>
              <w:rPr>
                <w:sz w:val="20"/>
              </w:rPr>
              <w:t xml:space="preserve">1.3.1.1.1.3. Предоставление субсидий гражданам на компенсацию расходов застройщика по строительству индивидуального жилого дома</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2015 - 2018 годы</w:t>
            </w:r>
          </w:p>
        </w:tc>
        <w:tc>
          <w:tcPr>
            <w:tcW w:w="5556" w:type="dxa"/>
          </w:tcPr>
          <w:p>
            <w:pPr>
              <w:pStyle w:val="0"/>
              <w:jc w:val="both"/>
            </w:pPr>
            <w:r>
              <w:rPr>
                <w:sz w:val="20"/>
              </w:rPr>
              <w:t xml:space="preserve">стимулирование ввода в эксплуатацию 7033 индивидуальных жилых домов</w:t>
            </w:r>
          </w:p>
        </w:tc>
      </w:tr>
      <w:tr>
        <w:tc>
          <w:tcPr>
            <w:tcW w:w="5159" w:type="dxa"/>
          </w:tcPr>
          <w:p>
            <w:pPr>
              <w:pStyle w:val="0"/>
              <w:jc w:val="both"/>
            </w:pPr>
            <w:r>
              <w:rPr>
                <w:sz w:val="20"/>
              </w:rPr>
              <w:t xml:space="preserve">1.3.1.1.1.4. Предоставление субсидий гражданам, пострадавшим от недобросовестных застройщиков</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2015 - 2017 годы</w:t>
            </w:r>
          </w:p>
        </w:tc>
        <w:tc>
          <w:tcPr>
            <w:tcW w:w="5556" w:type="dxa"/>
          </w:tcPr>
          <w:p>
            <w:pPr>
              <w:pStyle w:val="0"/>
              <w:jc w:val="both"/>
            </w:pPr>
            <w:r>
              <w:rPr>
                <w:sz w:val="20"/>
              </w:rPr>
              <w:t xml:space="preserve">предоставление субсидий 617 гражданам, пострадавшим от действий недобросовестных застройщиков</w:t>
            </w:r>
          </w:p>
        </w:tc>
      </w:tr>
      <w:tr>
        <w:tc>
          <w:tcPr>
            <w:tcW w:w="5159" w:type="dxa"/>
          </w:tcPr>
          <w:p>
            <w:pPr>
              <w:pStyle w:val="0"/>
              <w:jc w:val="both"/>
            </w:pPr>
            <w:r>
              <w:rPr>
                <w:sz w:val="20"/>
              </w:rPr>
              <w:t xml:space="preserve">1.3.1.1.1.5. Предоставление субсидий гражданам на компенсацию части расходов по оплате процентов по оформленному кредиту (займу)</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2015 - 2018 годы</w:t>
            </w:r>
          </w:p>
        </w:tc>
        <w:tc>
          <w:tcPr>
            <w:tcW w:w="5556" w:type="dxa"/>
          </w:tcPr>
          <w:p>
            <w:pPr>
              <w:pStyle w:val="0"/>
              <w:jc w:val="both"/>
            </w:pPr>
            <w:r>
              <w:rPr>
                <w:sz w:val="20"/>
              </w:rPr>
              <w:t xml:space="preserve">к концу 2018 года выполнение обязательств в полном объеме по предоставлению субсидий на компенсацию части процентной ставки по жилищным кредитам выполнены. Общее количество граждан, получивших данный вид поддержки, составит 2000 человек</w:t>
            </w:r>
          </w:p>
        </w:tc>
      </w:tr>
      <w:tr>
        <w:tc>
          <w:tcPr>
            <w:tcW w:w="5159" w:type="dxa"/>
          </w:tcPr>
          <w:p>
            <w:pPr>
              <w:pStyle w:val="0"/>
              <w:jc w:val="both"/>
            </w:pPr>
            <w:r>
              <w:rPr>
                <w:sz w:val="20"/>
              </w:rPr>
              <w:t xml:space="preserve">1.3.1.1.1.6. Предоставление субсидий отдельным категориям граждан на оплату приобретаемых жилых помещений</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2015 - 2018 годы</w:t>
            </w:r>
          </w:p>
        </w:tc>
        <w:tc>
          <w:tcPr>
            <w:tcW w:w="5556" w:type="dxa"/>
          </w:tcPr>
          <w:p>
            <w:pPr>
              <w:pStyle w:val="0"/>
              <w:jc w:val="both"/>
            </w:pPr>
            <w:r>
              <w:rPr>
                <w:sz w:val="20"/>
              </w:rPr>
              <w:t xml:space="preserve">обеспечение жильем отдельных категорий граждан</w:t>
            </w:r>
          </w:p>
        </w:tc>
      </w:tr>
      <w:tr>
        <w:tc>
          <w:tcPr>
            <w:tcW w:w="5159" w:type="dxa"/>
          </w:tcPr>
          <w:p>
            <w:pPr>
              <w:pStyle w:val="0"/>
              <w:jc w:val="both"/>
            </w:pPr>
            <w:r>
              <w:rPr>
                <w:sz w:val="20"/>
              </w:rPr>
              <w:t xml:space="preserve">1.3.1.1.1.7. Содействие в обеспечении жильем соотечественников, прибывших в Новосибирскую область из-за рубежа, путем строительства доступного жилья</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2016 год</w:t>
            </w:r>
          </w:p>
        </w:tc>
        <w:tc>
          <w:tcPr>
            <w:tcW w:w="5556" w:type="dxa"/>
          </w:tcPr>
          <w:p>
            <w:pPr>
              <w:pStyle w:val="0"/>
              <w:jc w:val="both"/>
            </w:pPr>
            <w:r>
              <w:rPr>
                <w:sz w:val="20"/>
              </w:rPr>
              <w:t xml:space="preserve">отработка механизма строительства доступного жилья с привлечением собственных средств соотечественников и субсидий из федерального бюджета</w:t>
            </w:r>
          </w:p>
        </w:tc>
      </w:tr>
      <w:tr>
        <w:tc>
          <w:tcPr>
            <w:gridSpan w:val="4"/>
            <w:tcW w:w="13606" w:type="dxa"/>
          </w:tcPr>
          <w:p>
            <w:pPr>
              <w:pStyle w:val="0"/>
              <w:outlineLvl w:val="7"/>
              <w:jc w:val="center"/>
            </w:pPr>
            <w:r>
              <w:rPr>
                <w:sz w:val="20"/>
              </w:rPr>
              <w:t xml:space="preserve">1.3.1.1.2. Задача 2 подпрограммы государственной программы: стимулирование развития ипотечного кредитования</w:t>
            </w:r>
          </w:p>
        </w:tc>
      </w:tr>
      <w:tr>
        <w:tc>
          <w:tcPr>
            <w:tcW w:w="5159" w:type="dxa"/>
          </w:tcPr>
          <w:p>
            <w:pPr>
              <w:pStyle w:val="0"/>
              <w:jc w:val="both"/>
            </w:pPr>
            <w:r>
              <w:rPr>
                <w:sz w:val="20"/>
              </w:rPr>
              <w:t xml:space="preserve">1.3.1.1.2.1. Разработка и реализация пилотных проектов в сфере ипотечного кредитования, а также программ, имеющих социальную направленность и призванных удовлетворить потребности в жилье отдельных категорий граждан с применением механизмов ипотечного кредитования</w:t>
            </w:r>
          </w:p>
        </w:tc>
        <w:tc>
          <w:tcPr>
            <w:tcW w:w="1984" w:type="dxa"/>
          </w:tcPr>
          <w:p>
            <w:pPr>
              <w:pStyle w:val="0"/>
              <w:jc w:val="center"/>
            </w:pPr>
            <w:r>
              <w:rPr>
                <w:sz w:val="20"/>
              </w:rPr>
              <w:t xml:space="preserve">АО "НОАИК"</w:t>
            </w:r>
          </w:p>
        </w:tc>
        <w:tc>
          <w:tcPr>
            <w:tcW w:w="907" w:type="dxa"/>
          </w:tcPr>
          <w:p>
            <w:pPr>
              <w:pStyle w:val="0"/>
              <w:jc w:val="center"/>
            </w:pPr>
            <w:r>
              <w:rPr>
                <w:sz w:val="20"/>
              </w:rPr>
              <w:t xml:space="preserve">2015 - 2018 годы</w:t>
            </w:r>
          </w:p>
        </w:tc>
        <w:tc>
          <w:tcPr>
            <w:tcW w:w="5556" w:type="dxa"/>
          </w:tcPr>
          <w:p>
            <w:pPr>
              <w:pStyle w:val="0"/>
              <w:jc w:val="both"/>
            </w:pPr>
            <w:r>
              <w:rPr>
                <w:sz w:val="20"/>
              </w:rPr>
              <w:t xml:space="preserve">стимулирование развития ипотечного кредитования, увеличение количества выдаваемых ипотечных кредитов в Новосибирской области до 28 тыс. шт. в год к концу 2018 года</w:t>
            </w:r>
          </w:p>
        </w:tc>
      </w:tr>
      <w:tr>
        <w:tc>
          <w:tcPr>
            <w:tcW w:w="5159" w:type="dxa"/>
          </w:tcPr>
          <w:p>
            <w:pPr>
              <w:pStyle w:val="0"/>
              <w:jc w:val="both"/>
            </w:pPr>
            <w:r>
              <w:rPr>
                <w:sz w:val="20"/>
              </w:rPr>
              <w:t xml:space="preserve">1.3.1.1.2.2. Предоставление субсидий отдельным категориям работников бюджетной сферы на оплату первоначального взноса по ипотечным жилищным кредитам (займам)</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улучшение жилищных условий работников бюджетной сферы с использованием ипотечного кредитования</w:t>
            </w:r>
          </w:p>
        </w:tc>
      </w:tr>
      <w:tr>
        <w:tc>
          <w:tcPr>
            <w:tcW w:w="5159" w:type="dxa"/>
          </w:tcPr>
          <w:p>
            <w:pPr>
              <w:pStyle w:val="0"/>
              <w:jc w:val="both"/>
            </w:pPr>
            <w:r>
              <w:rPr>
                <w:sz w:val="20"/>
              </w:rPr>
              <w:t xml:space="preserve">1.3.1.1.2.3. Предоставление субсидий отдельным категориям работников бюджетной сферы для компенсации части расходов по оплате процентов по оформленному ипотечному жилищному кредиту (займу) в случае обращения в установленном порядке за предоставлением субсидии при ипотечном жилищном кредитовании в срок до 01.10.2015</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предоставление работникам бюджетной сферы субсидий на компенсацию процентной ставки по кредитам в целях улучшения жилищных условий</w:t>
            </w:r>
          </w:p>
        </w:tc>
      </w:tr>
      <w:tr>
        <w:tc>
          <w:tcPr>
            <w:gridSpan w:val="4"/>
            <w:tcW w:w="13606" w:type="dxa"/>
          </w:tcPr>
          <w:p>
            <w:pPr>
              <w:pStyle w:val="0"/>
              <w:outlineLvl w:val="5"/>
              <w:jc w:val="center"/>
            </w:pPr>
            <w:r>
              <w:rPr>
                <w:sz w:val="20"/>
              </w:rPr>
              <w:t xml:space="preserve">1.3.2. Подпрограмма государственной 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w:t>
            </w:r>
          </w:p>
        </w:tc>
      </w:tr>
      <w:tr>
        <w:tc>
          <w:tcPr>
            <w:gridSpan w:val="4"/>
            <w:tcW w:w="13606" w:type="dxa"/>
          </w:tcPr>
          <w:p>
            <w:pPr>
              <w:pStyle w:val="0"/>
              <w:outlineLvl w:val="6"/>
              <w:jc w:val="center"/>
            </w:pPr>
            <w:r>
              <w:rPr>
                <w:sz w:val="20"/>
              </w:rPr>
              <w:t xml:space="preserve">1.3.2.1. Цель подпрограммы государственной программы: улучшение жилищных условий многодетных малообеспеченных семей</w:t>
            </w:r>
          </w:p>
        </w:tc>
      </w:tr>
      <w:tr>
        <w:tc>
          <w:tcPr>
            <w:gridSpan w:val="4"/>
            <w:tcW w:w="13606" w:type="dxa"/>
          </w:tcPr>
          <w:p>
            <w:pPr>
              <w:pStyle w:val="0"/>
              <w:outlineLvl w:val="7"/>
              <w:jc w:val="center"/>
            </w:pPr>
            <w:r>
              <w:rPr>
                <w:sz w:val="20"/>
              </w:rPr>
              <w:t xml:space="preserve">1.3.2.1.1. Задача 1 подпрограммы государственной программы: обеспечение многодетных малообеспеченных семей, имеющих 5 и более детей, жилыми помещениями по договорам социального найма</w:t>
            </w:r>
          </w:p>
        </w:tc>
      </w:tr>
      <w:tr>
        <w:tc>
          <w:tcPr>
            <w:tcW w:w="5159" w:type="dxa"/>
          </w:tcPr>
          <w:p>
            <w:pPr>
              <w:pStyle w:val="0"/>
              <w:jc w:val="both"/>
            </w:pPr>
            <w:r>
              <w:rPr>
                <w:sz w:val="20"/>
              </w:rPr>
              <w:t xml:space="preserve">1.3.2.1.1.1. Предоставление субсидий бюджетам муниципальных районов и городских округов Новосибирской области на обеспечение жилыми помещениями многодетных малообеспеченных семей по договорам социального найма</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2015 - 2018 годы</w:t>
            </w:r>
          </w:p>
        </w:tc>
        <w:tc>
          <w:tcPr>
            <w:tcW w:w="5556" w:type="dxa"/>
          </w:tcPr>
          <w:p>
            <w:pPr>
              <w:pStyle w:val="0"/>
              <w:jc w:val="both"/>
            </w:pPr>
            <w:r>
              <w:rPr>
                <w:sz w:val="20"/>
              </w:rPr>
              <w:t xml:space="preserve">обеспечение жильем к концу 2018 года 58 нуждающихся в жилых помещениях малоимущих многодетных семей, имеющих 5 и более несовершеннолетних детей</w:t>
            </w:r>
          </w:p>
        </w:tc>
      </w:tr>
      <w:tr>
        <w:tc>
          <w:tcPr>
            <w:gridSpan w:val="4"/>
            <w:tcW w:w="13606" w:type="dxa"/>
          </w:tcPr>
          <w:p>
            <w:pPr>
              <w:pStyle w:val="0"/>
              <w:outlineLvl w:val="5"/>
              <w:jc w:val="center"/>
            </w:pPr>
            <w:r>
              <w:rPr>
                <w:sz w:val="20"/>
              </w:rPr>
              <w:t xml:space="preserve">1.3.3. Подпрограмма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r>
      <w:tr>
        <w:tc>
          <w:tcPr>
            <w:gridSpan w:val="4"/>
            <w:tcW w:w="13606" w:type="dxa"/>
          </w:tcPr>
          <w:p>
            <w:pPr>
              <w:pStyle w:val="0"/>
              <w:outlineLvl w:val="6"/>
              <w:jc w:val="center"/>
            </w:pPr>
            <w:r>
              <w:rPr>
                <w:sz w:val="20"/>
              </w:rPr>
              <w:t xml:space="preserve">1.3.3.1. Цель подпрограммы государственной программы: закрепление кадров за счет улучшения жилищных условий отдельных категорий граждан, проживающих на территории Новосибирской области</w:t>
            </w:r>
          </w:p>
        </w:tc>
      </w:tr>
      <w:tr>
        <w:tc>
          <w:tcPr>
            <w:gridSpan w:val="4"/>
            <w:tcW w:w="13606" w:type="dxa"/>
          </w:tcPr>
          <w:p>
            <w:pPr>
              <w:pStyle w:val="0"/>
              <w:outlineLvl w:val="7"/>
              <w:jc w:val="center"/>
            </w:pPr>
            <w:r>
              <w:rPr>
                <w:sz w:val="20"/>
              </w:rPr>
              <w:t xml:space="preserve">1.3.3.1.1. Задача 1 подпрограммы государственной программы: обеспечение отдельных категорий граждан, проживающих и работающих на территории Новосибирской области, служебным жильем</w:t>
            </w:r>
          </w:p>
        </w:tc>
      </w:tr>
      <w:tr>
        <w:tc>
          <w:tcPr>
            <w:tcW w:w="5159" w:type="dxa"/>
          </w:tcPr>
          <w:p>
            <w:pPr>
              <w:pStyle w:val="0"/>
              <w:jc w:val="both"/>
            </w:pPr>
            <w:r>
              <w:rPr>
                <w:sz w:val="20"/>
              </w:rPr>
              <w:t xml:space="preserve">1.3.3.1.1.1. Предоставление субсидий бюджетам муниципальных районов и городских округов Новосибирской области для строительства (приобретения на первичном рынке) служебного жилья для отдельных категорий граждан, проживающих и работающих на территории Новосибирской области</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2015 год</w:t>
            </w:r>
          </w:p>
        </w:tc>
        <w:tc>
          <w:tcPr>
            <w:tcW w:w="5556" w:type="dxa"/>
          </w:tcPr>
          <w:p>
            <w:pPr>
              <w:pStyle w:val="0"/>
              <w:jc w:val="both"/>
            </w:pPr>
            <w:r>
              <w:rPr>
                <w:sz w:val="20"/>
              </w:rPr>
              <w:t xml:space="preserve">строительство (приобретение на первичном рынке) 3 квартир для предоставления в качестве служебного жилья для отдельных категорий граждан, проживающих и работающих на территории Новосибирской области</w:t>
            </w:r>
          </w:p>
        </w:tc>
      </w:tr>
      <w:tr>
        <w:tc>
          <w:tcPr>
            <w:tcW w:w="5159" w:type="dxa"/>
          </w:tcPr>
          <w:p>
            <w:pPr>
              <w:pStyle w:val="0"/>
              <w:jc w:val="both"/>
            </w:pPr>
            <w:r>
              <w:rPr>
                <w:sz w:val="20"/>
              </w:rPr>
              <w:t xml:space="preserve">1.3.3.1.1.2. Проведение мониторинга в целях определения потребности в служебном жилье</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2017 - 2018 годы</w:t>
            </w:r>
          </w:p>
        </w:tc>
        <w:tc>
          <w:tcPr>
            <w:tcW w:w="5556" w:type="dxa"/>
          </w:tcPr>
          <w:p>
            <w:pPr>
              <w:pStyle w:val="0"/>
              <w:jc w:val="both"/>
            </w:pPr>
            <w:r>
              <w:rPr>
                <w:sz w:val="20"/>
              </w:rPr>
              <w:t xml:space="preserve">ежегодное изучение спроса на служебное жилье на территории Новосибирской области. По состоянию на 01.01.2018 на территории Новосибирской области потребность в служебном жилье составляет 2140 квартир</w:t>
            </w:r>
          </w:p>
        </w:tc>
      </w:tr>
      <w:tr>
        <w:tc>
          <w:tcPr>
            <w:gridSpan w:val="4"/>
            <w:tcW w:w="13606" w:type="dxa"/>
          </w:tcPr>
          <w:p>
            <w:pPr>
              <w:pStyle w:val="0"/>
              <w:outlineLvl w:val="5"/>
              <w:jc w:val="center"/>
            </w:pPr>
            <w:r>
              <w:rPr>
                <w:sz w:val="20"/>
              </w:rPr>
              <w:t xml:space="preserve">1.3.4. Подпрограмма государственной программы "Государственная поддержка отдельных категорий работников бюджетной сферы при ипотечном жилищном кредитовании"</w:t>
            </w:r>
          </w:p>
        </w:tc>
      </w:tr>
      <w:tr>
        <w:tc>
          <w:tcPr>
            <w:gridSpan w:val="4"/>
            <w:tcW w:w="13606" w:type="dxa"/>
          </w:tcPr>
          <w:p>
            <w:pPr>
              <w:pStyle w:val="0"/>
              <w:outlineLvl w:val="6"/>
              <w:jc w:val="center"/>
            </w:pPr>
            <w:r>
              <w:rPr>
                <w:sz w:val="20"/>
              </w:rPr>
              <w:t xml:space="preserve">1.3.4.1. Цель подпрограммы государственной программы: повышение доступности жилья для молодых специалистов бюджетной сферы</w:t>
            </w:r>
          </w:p>
        </w:tc>
      </w:tr>
      <w:tr>
        <w:tc>
          <w:tcPr>
            <w:gridSpan w:val="4"/>
            <w:tcW w:w="13606" w:type="dxa"/>
          </w:tcPr>
          <w:p>
            <w:pPr>
              <w:pStyle w:val="0"/>
              <w:outlineLvl w:val="7"/>
              <w:jc w:val="center"/>
            </w:pPr>
            <w:r>
              <w:rPr>
                <w:sz w:val="20"/>
              </w:rPr>
              <w:t xml:space="preserve">1.3.4.1.1. Задача 1 подпрограммы государственной программы: поддержка платежеспособного спроса на приобретение жилья путем предоставления работникам бюджетной сферы субсидий при ипотечном жилищном кредитовании</w:t>
            </w:r>
          </w:p>
        </w:tc>
      </w:tr>
      <w:tr>
        <w:tc>
          <w:tcPr>
            <w:tcW w:w="5159" w:type="dxa"/>
          </w:tcPr>
          <w:p>
            <w:pPr>
              <w:pStyle w:val="0"/>
              <w:jc w:val="both"/>
            </w:pPr>
            <w:r>
              <w:rPr>
                <w:sz w:val="20"/>
              </w:rPr>
              <w:t xml:space="preserve">1.3.4.1.1.1. Предоставление субсидий отдельным категориям работников бюджетной сферы на оплату первоначального взноса по ипотечным жилищным кредитам, компенсации части расходов по оплате процентов по оформленному ипотечному жилищному кредиту</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2015 - 2017 годы</w:t>
            </w:r>
          </w:p>
        </w:tc>
        <w:tc>
          <w:tcPr>
            <w:tcW w:w="5556" w:type="dxa"/>
          </w:tcPr>
          <w:p>
            <w:pPr>
              <w:pStyle w:val="0"/>
              <w:jc w:val="both"/>
            </w:pPr>
            <w:r>
              <w:rPr>
                <w:sz w:val="20"/>
              </w:rPr>
              <w:t xml:space="preserve">улучшение жилищных условий с использованием ипотечного кредитования 81 работнику бюджетной сферы</w:t>
            </w:r>
          </w:p>
        </w:tc>
      </w:tr>
      <w:tr>
        <w:tc>
          <w:tcPr>
            <w:tcW w:w="5159" w:type="dxa"/>
          </w:tcPr>
          <w:p>
            <w:pPr>
              <w:pStyle w:val="0"/>
              <w:jc w:val="both"/>
            </w:pPr>
            <w:r>
              <w:rPr>
                <w:sz w:val="20"/>
              </w:rPr>
              <w:t xml:space="preserve">1.3.4.1.1.2. Предоставление субсидий отдельным категориям работников бюджетной сферы для компенсации части расходов по оплате процентов по оформленному ипотечному жилищному кредиту</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2015 - 2017 годы</w:t>
            </w:r>
          </w:p>
        </w:tc>
        <w:tc>
          <w:tcPr>
            <w:tcW w:w="5556" w:type="dxa"/>
          </w:tcPr>
          <w:p>
            <w:pPr>
              <w:pStyle w:val="0"/>
              <w:jc w:val="both"/>
            </w:pPr>
            <w:r>
              <w:rPr>
                <w:sz w:val="20"/>
              </w:rPr>
              <w:t xml:space="preserve">предоставление 20 работникам бюджетной сферы субсидий на компенсацию процентной ставки по кредитам в целях улучшения жилищных условий</w:t>
            </w:r>
          </w:p>
        </w:tc>
      </w:tr>
      <w:tr>
        <w:tc>
          <w:tcPr>
            <w:gridSpan w:val="4"/>
            <w:tcW w:w="13606" w:type="dxa"/>
          </w:tcPr>
          <w:p>
            <w:pPr>
              <w:pStyle w:val="0"/>
              <w:outlineLvl w:val="5"/>
              <w:jc w:val="center"/>
            </w:pPr>
            <w:r>
              <w:rPr>
                <w:sz w:val="20"/>
              </w:rPr>
              <w:t xml:space="preserve">1.3.5. Подпрограмма государственной программы "Государственная поддержка отдельных категорий граждан, являющихся нанимателями по договорам коммерческого найма жилых помещений"</w:t>
            </w:r>
          </w:p>
        </w:tc>
      </w:tr>
      <w:tr>
        <w:tc>
          <w:tcPr>
            <w:gridSpan w:val="4"/>
            <w:tcW w:w="13606" w:type="dxa"/>
          </w:tcPr>
          <w:p>
            <w:pPr>
              <w:pStyle w:val="0"/>
              <w:outlineLvl w:val="6"/>
              <w:jc w:val="center"/>
            </w:pPr>
            <w:r>
              <w:rPr>
                <w:sz w:val="20"/>
              </w:rPr>
              <w:t xml:space="preserve">1.3.5.1. Цель подпрограммы государственной программы: создание условий для повышения доступности жилья для отдельных категорий граждан путем предоставления жилых помещений по договорам коммерческого найма</w:t>
            </w:r>
          </w:p>
        </w:tc>
      </w:tr>
      <w:tr>
        <w:tc>
          <w:tcPr>
            <w:gridSpan w:val="4"/>
            <w:tcW w:w="13606" w:type="dxa"/>
          </w:tcPr>
          <w:p>
            <w:pPr>
              <w:pStyle w:val="0"/>
              <w:outlineLvl w:val="7"/>
              <w:jc w:val="center"/>
            </w:pPr>
            <w:r>
              <w:rPr>
                <w:sz w:val="20"/>
              </w:rPr>
              <w:t xml:space="preserve">1.3.5.1.1. Задача 1 подпрограммы государственной программы: создание условий для обеспечения граждан отдельных категорий жильем по договорам коммерческого найма</w:t>
            </w:r>
          </w:p>
        </w:tc>
      </w:tr>
      <w:tr>
        <w:tc>
          <w:tcPr>
            <w:tcW w:w="5159" w:type="dxa"/>
          </w:tcPr>
          <w:p>
            <w:pPr>
              <w:pStyle w:val="0"/>
              <w:jc w:val="both"/>
            </w:pPr>
            <w:r>
              <w:rPr>
                <w:sz w:val="20"/>
              </w:rPr>
              <w:t xml:space="preserve">1.3.5.1.1.1. Предоставление отдельным категориям граждан субсидий на компенсацию части платежей по договорам коммерческого найма</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2015 - 2016 годы</w:t>
            </w:r>
          </w:p>
        </w:tc>
        <w:tc>
          <w:tcPr>
            <w:tcW w:w="5556" w:type="dxa"/>
          </w:tcPr>
          <w:p>
            <w:pPr>
              <w:pStyle w:val="0"/>
              <w:jc w:val="both"/>
            </w:pPr>
            <w:r>
              <w:rPr>
                <w:sz w:val="20"/>
              </w:rPr>
              <w:t xml:space="preserve">привлечение и закрепление специалистов для работы в Новосибирской области и обеспечение временным жильем 80 граждан отдельных категорий, повышение мобильности граждан</w:t>
            </w:r>
          </w:p>
        </w:tc>
      </w:tr>
      <w:tr>
        <w:tc>
          <w:tcPr>
            <w:gridSpan w:val="4"/>
            <w:tcW w:w="13606" w:type="dxa"/>
          </w:tcPr>
          <w:p>
            <w:pPr>
              <w:pStyle w:val="0"/>
              <w:outlineLvl w:val="5"/>
              <w:jc w:val="center"/>
            </w:pPr>
            <w:r>
              <w:rPr>
                <w:sz w:val="20"/>
              </w:rPr>
              <w:t xml:space="preserve">1.3.6. Подпрограмма государственной программы "Развитие рынка наемного жилья"</w:t>
            </w:r>
          </w:p>
        </w:tc>
      </w:tr>
      <w:tr>
        <w:tc>
          <w:tcPr>
            <w:gridSpan w:val="4"/>
            <w:tcW w:w="13606" w:type="dxa"/>
          </w:tcPr>
          <w:p>
            <w:pPr>
              <w:pStyle w:val="0"/>
              <w:outlineLvl w:val="6"/>
              <w:jc w:val="center"/>
            </w:pPr>
            <w:r>
              <w:rPr>
                <w:sz w:val="20"/>
              </w:rPr>
              <w:t xml:space="preserve">1.3.6.1. Цель подпрограммы государственной программы: развитие рынка наемного жилья на территории Новосибирской области</w:t>
            </w:r>
          </w:p>
        </w:tc>
      </w:tr>
      <w:tr>
        <w:tc>
          <w:tcPr>
            <w:gridSpan w:val="4"/>
            <w:tcW w:w="13606" w:type="dxa"/>
          </w:tcPr>
          <w:p>
            <w:pPr>
              <w:pStyle w:val="0"/>
              <w:outlineLvl w:val="7"/>
              <w:jc w:val="center"/>
            </w:pPr>
            <w:r>
              <w:rPr>
                <w:sz w:val="20"/>
              </w:rPr>
              <w:t xml:space="preserve">1.3.6.1.1. Задача 1 подпрограммы государственной программы: создание условий для строительства наемного жилья социального и коммерческого использования</w:t>
            </w:r>
          </w:p>
        </w:tc>
      </w:tr>
      <w:tr>
        <w:tc>
          <w:tcPr>
            <w:tcW w:w="5159" w:type="dxa"/>
          </w:tcPr>
          <w:p>
            <w:pPr>
              <w:pStyle w:val="0"/>
              <w:jc w:val="both"/>
            </w:pPr>
            <w:r>
              <w:rPr>
                <w:sz w:val="20"/>
              </w:rPr>
              <w:t xml:space="preserve">1.3.6.1.1.1. Определение потребности в жилье социального и коммерческого использования</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2017 - 2018 годы</w:t>
            </w:r>
          </w:p>
        </w:tc>
        <w:tc>
          <w:tcPr>
            <w:tcW w:w="5556" w:type="dxa"/>
          </w:tcPr>
          <w:p>
            <w:pPr>
              <w:pStyle w:val="0"/>
              <w:jc w:val="both"/>
            </w:pPr>
            <w:r>
              <w:rPr>
                <w:sz w:val="20"/>
              </w:rPr>
              <w:t xml:space="preserve">формирование управленческих решений, создание условий для инвесторов в целях строительства жилья социального и коммерческого использования</w:t>
            </w:r>
          </w:p>
        </w:tc>
      </w:tr>
      <w:tr>
        <w:tc>
          <w:tcPr>
            <w:tcW w:w="5159" w:type="dxa"/>
          </w:tcPr>
          <w:p>
            <w:pPr>
              <w:pStyle w:val="0"/>
              <w:jc w:val="both"/>
            </w:pPr>
            <w:r>
              <w:rPr>
                <w:sz w:val="20"/>
              </w:rPr>
              <w:t xml:space="preserve">1.3.6.1.1.2. Определение территорий для строительства наемного жилья социального и коммерческого использования</w:t>
            </w:r>
          </w:p>
        </w:tc>
        <w:tc>
          <w:tcPr>
            <w:tcW w:w="1984" w:type="dxa"/>
          </w:tcPr>
          <w:p>
            <w:pPr>
              <w:pStyle w:val="0"/>
              <w:jc w:val="center"/>
            </w:pPr>
            <w:r>
              <w:rPr>
                <w:sz w:val="20"/>
              </w:rPr>
              <w:t xml:space="preserve">Минстрой НСО,</w:t>
            </w:r>
          </w:p>
          <w:p>
            <w:pPr>
              <w:pStyle w:val="0"/>
              <w:jc w:val="center"/>
            </w:pPr>
            <w:r>
              <w:rPr>
                <w:sz w:val="20"/>
              </w:rPr>
              <w:t xml:space="preserve">ОМС НСО</w:t>
            </w:r>
          </w:p>
        </w:tc>
        <w:tc>
          <w:tcPr>
            <w:tcW w:w="907" w:type="dxa"/>
          </w:tcPr>
          <w:p>
            <w:pPr>
              <w:pStyle w:val="0"/>
              <w:jc w:val="center"/>
            </w:pPr>
            <w:r>
              <w:rPr>
                <w:sz w:val="20"/>
              </w:rPr>
              <w:t xml:space="preserve">2018 год</w:t>
            </w:r>
          </w:p>
        </w:tc>
        <w:tc>
          <w:tcPr>
            <w:tcW w:w="5556" w:type="dxa"/>
          </w:tcPr>
          <w:p>
            <w:pPr>
              <w:pStyle w:val="0"/>
              <w:jc w:val="both"/>
            </w:pPr>
            <w:r>
              <w:rPr>
                <w:sz w:val="20"/>
              </w:rPr>
              <w:t xml:space="preserve">формирование земельных участков для проведения аукционов на право заключения договора об освоении территории в целях строительства и эксплуатации наемного дома коммерческого или социального использования</w:t>
            </w:r>
          </w:p>
        </w:tc>
      </w:tr>
      <w:tr>
        <w:tc>
          <w:tcPr>
            <w:gridSpan w:val="4"/>
            <w:tcW w:w="13606" w:type="dxa"/>
          </w:tcPr>
          <w:p>
            <w:pPr>
              <w:pStyle w:val="0"/>
              <w:outlineLvl w:val="7"/>
              <w:jc w:val="center"/>
            </w:pPr>
            <w:r>
              <w:rPr>
                <w:sz w:val="20"/>
              </w:rPr>
              <w:t xml:space="preserve">1.3.6.1.2. Задача 2 подпрограммы государственной программы: создание условий для обеспечения граждан отдельных категорий жильем по договорам коммерческого найма</w:t>
            </w:r>
          </w:p>
        </w:tc>
      </w:tr>
      <w:tr>
        <w:tc>
          <w:tcPr>
            <w:tcW w:w="5159" w:type="dxa"/>
          </w:tcPr>
          <w:p>
            <w:pPr>
              <w:pStyle w:val="0"/>
              <w:jc w:val="both"/>
            </w:pPr>
            <w:r>
              <w:rPr>
                <w:sz w:val="20"/>
              </w:rPr>
              <w:t xml:space="preserve">1.3.6.1.2.1. Предоставление отдельным категориям граждан субсидий на компенсацию части платежей по договорам коммерческого найма</w:t>
            </w:r>
          </w:p>
        </w:tc>
        <w:tc>
          <w:tcPr>
            <w:tcW w:w="1984" w:type="dxa"/>
          </w:tcPr>
          <w:p>
            <w:pPr>
              <w:pStyle w:val="0"/>
              <w:jc w:val="center"/>
            </w:pPr>
            <w:r>
              <w:rPr>
                <w:sz w:val="20"/>
              </w:rPr>
              <w:t xml:space="preserve">Минстрой НСО</w:t>
            </w:r>
          </w:p>
        </w:tc>
        <w:tc>
          <w:tcPr>
            <w:tcW w:w="907" w:type="dxa"/>
          </w:tcPr>
          <w:p>
            <w:pPr>
              <w:pStyle w:val="0"/>
              <w:jc w:val="center"/>
            </w:pPr>
            <w:r>
              <w:rPr>
                <w:sz w:val="20"/>
              </w:rPr>
              <w:t xml:space="preserve">2017 - 2018 годы</w:t>
            </w:r>
          </w:p>
        </w:tc>
        <w:tc>
          <w:tcPr>
            <w:tcW w:w="5556" w:type="dxa"/>
          </w:tcPr>
          <w:p>
            <w:pPr>
              <w:pStyle w:val="0"/>
              <w:jc w:val="both"/>
            </w:pPr>
            <w:r>
              <w:rPr>
                <w:sz w:val="20"/>
              </w:rPr>
              <w:t xml:space="preserve">привлечение и закрепление специалистов для работы в Новосибирской области и обеспечение временным жильем отдельных категорий граждан в целях повышения мобильности граждан</w:t>
            </w:r>
          </w:p>
        </w:tc>
      </w:tr>
    </w:tbl>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АО "АРЖС НСО" - акционерное общество "Агентство развития жилищного строительства Новосибирской области";</w:t>
      </w:r>
    </w:p>
    <w:p>
      <w:pPr>
        <w:pStyle w:val="0"/>
        <w:spacing w:before="200" w:line-rule="auto"/>
        <w:ind w:firstLine="540"/>
        <w:jc w:val="both"/>
      </w:pPr>
      <w:r>
        <w:rPr>
          <w:sz w:val="20"/>
        </w:rPr>
        <w:t xml:space="preserve">АО "НОАИК" - акционерное общество "Новосибирское областное агентство ипотечного кредитования";</w:t>
      </w:r>
    </w:p>
    <w:p>
      <w:pPr>
        <w:pStyle w:val="0"/>
        <w:spacing w:before="200" w:line-rule="auto"/>
        <w:ind w:firstLine="540"/>
        <w:jc w:val="both"/>
      </w:pPr>
      <w:r>
        <w:rPr>
          <w:sz w:val="20"/>
        </w:rPr>
        <w:t xml:space="preserve">Минстрой НСО - министерство строительства Новосибирской области;</w:t>
      </w:r>
    </w:p>
    <w:p>
      <w:pPr>
        <w:pStyle w:val="0"/>
        <w:spacing w:before="200" w:line-rule="auto"/>
        <w:ind w:firstLine="540"/>
        <w:jc w:val="both"/>
      </w:pPr>
      <w:r>
        <w:rPr>
          <w:sz w:val="20"/>
        </w:rPr>
        <w:t xml:space="preserve">ОМС НСО - органы местного самоуправления муниципальных образований Новосибирской области (по согласованию).</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29.12.2022 </w:t>
            </w:r>
            <w:hyperlink w:history="0" r:id="rId177"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color w:val="392c69"/>
              </w:rPr>
              <w:t xml:space="preserve">, от 21.03.2023 </w:t>
            </w:r>
            <w:hyperlink w:history="0" r:id="rId178"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N 100-п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1583"/>
        <w:gridCol w:w="685"/>
        <w:gridCol w:w="567"/>
        <w:gridCol w:w="567"/>
        <w:gridCol w:w="567"/>
        <w:gridCol w:w="1134"/>
        <w:gridCol w:w="1134"/>
        <w:gridCol w:w="1134"/>
        <w:gridCol w:w="1304"/>
        <w:gridCol w:w="1304"/>
        <w:gridCol w:w="1304"/>
        <w:gridCol w:w="1304"/>
        <w:gridCol w:w="1247"/>
        <w:gridCol w:w="2268"/>
      </w:tblGrid>
      <w:tr>
        <w:tc>
          <w:tcPr>
            <w:tcW w:w="2721" w:type="dxa"/>
            <w:vMerge w:val="restart"/>
          </w:tcPr>
          <w:p>
            <w:pPr>
              <w:pStyle w:val="0"/>
              <w:jc w:val="center"/>
            </w:pPr>
            <w:r>
              <w:rPr>
                <w:sz w:val="20"/>
              </w:rPr>
              <w:t xml:space="preserve">Наименование мероприятия</w:t>
            </w:r>
          </w:p>
        </w:tc>
        <w:tc>
          <w:tcPr>
            <w:tcW w:w="1583" w:type="dxa"/>
            <w:vMerge w:val="restart"/>
          </w:tcPr>
          <w:p>
            <w:pPr>
              <w:pStyle w:val="0"/>
              <w:jc w:val="center"/>
            </w:pPr>
            <w:r>
              <w:rPr>
                <w:sz w:val="20"/>
              </w:rPr>
              <w:t xml:space="preserve">Источники</w:t>
            </w:r>
          </w:p>
        </w:tc>
        <w:tc>
          <w:tcPr>
            <w:gridSpan w:val="4"/>
            <w:tcW w:w="2386" w:type="dxa"/>
            <w:vMerge w:val="restart"/>
          </w:tcPr>
          <w:p>
            <w:pPr>
              <w:pStyle w:val="0"/>
              <w:jc w:val="center"/>
            </w:pPr>
            <w:r>
              <w:rPr>
                <w:sz w:val="20"/>
              </w:rPr>
              <w:t xml:space="preserve">Код бюджетной классификации</w:t>
            </w:r>
          </w:p>
        </w:tc>
        <w:tc>
          <w:tcPr>
            <w:gridSpan w:val="7"/>
            <w:tcW w:w="8618" w:type="dxa"/>
          </w:tcPr>
          <w:p>
            <w:pPr>
              <w:pStyle w:val="0"/>
              <w:jc w:val="center"/>
            </w:pPr>
            <w:r>
              <w:rPr>
                <w:sz w:val="20"/>
              </w:rPr>
              <w:t xml:space="preserve">Ресурсное обеспечение</w:t>
            </w:r>
          </w:p>
        </w:tc>
        <w:tc>
          <w:tcPr>
            <w:tcW w:w="1247" w:type="dxa"/>
            <w:vMerge w:val="restart"/>
          </w:tcPr>
          <w:p>
            <w:pPr>
              <w:pStyle w:val="0"/>
              <w:jc w:val="center"/>
            </w:pPr>
            <w:r>
              <w:rPr>
                <w:sz w:val="20"/>
              </w:rPr>
              <w:t xml:space="preserve">Главный распорядитель бюджетных средств (далее - ГРБС) (ответственный исполнитель)</w:t>
            </w:r>
          </w:p>
        </w:tc>
        <w:tc>
          <w:tcPr>
            <w:tcW w:w="2268" w:type="dxa"/>
            <w:vMerge w:val="restart"/>
          </w:tcPr>
          <w:p>
            <w:pPr>
              <w:pStyle w:val="0"/>
              <w:jc w:val="center"/>
            </w:pPr>
            <w:r>
              <w:rPr>
                <w:sz w:val="20"/>
              </w:rPr>
              <w:t xml:space="preserve">Ожидаемый результат (краткое описание)</w:t>
            </w:r>
          </w:p>
        </w:tc>
      </w:tr>
      <w:tr>
        <w:tc>
          <w:tcPr>
            <w:vMerge w:val="continue"/>
          </w:tcPr>
          <w:p/>
        </w:tc>
        <w:tc>
          <w:tcPr>
            <w:vMerge w:val="continue"/>
          </w:tcPr>
          <w:p/>
        </w:tc>
        <w:tc>
          <w:tcPr>
            <w:gridSpan w:val="4"/>
            <w:vMerge w:val="continue"/>
          </w:tcPr>
          <w:p/>
        </w:tc>
        <w:tc>
          <w:tcPr>
            <w:gridSpan w:val="7"/>
            <w:tcW w:w="8618" w:type="dxa"/>
          </w:tcPr>
          <w:p>
            <w:pPr>
              <w:pStyle w:val="0"/>
              <w:jc w:val="center"/>
            </w:pPr>
            <w:r>
              <w:rPr>
                <w:sz w:val="20"/>
              </w:rPr>
              <w:t xml:space="preserve">по годам реализации, тыс. руб.</w:t>
            </w:r>
          </w:p>
        </w:tc>
        <w:tc>
          <w:tcPr>
            <w:vMerge w:val="continue"/>
          </w:tcPr>
          <w:p/>
        </w:tc>
        <w:tc>
          <w:tcPr>
            <w:vMerge w:val="continue"/>
          </w:tcPr>
          <w:p/>
        </w:tc>
      </w:tr>
      <w:tr>
        <w:tc>
          <w:tcPr>
            <w:vMerge w:val="continue"/>
          </w:tcPr>
          <w:p/>
        </w:tc>
        <w:tc>
          <w:tcPr>
            <w:vMerge w:val="continue"/>
          </w:tcPr>
          <w:p/>
        </w:tc>
        <w:tc>
          <w:tcPr>
            <w:tcW w:w="685" w:type="dxa"/>
          </w:tcPr>
          <w:p>
            <w:pPr>
              <w:pStyle w:val="0"/>
              <w:jc w:val="center"/>
            </w:pPr>
            <w:r>
              <w:rPr>
                <w:sz w:val="20"/>
              </w:rPr>
              <w:t xml:space="preserve">ГРБС</w:t>
            </w:r>
          </w:p>
        </w:tc>
        <w:tc>
          <w:tcPr>
            <w:tcW w:w="567" w:type="dxa"/>
          </w:tcPr>
          <w:p>
            <w:pPr>
              <w:pStyle w:val="0"/>
              <w:jc w:val="center"/>
            </w:pPr>
            <w:r>
              <w:rPr>
                <w:sz w:val="20"/>
              </w:rPr>
              <w:t xml:space="preserve">ГП</w:t>
            </w:r>
          </w:p>
        </w:tc>
        <w:tc>
          <w:tcPr>
            <w:tcW w:w="567" w:type="dxa"/>
          </w:tcPr>
          <w:p>
            <w:pPr>
              <w:pStyle w:val="0"/>
              <w:jc w:val="center"/>
            </w:pPr>
            <w:r>
              <w:rPr>
                <w:sz w:val="20"/>
              </w:rPr>
              <w:t xml:space="preserve">пГП</w:t>
            </w:r>
          </w:p>
        </w:tc>
        <w:tc>
          <w:tcPr>
            <w:tcW w:w="567" w:type="dxa"/>
          </w:tcPr>
          <w:p>
            <w:pPr>
              <w:pStyle w:val="0"/>
              <w:jc w:val="center"/>
            </w:pPr>
            <w:r>
              <w:rPr>
                <w:sz w:val="20"/>
              </w:rPr>
              <w:t xml:space="preserve">ОМ</w:t>
            </w:r>
          </w:p>
        </w:tc>
        <w:tc>
          <w:tcPr>
            <w:tcW w:w="1134" w:type="dxa"/>
          </w:tcPr>
          <w:p>
            <w:pPr>
              <w:pStyle w:val="0"/>
              <w:jc w:val="center"/>
            </w:pPr>
            <w:r>
              <w:rPr>
                <w:sz w:val="20"/>
              </w:rPr>
              <w:t xml:space="preserve">2019 год</w:t>
            </w:r>
          </w:p>
        </w:tc>
        <w:tc>
          <w:tcPr>
            <w:tcW w:w="1134" w:type="dxa"/>
          </w:tcPr>
          <w:p>
            <w:pPr>
              <w:pStyle w:val="0"/>
              <w:jc w:val="center"/>
            </w:pPr>
            <w:r>
              <w:rPr>
                <w:sz w:val="20"/>
              </w:rPr>
              <w:t xml:space="preserve">2020 год</w:t>
            </w:r>
          </w:p>
        </w:tc>
        <w:tc>
          <w:tcPr>
            <w:tcW w:w="1134" w:type="dxa"/>
          </w:tcPr>
          <w:p>
            <w:pPr>
              <w:pStyle w:val="0"/>
              <w:jc w:val="center"/>
            </w:pPr>
            <w:r>
              <w:rPr>
                <w:sz w:val="20"/>
              </w:rPr>
              <w:t xml:space="preserve">2021 год</w:t>
            </w:r>
          </w:p>
        </w:tc>
        <w:tc>
          <w:tcPr>
            <w:tcW w:w="1304" w:type="dxa"/>
          </w:tcPr>
          <w:p>
            <w:pPr>
              <w:pStyle w:val="0"/>
              <w:jc w:val="center"/>
            </w:pPr>
            <w:r>
              <w:rPr>
                <w:sz w:val="20"/>
              </w:rPr>
              <w:t xml:space="preserve">2022 год</w:t>
            </w:r>
          </w:p>
        </w:tc>
        <w:tc>
          <w:tcPr>
            <w:tcW w:w="1304" w:type="dxa"/>
          </w:tcPr>
          <w:p>
            <w:pPr>
              <w:pStyle w:val="0"/>
              <w:jc w:val="center"/>
            </w:pPr>
            <w:r>
              <w:rPr>
                <w:sz w:val="20"/>
              </w:rPr>
              <w:t xml:space="preserve">2023 год</w:t>
            </w:r>
          </w:p>
        </w:tc>
        <w:tc>
          <w:tcPr>
            <w:tcW w:w="1304" w:type="dxa"/>
          </w:tcPr>
          <w:p>
            <w:pPr>
              <w:pStyle w:val="0"/>
              <w:jc w:val="center"/>
            </w:pPr>
            <w:r>
              <w:rPr>
                <w:sz w:val="20"/>
              </w:rPr>
              <w:t xml:space="preserve">2024 год</w:t>
            </w:r>
          </w:p>
        </w:tc>
        <w:tc>
          <w:tcPr>
            <w:tcW w:w="1304" w:type="dxa"/>
          </w:tcPr>
          <w:p>
            <w:pPr>
              <w:pStyle w:val="0"/>
              <w:jc w:val="center"/>
            </w:pPr>
            <w:r>
              <w:rPr>
                <w:sz w:val="20"/>
              </w:rPr>
              <w:t xml:space="preserve">2025 год</w:t>
            </w:r>
          </w:p>
        </w:tc>
        <w:tc>
          <w:tcPr>
            <w:tcW w:w="1247" w:type="dxa"/>
          </w:tcPr>
          <w:p>
            <w:pPr>
              <w:pStyle w:val="0"/>
            </w:pPr>
            <w:r>
              <w:rPr>
                <w:sz w:val="20"/>
              </w:rPr>
            </w:r>
          </w:p>
        </w:tc>
        <w:tc>
          <w:tcPr>
            <w:tcW w:w="2268" w:type="dxa"/>
          </w:tcPr>
          <w:p>
            <w:pPr>
              <w:pStyle w:val="0"/>
            </w:pPr>
            <w:r>
              <w:rPr>
                <w:sz w:val="20"/>
              </w:rPr>
            </w:r>
          </w:p>
        </w:tc>
      </w:tr>
      <w:tr>
        <w:tc>
          <w:tcPr>
            <w:tcW w:w="2721" w:type="dxa"/>
          </w:tcPr>
          <w:p>
            <w:pPr>
              <w:pStyle w:val="0"/>
              <w:jc w:val="center"/>
            </w:pPr>
            <w:r>
              <w:rPr>
                <w:sz w:val="20"/>
              </w:rPr>
              <w:t xml:space="preserve">1</w:t>
            </w:r>
          </w:p>
        </w:tc>
        <w:tc>
          <w:tcPr>
            <w:tcW w:w="1583" w:type="dxa"/>
          </w:tcPr>
          <w:p>
            <w:pPr>
              <w:pStyle w:val="0"/>
              <w:jc w:val="center"/>
            </w:pPr>
            <w:r>
              <w:rPr>
                <w:sz w:val="20"/>
              </w:rPr>
              <w:t xml:space="preserve">2</w:t>
            </w:r>
          </w:p>
        </w:tc>
        <w:tc>
          <w:tcPr>
            <w:tcW w:w="685" w:type="dxa"/>
          </w:tcPr>
          <w:p>
            <w:pPr>
              <w:pStyle w:val="0"/>
              <w:jc w:val="center"/>
            </w:pPr>
            <w:r>
              <w:rPr>
                <w:sz w:val="20"/>
              </w:rPr>
              <w:t xml:space="preserve">3</w:t>
            </w:r>
          </w:p>
        </w:tc>
        <w:tc>
          <w:tcPr>
            <w:tcW w:w="567" w:type="dxa"/>
          </w:tcPr>
          <w:p>
            <w:pPr>
              <w:pStyle w:val="0"/>
              <w:jc w:val="center"/>
            </w:pPr>
            <w:r>
              <w:rPr>
                <w:sz w:val="20"/>
              </w:rPr>
              <w:t xml:space="preserve">4</w:t>
            </w:r>
          </w:p>
        </w:tc>
        <w:tc>
          <w:tcPr>
            <w:tcW w:w="567" w:type="dxa"/>
          </w:tcPr>
          <w:p>
            <w:pPr>
              <w:pStyle w:val="0"/>
              <w:jc w:val="center"/>
            </w:pPr>
            <w:r>
              <w:rPr>
                <w:sz w:val="20"/>
              </w:rPr>
              <w:t xml:space="preserve">5</w:t>
            </w:r>
          </w:p>
        </w:tc>
        <w:tc>
          <w:tcPr>
            <w:tcW w:w="567" w:type="dxa"/>
          </w:tcPr>
          <w:p>
            <w:pPr>
              <w:pStyle w:val="0"/>
              <w:jc w:val="center"/>
            </w:pPr>
            <w:r>
              <w:rPr>
                <w:sz w:val="20"/>
              </w:rPr>
              <w:t xml:space="preserve">6</w:t>
            </w:r>
          </w:p>
        </w:tc>
        <w:tc>
          <w:tcPr>
            <w:tcW w:w="1134" w:type="dxa"/>
          </w:tcPr>
          <w:p>
            <w:pPr>
              <w:pStyle w:val="0"/>
              <w:jc w:val="center"/>
            </w:pPr>
            <w:r>
              <w:rPr>
                <w:sz w:val="20"/>
              </w:rPr>
              <w:t xml:space="preserve">7</w:t>
            </w:r>
          </w:p>
        </w:tc>
        <w:tc>
          <w:tcPr>
            <w:tcW w:w="1134" w:type="dxa"/>
          </w:tcPr>
          <w:p>
            <w:pPr>
              <w:pStyle w:val="0"/>
              <w:jc w:val="center"/>
            </w:pPr>
            <w:r>
              <w:rPr>
                <w:sz w:val="20"/>
              </w:rPr>
              <w:t xml:space="preserve">8</w:t>
            </w:r>
          </w:p>
        </w:tc>
        <w:tc>
          <w:tcPr>
            <w:tcW w:w="1134" w:type="dxa"/>
          </w:tcPr>
          <w:p>
            <w:pPr>
              <w:pStyle w:val="0"/>
              <w:jc w:val="center"/>
            </w:pPr>
            <w:r>
              <w:rPr>
                <w:sz w:val="20"/>
              </w:rPr>
              <w:t xml:space="preserve">9</w:t>
            </w:r>
          </w:p>
        </w:tc>
        <w:tc>
          <w:tcPr>
            <w:tcW w:w="1304" w:type="dxa"/>
          </w:tcPr>
          <w:p>
            <w:pPr>
              <w:pStyle w:val="0"/>
              <w:jc w:val="center"/>
            </w:pPr>
            <w:r>
              <w:rPr>
                <w:sz w:val="20"/>
              </w:rPr>
              <w:t xml:space="preserve">10</w:t>
            </w:r>
          </w:p>
        </w:tc>
        <w:tc>
          <w:tcPr>
            <w:tcW w:w="1304" w:type="dxa"/>
          </w:tcPr>
          <w:p>
            <w:pPr>
              <w:pStyle w:val="0"/>
              <w:jc w:val="center"/>
            </w:pPr>
            <w:r>
              <w:rPr>
                <w:sz w:val="20"/>
              </w:rPr>
              <w:t xml:space="preserve">11</w:t>
            </w:r>
          </w:p>
        </w:tc>
        <w:tc>
          <w:tcPr>
            <w:tcW w:w="1304" w:type="dxa"/>
          </w:tcPr>
          <w:p>
            <w:pPr>
              <w:pStyle w:val="0"/>
              <w:jc w:val="center"/>
            </w:pPr>
            <w:r>
              <w:rPr>
                <w:sz w:val="20"/>
              </w:rPr>
              <w:t xml:space="preserve">12</w:t>
            </w:r>
          </w:p>
        </w:tc>
        <w:tc>
          <w:tcPr>
            <w:tcW w:w="1304" w:type="dxa"/>
          </w:tcPr>
          <w:p>
            <w:pPr>
              <w:pStyle w:val="0"/>
              <w:jc w:val="center"/>
            </w:pPr>
            <w:r>
              <w:rPr>
                <w:sz w:val="20"/>
              </w:rPr>
              <w:t xml:space="preserve">13</w:t>
            </w:r>
          </w:p>
        </w:tc>
        <w:tc>
          <w:tcPr>
            <w:tcW w:w="1247" w:type="dxa"/>
          </w:tcPr>
          <w:p>
            <w:pPr>
              <w:pStyle w:val="0"/>
              <w:jc w:val="center"/>
            </w:pPr>
            <w:r>
              <w:rPr>
                <w:sz w:val="20"/>
              </w:rPr>
              <w:t xml:space="preserve">14</w:t>
            </w:r>
          </w:p>
        </w:tc>
        <w:tc>
          <w:tcPr>
            <w:tcW w:w="2268" w:type="dxa"/>
          </w:tcPr>
          <w:p>
            <w:pPr>
              <w:pStyle w:val="0"/>
              <w:jc w:val="center"/>
            </w:pPr>
            <w:r>
              <w:rPr>
                <w:sz w:val="20"/>
              </w:rPr>
              <w:t xml:space="preserve">15</w:t>
            </w:r>
          </w:p>
        </w:tc>
      </w:tr>
      <w:tr>
        <w:tc>
          <w:tcPr>
            <w:gridSpan w:val="15"/>
            <w:tcW w:w="18823" w:type="dxa"/>
          </w:tcPr>
          <w:p>
            <w:pPr>
              <w:pStyle w:val="0"/>
              <w:outlineLvl w:val="2"/>
              <w:jc w:val="center"/>
            </w:pPr>
            <w:r>
              <w:rPr>
                <w:sz w:val="20"/>
              </w:rPr>
              <w:t xml:space="preserve">Государственная программа Новосибирской области "Стимулирование развития жилищного строительства в Новосибирской области"</w:t>
            </w:r>
          </w:p>
        </w:tc>
      </w:tr>
      <w:tr>
        <w:tc>
          <w:tcPr>
            <w:gridSpan w:val="15"/>
            <w:tcW w:w="18823" w:type="dxa"/>
          </w:tcPr>
          <w:p>
            <w:pPr>
              <w:pStyle w:val="0"/>
              <w:outlineLvl w:val="3"/>
              <w:jc w:val="center"/>
            </w:pPr>
            <w:r>
              <w:rPr>
                <w:sz w:val="20"/>
              </w:rPr>
              <w:t xml:space="preserve">1. Цель государственной программы - стимулирование развития жилищного строительства, формирование рынка доступного и комфортного жилья на территории Новосибирской области</w:t>
            </w:r>
          </w:p>
        </w:tc>
      </w:tr>
      <w:tr>
        <w:tc>
          <w:tcPr>
            <w:gridSpan w:val="15"/>
            <w:tcW w:w="18823" w:type="dxa"/>
          </w:tcPr>
          <w:p>
            <w:pPr>
              <w:pStyle w:val="0"/>
              <w:outlineLvl w:val="4"/>
              <w:jc w:val="center"/>
            </w:pPr>
            <w:r>
              <w:rPr>
                <w:sz w:val="20"/>
              </w:rPr>
              <w:t xml:space="preserve">1.1. Задача 1 государственной программы. Создание условий для осуществления градостроительной деятельности на территории Новосибирской области</w:t>
            </w:r>
          </w:p>
        </w:tc>
      </w:tr>
      <w:tr>
        <w:tc>
          <w:tcPr>
            <w:gridSpan w:val="15"/>
            <w:tcW w:w="18823" w:type="dxa"/>
          </w:tcPr>
          <w:p>
            <w:pPr>
              <w:pStyle w:val="0"/>
              <w:outlineLvl w:val="5"/>
              <w:jc w:val="center"/>
            </w:pPr>
            <w:r>
              <w:rPr>
                <w:sz w:val="20"/>
              </w:rPr>
              <w:t xml:space="preserve">1.1.1. Подпрограмма государственной программы "Градостроительная подготовка территорий Новосибирской области"</w:t>
            </w:r>
          </w:p>
        </w:tc>
      </w:tr>
      <w:tr>
        <w:tc>
          <w:tcPr>
            <w:gridSpan w:val="15"/>
            <w:tcW w:w="18823" w:type="dxa"/>
          </w:tcPr>
          <w:p>
            <w:pPr>
              <w:pStyle w:val="0"/>
              <w:outlineLvl w:val="6"/>
              <w:jc w:val="center"/>
            </w:pPr>
            <w:r>
              <w:rPr>
                <w:sz w:val="20"/>
              </w:rPr>
              <w:t xml:space="preserve">1.1.1.1. Цель подпрограммы государственной подпрограммы: обеспечение муниципальных образований Новосибирской области актуальной градостроительной документацией, предусмотренной Градостроительным кодексом Российской Федерации</w:t>
            </w:r>
          </w:p>
        </w:tc>
      </w:tr>
      <w:tr>
        <w:tc>
          <w:tcPr>
            <w:gridSpan w:val="15"/>
            <w:tcW w:w="18823" w:type="dxa"/>
          </w:tcPr>
          <w:p>
            <w:pPr>
              <w:pStyle w:val="0"/>
              <w:outlineLvl w:val="7"/>
              <w:jc w:val="center"/>
            </w:pPr>
            <w:r>
              <w:rPr>
                <w:sz w:val="20"/>
              </w:rPr>
              <w:t xml:space="preserve">1.1.1.1.1. Задача 1 подпрограммы государственной программы: актуализация градостроительной документации в Новосибирской области</w:t>
            </w:r>
          </w:p>
        </w:tc>
      </w:tr>
      <w:tr>
        <w:tc>
          <w:tcPr>
            <w:tcW w:w="2721" w:type="dxa"/>
            <w:vMerge w:val="restart"/>
          </w:tcPr>
          <w:p>
            <w:pPr>
              <w:pStyle w:val="0"/>
            </w:pPr>
            <w:r>
              <w:rPr>
                <w:sz w:val="20"/>
              </w:rPr>
              <w:t xml:space="preserve">1.1.1.1.1.1. Подготовка градостроительной документации или внесение в нее изменений в рамках полномочий муниципальных образований Новосибирской области</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1</w:t>
            </w:r>
          </w:p>
        </w:tc>
        <w:tc>
          <w:tcPr>
            <w:tcW w:w="567" w:type="dxa"/>
          </w:tcPr>
          <w:p>
            <w:pPr>
              <w:pStyle w:val="0"/>
              <w:jc w:val="center"/>
            </w:pPr>
            <w:r>
              <w:rPr>
                <w:sz w:val="20"/>
              </w:rPr>
              <w:t xml:space="preserve">02</w:t>
            </w:r>
          </w:p>
        </w:tc>
        <w:tc>
          <w:tcPr>
            <w:tcW w:w="1134" w:type="dxa"/>
          </w:tcPr>
          <w:p>
            <w:pPr>
              <w:pStyle w:val="0"/>
              <w:jc w:val="center"/>
            </w:pPr>
            <w:r>
              <w:rPr>
                <w:sz w:val="20"/>
              </w:rPr>
              <w:t xml:space="preserve">0,0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tcW w:w="1247" w:type="dxa"/>
            <w:vMerge w:val="restart"/>
          </w:tcPr>
          <w:p>
            <w:pPr>
              <w:pStyle w:val="0"/>
              <w:jc w:val="center"/>
            </w:pPr>
            <w:r>
              <w:rPr>
                <w:sz w:val="20"/>
              </w:rPr>
              <w:t xml:space="preserve">Минстрой НСО,</w:t>
            </w:r>
          </w:p>
          <w:p>
            <w:pPr>
              <w:pStyle w:val="0"/>
              <w:jc w:val="center"/>
            </w:pPr>
            <w:r>
              <w:rPr>
                <w:sz w:val="20"/>
              </w:rPr>
              <w:t xml:space="preserve">ОМС НСО</w:t>
            </w:r>
          </w:p>
        </w:tc>
        <w:tc>
          <w:tcPr>
            <w:tcW w:w="2268" w:type="dxa"/>
            <w:vMerge w:val="restart"/>
          </w:tcPr>
          <w:p>
            <w:pPr>
              <w:pStyle w:val="0"/>
            </w:pPr>
            <w:r>
              <w:rPr>
                <w:sz w:val="20"/>
              </w:rPr>
              <w:t xml:space="preserve">Обеспечение муниципальных образований Новосибирской области актуальной градостроительной документацией.</w:t>
            </w:r>
          </w:p>
          <w:p>
            <w:pPr>
              <w:pStyle w:val="0"/>
            </w:pPr>
            <w:r>
              <w:rPr>
                <w:sz w:val="20"/>
              </w:rPr>
              <w:t xml:space="preserve">Субсидирование муниципальных образований осуществляется по результатам проведения профильного отбора</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vMerge w:val="continue"/>
          </w:tcPr>
          <w:p/>
        </w:tc>
        <w:tc>
          <w:tcPr>
            <w:vMerge w:val="continue"/>
          </w:tcPr>
          <w:p/>
        </w:tc>
      </w:tr>
      <w:tr>
        <w:tc>
          <w:tcPr>
            <w:tcW w:w="2721" w:type="dxa"/>
            <w:vMerge w:val="restart"/>
          </w:tcPr>
          <w:p>
            <w:pPr>
              <w:pStyle w:val="0"/>
            </w:pPr>
            <w:r>
              <w:rPr>
                <w:sz w:val="20"/>
              </w:rPr>
              <w:t xml:space="preserve">1.1.1.1.1.2. Подготовка, утверждение, согласование градостроительной документации, внесение в нее изменений в рамках полномочий министерства строительства Новосибирской области, а также подготовка исследовательских работ в целях развития агломераций Новосибирской области</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1</w:t>
            </w:r>
          </w:p>
        </w:tc>
        <w:tc>
          <w:tcPr>
            <w:tcW w:w="567" w:type="dxa"/>
          </w:tcPr>
          <w:p>
            <w:pPr>
              <w:pStyle w:val="0"/>
              <w:jc w:val="center"/>
            </w:pPr>
            <w:r>
              <w:rPr>
                <w:sz w:val="20"/>
              </w:rPr>
              <w:t xml:space="preserve">01</w:t>
            </w:r>
          </w:p>
        </w:tc>
        <w:tc>
          <w:tcPr>
            <w:tcW w:w="1134" w:type="dxa"/>
          </w:tcPr>
          <w:p>
            <w:pPr>
              <w:pStyle w:val="0"/>
              <w:jc w:val="center"/>
            </w:pPr>
            <w:r>
              <w:rPr>
                <w:sz w:val="20"/>
              </w:rPr>
              <w:t xml:space="preserve">14 668,4</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tcW w:w="1247" w:type="dxa"/>
            <w:vMerge w:val="restart"/>
          </w:tcPr>
          <w:p>
            <w:pPr>
              <w:pStyle w:val="0"/>
              <w:jc w:val="center"/>
            </w:pPr>
            <w:r>
              <w:rPr>
                <w:sz w:val="20"/>
              </w:rPr>
              <w:t xml:space="preserve">Минстрой НСО</w:t>
            </w:r>
          </w:p>
        </w:tc>
        <w:tc>
          <w:tcPr>
            <w:tcW w:w="2268" w:type="dxa"/>
            <w:vMerge w:val="restart"/>
          </w:tcPr>
          <w:p>
            <w:pPr>
              <w:pStyle w:val="0"/>
            </w:pPr>
            <w:r>
              <w:rPr>
                <w:sz w:val="20"/>
              </w:rPr>
              <w:t xml:space="preserve">Обеспечение муниципальных образований Новосибирской агломерации актуальной градостроительной документацией, необходимой для осуществления градостроительной деятельности</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vMerge w:val="continue"/>
          </w:tcPr>
          <w:p/>
        </w:tc>
        <w:tc>
          <w:tcPr>
            <w:vMerge w:val="continue"/>
          </w:tcPr>
          <w:p/>
        </w:tc>
      </w:tr>
      <w:tr>
        <w:tc>
          <w:tcPr>
            <w:tcW w:w="2721" w:type="dxa"/>
            <w:vMerge w:val="restart"/>
          </w:tcPr>
          <w:p>
            <w:pPr>
              <w:pStyle w:val="0"/>
            </w:pPr>
            <w:r>
              <w:rPr>
                <w:sz w:val="20"/>
              </w:rPr>
              <w:t xml:space="preserve">Итого по подпрограмме государственной программы "Градостроительная подготовка территорий Новосибирской области"</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14 668,4</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tcW w:w="1247" w:type="dxa"/>
            <w:vMerge w:val="restart"/>
          </w:tcPr>
          <w:p>
            <w:pPr>
              <w:pStyle w:val="0"/>
            </w:pPr>
            <w:r>
              <w:rPr>
                <w:sz w:val="20"/>
              </w:rPr>
            </w:r>
          </w:p>
        </w:tc>
        <w:tc>
          <w:tcPr>
            <w:tcW w:w="2268" w:type="dxa"/>
            <w:vMerge w:val="restart"/>
          </w:tcPr>
          <w:p>
            <w:pPr>
              <w:pStyle w:val="0"/>
            </w:pPr>
            <w:r>
              <w:rPr>
                <w:sz w:val="20"/>
              </w:rPr>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vMerge w:val="continue"/>
          </w:tcPr>
          <w:p/>
        </w:tc>
        <w:tc>
          <w:tcPr>
            <w:vMerge w:val="continue"/>
          </w:tcPr>
          <w:p/>
        </w:tc>
      </w:tr>
      <w:tr>
        <w:tc>
          <w:tcPr>
            <w:gridSpan w:val="15"/>
            <w:tcW w:w="18823" w:type="dxa"/>
          </w:tcPr>
          <w:p>
            <w:pPr>
              <w:pStyle w:val="0"/>
              <w:outlineLvl w:val="5"/>
              <w:jc w:val="center"/>
            </w:pPr>
            <w:r>
              <w:rPr>
                <w:sz w:val="20"/>
              </w:rPr>
              <w:t xml:space="preserve">1.1.2. Подпрограмма государственной программы "Фонд пространственных данных Новосибирской области"</w:t>
            </w:r>
          </w:p>
        </w:tc>
      </w:tr>
      <w:tr>
        <w:tc>
          <w:tcPr>
            <w:gridSpan w:val="15"/>
            <w:tcW w:w="18823" w:type="dxa"/>
          </w:tcPr>
          <w:p>
            <w:pPr>
              <w:pStyle w:val="0"/>
              <w:outlineLvl w:val="6"/>
              <w:jc w:val="center"/>
            </w:pPr>
            <w:r>
              <w:rPr>
                <w:sz w:val="20"/>
              </w:rPr>
              <w:t xml:space="preserve">1.1.2.1. Цель подпрограммы государственной программы: обеспечение всех субъектов градостроительных отношений актуальными пространственными данными, а также сведениями, документами и материалами, необходимыми для осуществления градостроительной деятельности на территории Новосибирской области</w:t>
            </w:r>
          </w:p>
        </w:tc>
      </w:tr>
      <w:tr>
        <w:tc>
          <w:tcPr>
            <w:gridSpan w:val="15"/>
            <w:tcW w:w="18823" w:type="dxa"/>
          </w:tcPr>
          <w:p>
            <w:pPr>
              <w:pStyle w:val="0"/>
              <w:outlineLvl w:val="7"/>
              <w:jc w:val="center"/>
            </w:pPr>
            <w:r>
              <w:rPr>
                <w:sz w:val="20"/>
              </w:rPr>
              <w:t xml:space="preserve">1.1.2.1.1. Задача 1 подпрограммы государственной программы: формирование пространственных данных и материалов Фонда пространственных данных Новосибирской области, а также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tc>
      </w:tr>
      <w:tr>
        <w:tc>
          <w:tcPr>
            <w:tcW w:w="2721" w:type="dxa"/>
            <w:vMerge w:val="restart"/>
          </w:tcPr>
          <w:p>
            <w:pPr>
              <w:pStyle w:val="0"/>
            </w:pPr>
            <w:r>
              <w:rPr>
                <w:sz w:val="20"/>
              </w:rPr>
              <w:t xml:space="preserve">1.1.2.1.1.1. Обеспечение ведения и актуализации материалов фонда пространственных данных Новосибирской области</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Б</w:t>
            </w:r>
          </w:p>
        </w:tc>
        <w:tc>
          <w:tcPr>
            <w:tcW w:w="567" w:type="dxa"/>
          </w:tcPr>
          <w:p>
            <w:pPr>
              <w:pStyle w:val="0"/>
              <w:jc w:val="center"/>
            </w:pPr>
            <w:r>
              <w:rPr>
                <w:sz w:val="20"/>
              </w:rPr>
              <w:t xml:space="preserve">01</w:t>
            </w:r>
          </w:p>
        </w:tc>
        <w:tc>
          <w:tcPr>
            <w:tcW w:w="1134" w:type="dxa"/>
          </w:tcPr>
          <w:p>
            <w:pPr>
              <w:pStyle w:val="0"/>
              <w:jc w:val="center"/>
            </w:pPr>
            <w:r>
              <w:rPr>
                <w:sz w:val="20"/>
              </w:rPr>
              <w:t xml:space="preserve">55 484,4</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tcW w:w="1247" w:type="dxa"/>
            <w:vMerge w:val="restart"/>
          </w:tcPr>
          <w:p>
            <w:pPr>
              <w:pStyle w:val="0"/>
              <w:jc w:val="center"/>
            </w:pPr>
            <w:r>
              <w:rPr>
                <w:sz w:val="20"/>
              </w:rPr>
              <w:t xml:space="preserve">Минстрой НСО,</w:t>
            </w:r>
          </w:p>
          <w:p>
            <w:pPr>
              <w:pStyle w:val="0"/>
              <w:jc w:val="center"/>
            </w:pPr>
            <w:r>
              <w:rPr>
                <w:sz w:val="20"/>
              </w:rPr>
              <w:t xml:space="preserve">ГБУ НСО "Фонд пространственных данных Новосибирской области"</w:t>
            </w:r>
          </w:p>
        </w:tc>
        <w:tc>
          <w:tcPr>
            <w:tcW w:w="2268" w:type="dxa"/>
            <w:vMerge w:val="restart"/>
          </w:tcPr>
          <w:p>
            <w:pPr>
              <w:pStyle w:val="0"/>
            </w:pPr>
            <w:r>
              <w:rPr>
                <w:sz w:val="20"/>
              </w:rPr>
              <w:t xml:space="preserve">Обеспечение обработки 100% поступивших заказов</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vMerge w:val="continue"/>
          </w:tcPr>
          <w:p/>
        </w:tc>
        <w:tc>
          <w:tcPr>
            <w:vMerge w:val="continue"/>
          </w:tcPr>
          <w:p/>
        </w:tc>
      </w:tr>
      <w:tr>
        <w:tc>
          <w:tcPr>
            <w:tcW w:w="2721" w:type="dxa"/>
            <w:vMerge w:val="restart"/>
          </w:tcPr>
          <w:p>
            <w:pPr>
              <w:pStyle w:val="0"/>
            </w:pPr>
            <w:r>
              <w:rPr>
                <w:sz w:val="20"/>
              </w:rPr>
              <w:t xml:space="preserve">Итого по подпрограмме государственной программы "Фонд пространственных данных Новосибирской области"</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Б</w:t>
            </w:r>
          </w:p>
        </w:tc>
        <w:tc>
          <w:tcPr>
            <w:tcW w:w="567" w:type="dxa"/>
          </w:tcPr>
          <w:p>
            <w:pPr>
              <w:pStyle w:val="0"/>
              <w:jc w:val="center"/>
            </w:pPr>
            <w:r>
              <w:rPr>
                <w:sz w:val="20"/>
              </w:rPr>
              <w:t xml:space="preserve">01</w:t>
            </w:r>
          </w:p>
        </w:tc>
        <w:tc>
          <w:tcPr>
            <w:tcW w:w="1134" w:type="dxa"/>
          </w:tcPr>
          <w:p>
            <w:pPr>
              <w:pStyle w:val="0"/>
              <w:jc w:val="center"/>
            </w:pPr>
            <w:r>
              <w:rPr>
                <w:sz w:val="20"/>
              </w:rPr>
              <w:t xml:space="preserve">55 484,4</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tcW w:w="1247" w:type="dxa"/>
            <w:vMerge w:val="restart"/>
          </w:tcPr>
          <w:p>
            <w:pPr>
              <w:pStyle w:val="0"/>
            </w:pPr>
            <w:r>
              <w:rPr>
                <w:sz w:val="20"/>
              </w:rPr>
            </w:r>
          </w:p>
        </w:tc>
        <w:tc>
          <w:tcPr>
            <w:tcW w:w="2268" w:type="dxa"/>
            <w:vMerge w:val="restart"/>
          </w:tcPr>
          <w:p>
            <w:pPr>
              <w:pStyle w:val="0"/>
            </w:pPr>
            <w:r>
              <w:rPr>
                <w:sz w:val="20"/>
              </w:rPr>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pPr>
            <w:r>
              <w:rPr>
                <w:sz w:val="20"/>
              </w:rPr>
            </w:r>
          </w:p>
        </w:tc>
        <w:tc>
          <w:tcPr>
            <w:vMerge w:val="continue"/>
          </w:tcPr>
          <w:p/>
        </w:tc>
        <w:tc>
          <w:tcPr>
            <w:vMerge w:val="continue"/>
          </w:tcPr>
          <w:p/>
        </w:tc>
      </w:tr>
      <w:tr>
        <w:tc>
          <w:tcPr>
            <w:gridSpan w:val="15"/>
            <w:tcW w:w="18823" w:type="dxa"/>
          </w:tcPr>
          <w:p>
            <w:pPr>
              <w:pStyle w:val="0"/>
              <w:outlineLvl w:val="5"/>
              <w:jc w:val="center"/>
            </w:pPr>
            <w:r>
              <w:rPr>
                <w:sz w:val="20"/>
              </w:rPr>
              <w:t xml:space="preserve">1.1.3. Подпрограмма государственной программы "Градостроительная подготовка территорий Новосибирской области и фонд пространственных данных Новосибирской области"</w:t>
            </w:r>
          </w:p>
        </w:tc>
      </w:tr>
      <w:tr>
        <w:tc>
          <w:tcPr>
            <w:gridSpan w:val="15"/>
            <w:tcW w:w="18823" w:type="dxa"/>
          </w:tcPr>
          <w:p>
            <w:pPr>
              <w:pStyle w:val="0"/>
              <w:outlineLvl w:val="6"/>
              <w:jc w:val="center"/>
            </w:pPr>
            <w:r>
              <w:rPr>
                <w:sz w:val="20"/>
              </w:rPr>
              <w:t xml:space="preserve">1.1.3.1. Цель подпрограммы государственной подпрограммы: обеспечение всех субъектов градостроительных отношений актуальной градостроительной документацией, предусмотренной Градостроительным кодексом Российской Федерации, а также пространственными данными и материалами</w:t>
            </w:r>
          </w:p>
        </w:tc>
      </w:tr>
      <w:tr>
        <w:tc>
          <w:tcPr>
            <w:gridSpan w:val="15"/>
            <w:tcW w:w="18823" w:type="dxa"/>
          </w:tcPr>
          <w:p>
            <w:pPr>
              <w:pStyle w:val="0"/>
              <w:outlineLvl w:val="7"/>
              <w:jc w:val="center"/>
            </w:pPr>
            <w:r>
              <w:rPr>
                <w:sz w:val="20"/>
              </w:rPr>
              <w:t xml:space="preserve">1.1.3.1.1. Задача 1 подпрограммы государственной программы: обеспечение градостроительного развития Новосибирской области</w:t>
            </w:r>
          </w:p>
        </w:tc>
      </w:tr>
      <w:tr>
        <w:tc>
          <w:tcPr>
            <w:tcW w:w="2721" w:type="dxa"/>
            <w:vMerge w:val="restart"/>
          </w:tcPr>
          <w:p>
            <w:pPr>
              <w:pStyle w:val="0"/>
            </w:pPr>
            <w:r>
              <w:rPr>
                <w:sz w:val="20"/>
              </w:rPr>
              <w:t xml:space="preserve">1.1.3.1.1.1. Подготовка градостроительной документации или внесение в нее изменений в рамках полномочий муниципальных образований Новосибирской области</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1</w:t>
            </w:r>
          </w:p>
        </w:tc>
        <w:tc>
          <w:tcPr>
            <w:tcW w:w="567" w:type="dxa"/>
          </w:tcPr>
          <w:p>
            <w:pPr>
              <w:pStyle w:val="0"/>
              <w:jc w:val="center"/>
            </w:pPr>
            <w:r>
              <w:rPr>
                <w:sz w:val="20"/>
              </w:rPr>
              <w:t xml:space="preserve">02</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17 475,7</w:t>
            </w:r>
          </w:p>
        </w:tc>
        <w:tc>
          <w:tcPr>
            <w:tcW w:w="1304" w:type="dxa"/>
          </w:tcPr>
          <w:p>
            <w:pPr>
              <w:pStyle w:val="0"/>
              <w:jc w:val="center"/>
            </w:pPr>
            <w:r>
              <w:rPr>
                <w:sz w:val="20"/>
              </w:rPr>
              <w:t xml:space="preserve">18 374,0</w:t>
            </w:r>
          </w:p>
        </w:tc>
        <w:tc>
          <w:tcPr>
            <w:tcW w:w="1304" w:type="dxa"/>
          </w:tcPr>
          <w:p>
            <w:pPr>
              <w:pStyle w:val="0"/>
              <w:jc w:val="center"/>
            </w:pPr>
            <w:r>
              <w:rPr>
                <w:sz w:val="20"/>
              </w:rPr>
              <w:t xml:space="preserve">68 374,0</w:t>
            </w:r>
          </w:p>
        </w:tc>
        <w:tc>
          <w:tcPr>
            <w:tcW w:w="1304" w:type="dxa"/>
          </w:tcPr>
          <w:p>
            <w:pPr>
              <w:pStyle w:val="0"/>
              <w:jc w:val="center"/>
            </w:pPr>
            <w:r>
              <w:rPr>
                <w:sz w:val="20"/>
              </w:rPr>
              <w:t xml:space="preserve">68 374,0</w:t>
            </w:r>
          </w:p>
        </w:tc>
        <w:tc>
          <w:tcPr>
            <w:tcW w:w="1247" w:type="dxa"/>
            <w:vMerge w:val="restart"/>
          </w:tcPr>
          <w:p>
            <w:pPr>
              <w:pStyle w:val="0"/>
              <w:jc w:val="center"/>
            </w:pPr>
            <w:r>
              <w:rPr>
                <w:sz w:val="20"/>
              </w:rPr>
              <w:t xml:space="preserve">Минстрой НСО,</w:t>
            </w:r>
          </w:p>
          <w:p>
            <w:pPr>
              <w:pStyle w:val="0"/>
              <w:jc w:val="center"/>
            </w:pPr>
            <w:r>
              <w:rPr>
                <w:sz w:val="20"/>
              </w:rPr>
              <w:t xml:space="preserve">ОМС НСО</w:t>
            </w:r>
          </w:p>
        </w:tc>
        <w:tc>
          <w:tcPr>
            <w:tcW w:w="2268" w:type="dxa"/>
            <w:vMerge w:val="restart"/>
          </w:tcPr>
          <w:p>
            <w:pPr>
              <w:pStyle w:val="0"/>
            </w:pPr>
            <w:r>
              <w:rPr>
                <w:sz w:val="20"/>
              </w:rPr>
              <w:t xml:space="preserve">Обеспечение муниципальных образований Новосибирской области актуальной градостроительной документацией.</w:t>
            </w:r>
          </w:p>
          <w:p>
            <w:pPr>
              <w:pStyle w:val="0"/>
            </w:pPr>
            <w:r>
              <w:rPr>
                <w:sz w:val="20"/>
              </w:rPr>
              <w:t xml:space="preserve">Субсидирование муниципальных образований осуществляется по результатам проведения профильного отбора</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4 127,7</w:t>
            </w:r>
          </w:p>
        </w:tc>
        <w:tc>
          <w:tcPr>
            <w:tcW w:w="1304" w:type="dxa"/>
          </w:tcPr>
          <w:p>
            <w:pPr>
              <w:pStyle w:val="0"/>
              <w:jc w:val="center"/>
            </w:pPr>
            <w:r>
              <w:rPr>
                <w:sz w:val="20"/>
              </w:rPr>
              <w:t xml:space="preserve">4 691,5</w:t>
            </w:r>
          </w:p>
        </w:tc>
        <w:tc>
          <w:tcPr>
            <w:tcW w:w="1304" w:type="dxa"/>
          </w:tcPr>
          <w:p>
            <w:pPr>
              <w:pStyle w:val="0"/>
              <w:jc w:val="center"/>
            </w:pPr>
            <w:r>
              <w:rPr>
                <w:sz w:val="20"/>
              </w:rPr>
              <w:t xml:space="preserve">5 391,4</w:t>
            </w:r>
          </w:p>
        </w:tc>
        <w:tc>
          <w:tcPr>
            <w:tcW w:w="1304" w:type="dxa"/>
          </w:tcPr>
          <w:p>
            <w:pPr>
              <w:pStyle w:val="0"/>
              <w:jc w:val="center"/>
            </w:pPr>
            <w:r>
              <w:rPr>
                <w:sz w:val="20"/>
              </w:rPr>
              <w:t xml:space="preserve">5 390,3</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1.1.3.1.1.2. Утверждение градостроительной документации и внесение в нее изменений в рамках полномочий министерства строительства Новосибирской области, а также подготовка исследовательских работ в целях развития агломераций Новосибирской области</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1</w:t>
            </w:r>
          </w:p>
        </w:tc>
        <w:tc>
          <w:tcPr>
            <w:tcW w:w="567" w:type="dxa"/>
          </w:tcPr>
          <w:p>
            <w:pPr>
              <w:pStyle w:val="0"/>
              <w:jc w:val="center"/>
            </w:pPr>
            <w:r>
              <w:rPr>
                <w:sz w:val="20"/>
              </w:rPr>
              <w:t xml:space="preserve">01</w:t>
            </w:r>
          </w:p>
        </w:tc>
        <w:tc>
          <w:tcPr>
            <w:tcW w:w="1134" w:type="dxa"/>
          </w:tcPr>
          <w:p>
            <w:pPr>
              <w:pStyle w:val="0"/>
            </w:pPr>
            <w:r>
              <w:rPr>
                <w:sz w:val="20"/>
              </w:rPr>
            </w:r>
          </w:p>
        </w:tc>
        <w:tc>
          <w:tcPr>
            <w:tcW w:w="1134" w:type="dxa"/>
          </w:tcPr>
          <w:p>
            <w:pPr>
              <w:pStyle w:val="0"/>
              <w:jc w:val="center"/>
            </w:pPr>
            <w:r>
              <w:rPr>
                <w:sz w:val="20"/>
              </w:rPr>
              <w:t xml:space="preserve">11 624,8</w:t>
            </w:r>
          </w:p>
        </w:tc>
        <w:tc>
          <w:tcPr>
            <w:tcW w:w="1134" w:type="dxa"/>
          </w:tcPr>
          <w:p>
            <w:pPr>
              <w:pStyle w:val="0"/>
              <w:jc w:val="center"/>
            </w:pPr>
            <w:r>
              <w:rPr>
                <w:sz w:val="20"/>
              </w:rPr>
              <w:t xml:space="preserve">5 692,0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247" w:type="dxa"/>
            <w:vMerge w:val="restart"/>
          </w:tcPr>
          <w:p>
            <w:pPr>
              <w:pStyle w:val="0"/>
              <w:jc w:val="center"/>
            </w:pPr>
            <w:r>
              <w:rPr>
                <w:sz w:val="20"/>
              </w:rPr>
              <w:t xml:space="preserve">Минстрой НСО</w:t>
            </w:r>
          </w:p>
        </w:tc>
        <w:tc>
          <w:tcPr>
            <w:tcW w:w="2268" w:type="dxa"/>
            <w:vMerge w:val="restart"/>
          </w:tcPr>
          <w:p>
            <w:pPr>
              <w:pStyle w:val="0"/>
            </w:pPr>
            <w:r>
              <w:rPr>
                <w:sz w:val="20"/>
              </w:rPr>
              <w:t xml:space="preserve">Обеспечение муниципальных образований Новосибирской области актуальной градостроительной документацией</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tcBorders>
              <w:bottom w:val="nil"/>
            </w:tcBorders>
            <w:vMerge w:val="restart"/>
          </w:tcPr>
          <w:p>
            <w:pPr>
              <w:pStyle w:val="0"/>
            </w:pPr>
            <w:r>
              <w:rPr>
                <w:sz w:val="20"/>
              </w:rPr>
              <w:t xml:space="preserve">1.1.3.1.1.3. Обеспечение всех субъектов градостроительных отношений актуальными пространственными данными и актуальной градостроительной документацией</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1</w:t>
            </w:r>
          </w:p>
        </w:tc>
        <w:tc>
          <w:tcPr>
            <w:tcW w:w="567" w:type="dxa"/>
          </w:tcPr>
          <w:p>
            <w:pPr>
              <w:pStyle w:val="0"/>
              <w:jc w:val="center"/>
            </w:pPr>
            <w:r>
              <w:rPr>
                <w:sz w:val="20"/>
              </w:rPr>
              <w:t xml:space="preserve">03</w:t>
            </w:r>
          </w:p>
        </w:tc>
        <w:tc>
          <w:tcPr>
            <w:tcW w:w="1134" w:type="dxa"/>
          </w:tcPr>
          <w:p>
            <w:pPr>
              <w:pStyle w:val="0"/>
            </w:pPr>
            <w:r>
              <w:rPr>
                <w:sz w:val="20"/>
              </w:rPr>
            </w:r>
          </w:p>
        </w:tc>
        <w:tc>
          <w:tcPr>
            <w:tcW w:w="1134" w:type="dxa"/>
          </w:tcPr>
          <w:p>
            <w:pPr>
              <w:pStyle w:val="0"/>
              <w:jc w:val="center"/>
            </w:pPr>
            <w:r>
              <w:rPr>
                <w:sz w:val="20"/>
              </w:rPr>
              <w:t xml:space="preserve">111 921,9</w:t>
            </w:r>
          </w:p>
        </w:tc>
        <w:tc>
          <w:tcPr>
            <w:tcW w:w="1134" w:type="dxa"/>
          </w:tcPr>
          <w:p>
            <w:pPr>
              <w:pStyle w:val="0"/>
              <w:jc w:val="center"/>
            </w:pPr>
            <w:r>
              <w:rPr>
                <w:sz w:val="20"/>
              </w:rPr>
              <w:t xml:space="preserve">87 378,7</w:t>
            </w:r>
          </w:p>
        </w:tc>
        <w:tc>
          <w:tcPr>
            <w:tcW w:w="1304" w:type="dxa"/>
          </w:tcPr>
          <w:p>
            <w:pPr>
              <w:pStyle w:val="0"/>
              <w:jc w:val="center"/>
            </w:pPr>
            <w:r>
              <w:rPr>
                <w:sz w:val="20"/>
              </w:rPr>
              <w:t xml:space="preserve">116 600,6</w:t>
            </w:r>
          </w:p>
        </w:tc>
        <w:tc>
          <w:tcPr>
            <w:tcW w:w="1304" w:type="dxa"/>
          </w:tcPr>
          <w:p>
            <w:pPr>
              <w:pStyle w:val="0"/>
              <w:jc w:val="center"/>
            </w:pPr>
            <w:r>
              <w:rPr>
                <w:sz w:val="20"/>
              </w:rPr>
              <w:t xml:space="preserve">127 451,4</w:t>
            </w:r>
          </w:p>
        </w:tc>
        <w:tc>
          <w:tcPr>
            <w:tcW w:w="1304" w:type="dxa"/>
          </w:tcPr>
          <w:p>
            <w:pPr>
              <w:pStyle w:val="0"/>
              <w:jc w:val="center"/>
            </w:pPr>
            <w:r>
              <w:rPr>
                <w:sz w:val="20"/>
              </w:rPr>
              <w:t xml:space="preserve">133 405,4</w:t>
            </w:r>
          </w:p>
        </w:tc>
        <w:tc>
          <w:tcPr>
            <w:tcW w:w="1304" w:type="dxa"/>
          </w:tcPr>
          <w:p>
            <w:pPr>
              <w:pStyle w:val="0"/>
              <w:jc w:val="center"/>
            </w:pPr>
            <w:r>
              <w:rPr>
                <w:sz w:val="20"/>
              </w:rPr>
              <w:t xml:space="preserve">137 115,8</w:t>
            </w:r>
          </w:p>
        </w:tc>
        <w:tc>
          <w:tcPr>
            <w:tcW w:w="1247" w:type="dxa"/>
            <w:tcBorders>
              <w:bottom w:val="nil"/>
            </w:tcBorders>
            <w:vMerge w:val="restart"/>
          </w:tcPr>
          <w:p>
            <w:pPr>
              <w:pStyle w:val="0"/>
              <w:jc w:val="center"/>
            </w:pPr>
            <w:r>
              <w:rPr>
                <w:sz w:val="20"/>
              </w:rPr>
              <w:t xml:space="preserve">Минстрой НСО,</w:t>
            </w:r>
          </w:p>
          <w:p>
            <w:pPr>
              <w:pStyle w:val="0"/>
              <w:jc w:val="center"/>
            </w:pPr>
            <w:r>
              <w:rPr>
                <w:sz w:val="20"/>
              </w:rPr>
              <w:t xml:space="preserve">ГБУ НСО "Фонд пространственных данных Новосибирской области"</w:t>
            </w:r>
          </w:p>
        </w:tc>
        <w:tc>
          <w:tcPr>
            <w:tcW w:w="2268" w:type="dxa"/>
            <w:tcBorders>
              <w:bottom w:val="nil"/>
            </w:tcBorders>
            <w:vMerge w:val="restart"/>
          </w:tcPr>
          <w:p>
            <w:pPr>
              <w:pStyle w:val="0"/>
            </w:pPr>
            <w:r>
              <w:rPr>
                <w:sz w:val="20"/>
              </w:rPr>
              <w:t xml:space="preserve">Обеспечение обработки 100% поступивших заказов</w:t>
            </w:r>
          </w:p>
        </w:tc>
      </w:tr>
      <w:tr>
        <w:tc>
          <w:tcPr>
            <w:tcBorders>
              <w:bottom w:val="nil"/>
            </w:tcBorders>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Borders>
              <w:bottom w:val="nil"/>
            </w:tcBorders>
            <w:vMerge w:val="continue"/>
          </w:tcPr>
          <w:p/>
        </w:tc>
        <w:tc>
          <w:tcPr>
            <w:tcBorders>
              <w:bottom w:val="nil"/>
            </w:tcBorders>
            <w:vMerge w:val="continue"/>
          </w:tcPr>
          <w:p/>
        </w:tc>
      </w:tr>
      <w:tr>
        <w:tc>
          <w:tcPr>
            <w:tcBorders>
              <w:bottom w:val="nil"/>
            </w:tcBorders>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Borders>
              <w:bottom w:val="nil"/>
            </w:tcBorders>
            <w:vMerge w:val="continue"/>
          </w:tcPr>
          <w:p/>
        </w:tc>
        <w:tc>
          <w:tcPr>
            <w:tcBorders>
              <w:bottom w:val="nil"/>
            </w:tcBorders>
            <w:vMerge w:val="continue"/>
          </w:tcPr>
          <w:p/>
        </w:tc>
      </w:tr>
      <w:tr>
        <w:tc>
          <w:tcPr>
            <w:tcBorders>
              <w:bottom w:val="nil"/>
            </w:tcBorders>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Borders>
              <w:bottom w:val="nil"/>
            </w:tcBorders>
            <w:vMerge w:val="continue"/>
          </w:tcPr>
          <w:p/>
        </w:tc>
        <w:tc>
          <w:tcPr>
            <w:tcBorders>
              <w:bottom w:val="nil"/>
            </w:tcBorders>
            <w:vMerge w:val="continue"/>
          </w:tcPr>
          <w:p/>
        </w:tc>
      </w:tr>
      <w:tr>
        <w:tblPrEx>
          <w:tblBorders>
            <w:insideH w:val="nil"/>
          </w:tblBorders>
        </w:tblPrEx>
        <w:tc>
          <w:tcPr>
            <w:tcBorders>
              <w:bottom w:val="nil"/>
            </w:tcBorders>
            <w:vMerge w:val="continue"/>
          </w:tcPr>
          <w:p/>
        </w:tc>
        <w:tc>
          <w:tcPr>
            <w:tcW w:w="1583" w:type="dxa"/>
            <w:tcBorders>
              <w:bottom w:val="nil"/>
            </w:tcBorders>
          </w:tcPr>
          <w:p>
            <w:pPr>
              <w:pStyle w:val="0"/>
            </w:pPr>
            <w:r>
              <w:rPr>
                <w:sz w:val="20"/>
              </w:rPr>
              <w:t xml:space="preserve">налоговые расходы</w:t>
            </w:r>
          </w:p>
        </w:tc>
        <w:tc>
          <w:tcPr>
            <w:tcW w:w="685" w:type="dxa"/>
            <w:tcBorders>
              <w:bottom w:val="nil"/>
            </w:tcBorders>
          </w:tcPr>
          <w:p>
            <w:pPr>
              <w:pStyle w:val="0"/>
            </w:pPr>
            <w:r>
              <w:rPr>
                <w:sz w:val="20"/>
              </w:rPr>
            </w:r>
          </w:p>
        </w:tc>
        <w:tc>
          <w:tcPr>
            <w:tcW w:w="567" w:type="dxa"/>
            <w:tcBorders>
              <w:bottom w:val="nil"/>
            </w:tcBorders>
          </w:tcPr>
          <w:p>
            <w:pPr>
              <w:pStyle w:val="0"/>
            </w:pPr>
            <w:r>
              <w:rPr>
                <w:sz w:val="20"/>
              </w:rPr>
            </w:r>
          </w:p>
        </w:tc>
        <w:tc>
          <w:tcPr>
            <w:tcW w:w="567" w:type="dxa"/>
            <w:tcBorders>
              <w:bottom w:val="nil"/>
            </w:tcBorders>
          </w:tcPr>
          <w:p>
            <w:pPr>
              <w:pStyle w:val="0"/>
            </w:pPr>
            <w:r>
              <w:rPr>
                <w:sz w:val="20"/>
              </w:rPr>
            </w:r>
          </w:p>
        </w:tc>
        <w:tc>
          <w:tcPr>
            <w:tcW w:w="567" w:type="dxa"/>
            <w:tcBorders>
              <w:bottom w:val="nil"/>
            </w:tcBorders>
          </w:tcPr>
          <w:p>
            <w:pPr>
              <w:pStyle w:val="0"/>
            </w:pPr>
            <w:r>
              <w:rPr>
                <w:sz w:val="20"/>
              </w:rPr>
            </w:r>
          </w:p>
        </w:tc>
        <w:tc>
          <w:tcPr>
            <w:tcW w:w="1134" w:type="dxa"/>
            <w:tcBorders>
              <w:bottom w:val="nil"/>
            </w:tcBorders>
          </w:tcPr>
          <w:p>
            <w:pPr>
              <w:pStyle w:val="0"/>
              <w:jc w:val="center"/>
            </w:pPr>
            <w:r>
              <w:rPr>
                <w:sz w:val="20"/>
              </w:rPr>
              <w:t xml:space="preserve">-</w:t>
            </w:r>
          </w:p>
        </w:tc>
        <w:tc>
          <w:tcPr>
            <w:tcW w:w="1134" w:type="dxa"/>
            <w:tcBorders>
              <w:bottom w:val="nil"/>
            </w:tcBorders>
          </w:tcPr>
          <w:p>
            <w:pPr>
              <w:pStyle w:val="0"/>
              <w:jc w:val="center"/>
            </w:pPr>
            <w:r>
              <w:rPr>
                <w:sz w:val="20"/>
              </w:rPr>
              <w:t xml:space="preserve">-</w:t>
            </w:r>
          </w:p>
        </w:tc>
        <w:tc>
          <w:tcPr>
            <w:tcW w:w="1134" w:type="dxa"/>
            <w:tcBorders>
              <w:bottom w:val="nil"/>
            </w:tcBorders>
          </w:tcPr>
          <w:p>
            <w:pPr>
              <w:pStyle w:val="0"/>
              <w:jc w:val="center"/>
            </w:pPr>
            <w:r>
              <w:rPr>
                <w:sz w:val="20"/>
              </w:rPr>
              <w:t xml:space="preserve">-</w:t>
            </w:r>
          </w:p>
        </w:tc>
        <w:tc>
          <w:tcPr>
            <w:tcW w:w="1304" w:type="dxa"/>
            <w:tcBorders>
              <w:bottom w:val="nil"/>
            </w:tcBorders>
          </w:tcPr>
          <w:p>
            <w:pPr>
              <w:pStyle w:val="0"/>
              <w:jc w:val="center"/>
            </w:pPr>
            <w:r>
              <w:rPr>
                <w:sz w:val="20"/>
              </w:rPr>
              <w:t xml:space="preserve">-</w:t>
            </w:r>
          </w:p>
        </w:tc>
        <w:tc>
          <w:tcPr>
            <w:tcW w:w="1304" w:type="dxa"/>
            <w:tcBorders>
              <w:bottom w:val="nil"/>
            </w:tcBorders>
          </w:tcPr>
          <w:p>
            <w:pPr>
              <w:pStyle w:val="0"/>
              <w:jc w:val="center"/>
            </w:pPr>
            <w:r>
              <w:rPr>
                <w:sz w:val="20"/>
              </w:rPr>
              <w:t xml:space="preserve">-</w:t>
            </w:r>
          </w:p>
        </w:tc>
        <w:tc>
          <w:tcPr>
            <w:tcW w:w="1304" w:type="dxa"/>
            <w:tcBorders>
              <w:bottom w:val="nil"/>
            </w:tcBorders>
          </w:tcPr>
          <w:p>
            <w:pPr>
              <w:pStyle w:val="0"/>
              <w:jc w:val="center"/>
            </w:pPr>
            <w:r>
              <w:rPr>
                <w:sz w:val="20"/>
              </w:rPr>
              <w:t xml:space="preserve">-</w:t>
            </w:r>
          </w:p>
        </w:tc>
        <w:tc>
          <w:tcPr>
            <w:tcW w:w="1304" w:type="dxa"/>
            <w:tcBorders>
              <w:bottom w:val="nil"/>
            </w:tcBorders>
          </w:tcPr>
          <w:p>
            <w:pPr>
              <w:pStyle w:val="0"/>
              <w:jc w:val="center"/>
            </w:pPr>
            <w:r>
              <w:rPr>
                <w:sz w:val="20"/>
              </w:rPr>
              <w:t xml:space="preserve">-</w:t>
            </w:r>
          </w:p>
        </w:tc>
        <w:tc>
          <w:tcPr>
            <w:tcBorders>
              <w:bottom w:val="nil"/>
            </w:tcBorders>
            <w:vMerge w:val="continue"/>
          </w:tcPr>
          <w:p/>
        </w:tc>
        <w:tc>
          <w:tcPr>
            <w:tcBorders>
              <w:bottom w:val="nil"/>
            </w:tcBorders>
            <w:vMerge w:val="continue"/>
          </w:tcPr>
          <w:p/>
        </w:tc>
      </w:tr>
      <w:tr>
        <w:tblPrEx>
          <w:tblBorders>
            <w:insideH w:val="nil"/>
          </w:tblBorders>
        </w:tblPrEx>
        <w:tc>
          <w:tcPr>
            <w:gridSpan w:val="15"/>
            <w:tcW w:w="18823" w:type="dxa"/>
            <w:tcBorders>
              <w:top w:val="nil"/>
            </w:tcBorders>
          </w:tcPr>
          <w:p>
            <w:pPr>
              <w:pStyle w:val="0"/>
              <w:jc w:val="both"/>
            </w:pPr>
            <w:r>
              <w:rPr>
                <w:sz w:val="20"/>
              </w:rPr>
              <w:t xml:space="preserve">(в ред. </w:t>
            </w:r>
            <w:hyperlink w:history="0" r:id="rId179"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tc>
      </w:tr>
      <w:tr>
        <w:tc>
          <w:tcPr>
            <w:tcW w:w="2721" w:type="dxa"/>
            <w:tcBorders>
              <w:bottom w:val="nil"/>
            </w:tcBorders>
            <w:vMerge w:val="restart"/>
          </w:tcPr>
          <w:p>
            <w:pPr>
              <w:pStyle w:val="0"/>
            </w:pPr>
            <w:r>
              <w:rPr>
                <w:sz w:val="20"/>
              </w:rPr>
              <w:t xml:space="preserve">1.1.3.1.1.4. Организация проведения, участие в выставочно-ярмарочных и конгрессных мероприятиях</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7 389,1</w:t>
            </w:r>
          </w:p>
        </w:tc>
        <w:tc>
          <w:tcPr>
            <w:tcW w:w="1304" w:type="dxa"/>
          </w:tcPr>
          <w:p>
            <w:pPr>
              <w:pStyle w:val="0"/>
              <w:jc w:val="center"/>
            </w:pPr>
            <w:r>
              <w:rPr>
                <w:sz w:val="20"/>
              </w:rPr>
              <w:t xml:space="preserve">9 994,0</w:t>
            </w:r>
          </w:p>
        </w:tc>
        <w:tc>
          <w:tcPr>
            <w:tcW w:w="1304" w:type="dxa"/>
          </w:tcPr>
          <w:p>
            <w:pPr>
              <w:pStyle w:val="0"/>
              <w:jc w:val="center"/>
            </w:pPr>
            <w:r>
              <w:rPr>
                <w:sz w:val="20"/>
              </w:rPr>
              <w:t xml:space="preserve">10 000,0</w:t>
            </w:r>
          </w:p>
        </w:tc>
        <w:tc>
          <w:tcPr>
            <w:tcW w:w="1304" w:type="dxa"/>
          </w:tcPr>
          <w:p>
            <w:pPr>
              <w:pStyle w:val="0"/>
              <w:jc w:val="center"/>
            </w:pPr>
            <w:r>
              <w:rPr>
                <w:sz w:val="20"/>
              </w:rPr>
              <w:t xml:space="preserve">10 000,0</w:t>
            </w:r>
          </w:p>
        </w:tc>
        <w:tc>
          <w:tcPr>
            <w:tcW w:w="1247" w:type="dxa"/>
            <w:tcBorders>
              <w:bottom w:val="nil"/>
            </w:tcBorders>
            <w:vMerge w:val="restart"/>
          </w:tcPr>
          <w:p>
            <w:pPr>
              <w:pStyle w:val="0"/>
              <w:jc w:val="center"/>
            </w:pPr>
            <w:r>
              <w:rPr>
                <w:sz w:val="20"/>
              </w:rPr>
              <w:t xml:space="preserve">Минстрой НСО</w:t>
            </w:r>
          </w:p>
        </w:tc>
        <w:tc>
          <w:tcPr>
            <w:tcW w:w="2268" w:type="dxa"/>
            <w:tcBorders>
              <w:bottom w:val="nil"/>
            </w:tcBorders>
            <w:vMerge w:val="restart"/>
          </w:tcPr>
          <w:p>
            <w:pPr>
              <w:pStyle w:val="0"/>
            </w:pPr>
            <w:r>
              <w:rPr>
                <w:sz w:val="20"/>
              </w:rPr>
              <w:t xml:space="preserve">Повышение результативности государственной политики и управления социально-экономическими процессами в сфере развития Новосибирской и Барабинско-Куйбышевской агломераций Новосибирской области, межрегиональное сотрудничество, организация межмуниципального взаимодействия, реализации масштабных инвестпроектов, обеспечения решения приоритетных задач социально-экономического развития Новосибирской области</w:t>
            </w:r>
          </w:p>
        </w:tc>
      </w:tr>
      <w:tr>
        <w:tc>
          <w:tcPr>
            <w:tcBorders>
              <w:bottom w:val="nil"/>
            </w:tcBorders>
            <w:vMerge w:val="continue"/>
          </w:tcPr>
          <w:p/>
        </w:tc>
        <w:tc>
          <w:tcPr>
            <w:tcW w:w="1583" w:type="dxa"/>
          </w:tcPr>
          <w:p>
            <w:pPr>
              <w:pStyle w:val="0"/>
            </w:pPr>
            <w:r>
              <w:rPr>
                <w:sz w:val="20"/>
              </w:rPr>
              <w:t xml:space="preserve">федеральный бюджет</w:t>
            </w:r>
          </w:p>
        </w:tc>
        <w:tc>
          <w:tcPr>
            <w:tcW w:w="685" w:type="dxa"/>
          </w:tcPr>
          <w:p>
            <w:pPr>
              <w:pStyle w:val="0"/>
              <w:jc w:val="center"/>
            </w:pPr>
            <w:r>
              <w:rPr>
                <w:sz w:val="20"/>
              </w:rPr>
              <w:t xml:space="preserve">х</w:t>
            </w:r>
          </w:p>
        </w:tc>
        <w:tc>
          <w:tcPr>
            <w:tcW w:w="567" w:type="dxa"/>
          </w:tcPr>
          <w:p>
            <w:pPr>
              <w:pStyle w:val="0"/>
              <w:jc w:val="center"/>
            </w:pPr>
            <w:r>
              <w:rPr>
                <w:sz w:val="20"/>
              </w:rPr>
              <w:t xml:space="preserve">х</w:t>
            </w:r>
          </w:p>
        </w:tc>
        <w:tc>
          <w:tcPr>
            <w:tcW w:w="567" w:type="dxa"/>
          </w:tcPr>
          <w:p>
            <w:pPr>
              <w:pStyle w:val="0"/>
              <w:jc w:val="center"/>
            </w:pPr>
            <w:r>
              <w:rPr>
                <w:sz w:val="20"/>
              </w:rPr>
              <w:t xml:space="preserve">х</w:t>
            </w:r>
          </w:p>
        </w:tc>
        <w:tc>
          <w:tcPr>
            <w:tcW w:w="567" w:type="dxa"/>
          </w:tcPr>
          <w:p>
            <w:pPr>
              <w:pStyle w:val="0"/>
              <w:jc w:val="center"/>
            </w:pPr>
            <w:r>
              <w:rPr>
                <w:sz w:val="20"/>
              </w:rPr>
              <w:t xml:space="preserve">х</w:t>
            </w:r>
          </w:p>
        </w:tc>
        <w:tc>
          <w:tcPr>
            <w:tcW w:w="1134"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Borders>
              <w:bottom w:val="nil"/>
            </w:tcBorders>
            <w:vMerge w:val="continue"/>
          </w:tcPr>
          <w:p/>
        </w:tc>
        <w:tc>
          <w:tcPr>
            <w:tcBorders>
              <w:bottom w:val="nil"/>
            </w:tcBorders>
            <w:vMerge w:val="continue"/>
          </w:tcPr>
          <w:p/>
        </w:tc>
      </w:tr>
      <w:tr>
        <w:tc>
          <w:tcPr>
            <w:tcBorders>
              <w:bottom w:val="nil"/>
            </w:tcBorders>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х</w:t>
            </w:r>
          </w:p>
        </w:tc>
        <w:tc>
          <w:tcPr>
            <w:tcW w:w="567" w:type="dxa"/>
          </w:tcPr>
          <w:p>
            <w:pPr>
              <w:pStyle w:val="0"/>
              <w:jc w:val="center"/>
            </w:pPr>
            <w:r>
              <w:rPr>
                <w:sz w:val="20"/>
              </w:rPr>
              <w:t xml:space="preserve">х</w:t>
            </w:r>
          </w:p>
        </w:tc>
        <w:tc>
          <w:tcPr>
            <w:tcW w:w="567" w:type="dxa"/>
          </w:tcPr>
          <w:p>
            <w:pPr>
              <w:pStyle w:val="0"/>
              <w:jc w:val="center"/>
            </w:pPr>
            <w:r>
              <w:rPr>
                <w:sz w:val="20"/>
              </w:rPr>
              <w:t xml:space="preserve">х</w:t>
            </w:r>
          </w:p>
        </w:tc>
        <w:tc>
          <w:tcPr>
            <w:tcW w:w="567" w:type="dxa"/>
          </w:tcPr>
          <w:p>
            <w:pPr>
              <w:pStyle w:val="0"/>
              <w:jc w:val="center"/>
            </w:pPr>
            <w:r>
              <w:rPr>
                <w:sz w:val="20"/>
              </w:rPr>
              <w:t xml:space="preserve">х</w:t>
            </w:r>
          </w:p>
        </w:tc>
        <w:tc>
          <w:tcPr>
            <w:tcW w:w="1134"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Borders>
              <w:bottom w:val="nil"/>
            </w:tcBorders>
            <w:vMerge w:val="continue"/>
          </w:tcPr>
          <w:p/>
        </w:tc>
        <w:tc>
          <w:tcPr>
            <w:tcBorders>
              <w:bottom w:val="nil"/>
            </w:tcBorders>
            <w:vMerge w:val="continue"/>
          </w:tcPr>
          <w:p/>
        </w:tc>
      </w:tr>
      <w:tr>
        <w:tc>
          <w:tcPr>
            <w:tcBorders>
              <w:bottom w:val="nil"/>
            </w:tcBorders>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х</w:t>
            </w:r>
          </w:p>
        </w:tc>
        <w:tc>
          <w:tcPr>
            <w:tcW w:w="567" w:type="dxa"/>
          </w:tcPr>
          <w:p>
            <w:pPr>
              <w:pStyle w:val="0"/>
              <w:jc w:val="center"/>
            </w:pPr>
            <w:r>
              <w:rPr>
                <w:sz w:val="20"/>
              </w:rPr>
              <w:t xml:space="preserve">х</w:t>
            </w:r>
          </w:p>
        </w:tc>
        <w:tc>
          <w:tcPr>
            <w:tcW w:w="567" w:type="dxa"/>
          </w:tcPr>
          <w:p>
            <w:pPr>
              <w:pStyle w:val="0"/>
              <w:jc w:val="center"/>
            </w:pPr>
            <w:r>
              <w:rPr>
                <w:sz w:val="20"/>
              </w:rPr>
              <w:t xml:space="preserve">х</w:t>
            </w:r>
          </w:p>
        </w:tc>
        <w:tc>
          <w:tcPr>
            <w:tcW w:w="567" w:type="dxa"/>
          </w:tcPr>
          <w:p>
            <w:pPr>
              <w:pStyle w:val="0"/>
              <w:jc w:val="center"/>
            </w:pPr>
            <w:r>
              <w:rPr>
                <w:sz w:val="20"/>
              </w:rPr>
              <w:t xml:space="preserve">х</w:t>
            </w:r>
          </w:p>
        </w:tc>
        <w:tc>
          <w:tcPr>
            <w:tcW w:w="1134"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Borders>
              <w:bottom w:val="nil"/>
            </w:tcBorders>
            <w:vMerge w:val="continue"/>
          </w:tcPr>
          <w:p/>
        </w:tc>
        <w:tc>
          <w:tcPr>
            <w:tcBorders>
              <w:bottom w:val="nil"/>
            </w:tcBorders>
            <w:vMerge w:val="continue"/>
          </w:tcPr>
          <w:p/>
        </w:tc>
      </w:tr>
      <w:tr>
        <w:tblPrEx>
          <w:tblBorders>
            <w:insideH w:val="nil"/>
          </w:tblBorders>
        </w:tblPrEx>
        <w:tc>
          <w:tcPr>
            <w:tcBorders>
              <w:bottom w:val="nil"/>
            </w:tcBorders>
            <w:vMerge w:val="continue"/>
          </w:tcPr>
          <w:p/>
        </w:tc>
        <w:tc>
          <w:tcPr>
            <w:tcW w:w="1583" w:type="dxa"/>
            <w:tcBorders>
              <w:bottom w:val="nil"/>
            </w:tcBorders>
          </w:tcPr>
          <w:p>
            <w:pPr>
              <w:pStyle w:val="0"/>
            </w:pPr>
            <w:r>
              <w:rPr>
                <w:sz w:val="20"/>
              </w:rPr>
              <w:t xml:space="preserve">налоговые расходы</w:t>
            </w:r>
          </w:p>
        </w:tc>
        <w:tc>
          <w:tcPr>
            <w:tcW w:w="685" w:type="dxa"/>
            <w:tcBorders>
              <w:bottom w:val="nil"/>
            </w:tcBorders>
          </w:tcPr>
          <w:p>
            <w:pPr>
              <w:pStyle w:val="0"/>
              <w:jc w:val="center"/>
            </w:pPr>
            <w:r>
              <w:rPr>
                <w:sz w:val="20"/>
              </w:rPr>
              <w:t xml:space="preserve">х</w:t>
            </w:r>
          </w:p>
        </w:tc>
        <w:tc>
          <w:tcPr>
            <w:tcW w:w="567" w:type="dxa"/>
            <w:tcBorders>
              <w:bottom w:val="nil"/>
            </w:tcBorders>
          </w:tcPr>
          <w:p>
            <w:pPr>
              <w:pStyle w:val="0"/>
              <w:jc w:val="center"/>
            </w:pPr>
            <w:r>
              <w:rPr>
                <w:sz w:val="20"/>
              </w:rPr>
              <w:t xml:space="preserve">х</w:t>
            </w:r>
          </w:p>
        </w:tc>
        <w:tc>
          <w:tcPr>
            <w:tcW w:w="567" w:type="dxa"/>
            <w:tcBorders>
              <w:bottom w:val="nil"/>
            </w:tcBorders>
          </w:tcPr>
          <w:p>
            <w:pPr>
              <w:pStyle w:val="0"/>
              <w:jc w:val="center"/>
            </w:pPr>
            <w:r>
              <w:rPr>
                <w:sz w:val="20"/>
              </w:rPr>
              <w:t xml:space="preserve">х</w:t>
            </w:r>
          </w:p>
        </w:tc>
        <w:tc>
          <w:tcPr>
            <w:tcW w:w="567" w:type="dxa"/>
            <w:tcBorders>
              <w:bottom w:val="nil"/>
            </w:tcBorders>
          </w:tcPr>
          <w:p>
            <w:pPr>
              <w:pStyle w:val="0"/>
              <w:jc w:val="center"/>
            </w:pPr>
            <w:r>
              <w:rPr>
                <w:sz w:val="20"/>
              </w:rPr>
              <w:t xml:space="preserve">х</w:t>
            </w:r>
          </w:p>
        </w:tc>
        <w:tc>
          <w:tcPr>
            <w:tcW w:w="1134" w:type="dxa"/>
            <w:tcBorders>
              <w:bottom w:val="nil"/>
            </w:tcBorders>
          </w:tcPr>
          <w:p>
            <w:pPr>
              <w:pStyle w:val="0"/>
            </w:pPr>
            <w:r>
              <w:rPr>
                <w:sz w:val="20"/>
              </w:rPr>
            </w:r>
          </w:p>
        </w:tc>
        <w:tc>
          <w:tcPr>
            <w:tcW w:w="1134" w:type="dxa"/>
            <w:tcBorders>
              <w:bottom w:val="nil"/>
            </w:tcBorders>
          </w:tcPr>
          <w:p>
            <w:pPr>
              <w:pStyle w:val="0"/>
              <w:jc w:val="center"/>
            </w:pPr>
            <w:r>
              <w:rPr>
                <w:sz w:val="20"/>
              </w:rPr>
              <w:t xml:space="preserve">-</w:t>
            </w:r>
          </w:p>
        </w:tc>
        <w:tc>
          <w:tcPr>
            <w:tcW w:w="1134" w:type="dxa"/>
            <w:tcBorders>
              <w:bottom w:val="nil"/>
            </w:tcBorders>
          </w:tcPr>
          <w:p>
            <w:pPr>
              <w:pStyle w:val="0"/>
              <w:jc w:val="center"/>
            </w:pPr>
            <w:r>
              <w:rPr>
                <w:sz w:val="20"/>
              </w:rPr>
              <w:t xml:space="preserve">-</w:t>
            </w:r>
          </w:p>
        </w:tc>
        <w:tc>
          <w:tcPr>
            <w:tcW w:w="1304" w:type="dxa"/>
            <w:tcBorders>
              <w:bottom w:val="nil"/>
            </w:tcBorders>
          </w:tcPr>
          <w:p>
            <w:pPr>
              <w:pStyle w:val="0"/>
              <w:jc w:val="center"/>
            </w:pPr>
            <w:r>
              <w:rPr>
                <w:sz w:val="20"/>
              </w:rPr>
              <w:t xml:space="preserve">-</w:t>
            </w:r>
          </w:p>
        </w:tc>
        <w:tc>
          <w:tcPr>
            <w:tcW w:w="1304" w:type="dxa"/>
            <w:tcBorders>
              <w:bottom w:val="nil"/>
            </w:tcBorders>
          </w:tcPr>
          <w:p>
            <w:pPr>
              <w:pStyle w:val="0"/>
              <w:jc w:val="center"/>
            </w:pPr>
            <w:r>
              <w:rPr>
                <w:sz w:val="20"/>
              </w:rPr>
              <w:t xml:space="preserve">-</w:t>
            </w:r>
          </w:p>
        </w:tc>
        <w:tc>
          <w:tcPr>
            <w:tcW w:w="1304" w:type="dxa"/>
            <w:tcBorders>
              <w:bottom w:val="nil"/>
            </w:tcBorders>
          </w:tcPr>
          <w:p>
            <w:pPr>
              <w:pStyle w:val="0"/>
              <w:jc w:val="center"/>
            </w:pPr>
            <w:r>
              <w:rPr>
                <w:sz w:val="20"/>
              </w:rPr>
              <w:t xml:space="preserve">-</w:t>
            </w:r>
          </w:p>
        </w:tc>
        <w:tc>
          <w:tcPr>
            <w:tcW w:w="1304" w:type="dxa"/>
            <w:tcBorders>
              <w:bottom w:val="nil"/>
            </w:tcBorders>
          </w:tcPr>
          <w:p>
            <w:pPr>
              <w:pStyle w:val="0"/>
              <w:jc w:val="center"/>
            </w:pPr>
            <w:r>
              <w:rPr>
                <w:sz w:val="20"/>
              </w:rPr>
              <w:t xml:space="preserve">-</w:t>
            </w:r>
          </w:p>
        </w:tc>
        <w:tc>
          <w:tcPr>
            <w:tcBorders>
              <w:bottom w:val="nil"/>
            </w:tcBorders>
            <w:vMerge w:val="continue"/>
          </w:tcPr>
          <w:p/>
        </w:tc>
        <w:tc>
          <w:tcPr>
            <w:tcBorders>
              <w:bottom w:val="nil"/>
            </w:tcBorders>
            <w:vMerge w:val="continue"/>
          </w:tcPr>
          <w:p/>
        </w:tc>
      </w:tr>
      <w:tr>
        <w:tblPrEx>
          <w:tblBorders>
            <w:insideH w:val="nil"/>
          </w:tblBorders>
        </w:tblPrEx>
        <w:tc>
          <w:tcPr>
            <w:gridSpan w:val="15"/>
            <w:tcW w:w="18823" w:type="dxa"/>
            <w:tcBorders>
              <w:top w:val="nil"/>
            </w:tcBorders>
          </w:tcPr>
          <w:p>
            <w:pPr>
              <w:pStyle w:val="0"/>
              <w:jc w:val="both"/>
            </w:pPr>
            <w:r>
              <w:rPr>
                <w:sz w:val="20"/>
              </w:rPr>
              <w:t xml:space="preserve">(в ред. </w:t>
            </w:r>
            <w:hyperlink w:history="0" r:id="rId180"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tc>
      </w:tr>
      <w:tr>
        <w:tc>
          <w:tcPr>
            <w:tcW w:w="2721" w:type="dxa"/>
            <w:tcBorders>
              <w:bottom w:val="nil"/>
            </w:tcBorders>
            <w:vMerge w:val="restart"/>
          </w:tcPr>
          <w:p>
            <w:pPr>
              <w:pStyle w:val="0"/>
            </w:pPr>
            <w:r>
              <w:rPr>
                <w:sz w:val="20"/>
              </w:rPr>
              <w:t xml:space="preserve">Итого по подпрограмме государственной программы "Градостроительная подготовка территорий Новосибирской области и фонд пространственных данных Новосибирской области"</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123 546,7</w:t>
            </w:r>
          </w:p>
        </w:tc>
        <w:tc>
          <w:tcPr>
            <w:tcW w:w="1134" w:type="dxa"/>
          </w:tcPr>
          <w:p>
            <w:pPr>
              <w:pStyle w:val="0"/>
              <w:jc w:val="center"/>
            </w:pPr>
            <w:r>
              <w:rPr>
                <w:sz w:val="20"/>
              </w:rPr>
              <w:t xml:space="preserve">93 070,7</w:t>
            </w:r>
          </w:p>
        </w:tc>
        <w:tc>
          <w:tcPr>
            <w:tcW w:w="1304" w:type="dxa"/>
          </w:tcPr>
          <w:p>
            <w:pPr>
              <w:pStyle w:val="0"/>
              <w:jc w:val="center"/>
            </w:pPr>
            <w:r>
              <w:rPr>
                <w:sz w:val="20"/>
              </w:rPr>
              <w:t xml:space="preserve">141 465,4</w:t>
            </w:r>
          </w:p>
        </w:tc>
        <w:tc>
          <w:tcPr>
            <w:tcW w:w="1304" w:type="dxa"/>
          </w:tcPr>
          <w:p>
            <w:pPr>
              <w:pStyle w:val="0"/>
              <w:jc w:val="center"/>
            </w:pPr>
            <w:r>
              <w:rPr>
                <w:sz w:val="20"/>
              </w:rPr>
              <w:t xml:space="preserve">155 819,4</w:t>
            </w:r>
          </w:p>
        </w:tc>
        <w:tc>
          <w:tcPr>
            <w:tcW w:w="1304" w:type="dxa"/>
          </w:tcPr>
          <w:p>
            <w:pPr>
              <w:pStyle w:val="0"/>
              <w:jc w:val="center"/>
            </w:pPr>
            <w:r>
              <w:rPr>
                <w:sz w:val="20"/>
              </w:rPr>
              <w:t xml:space="preserve">211 779,4</w:t>
            </w:r>
          </w:p>
        </w:tc>
        <w:tc>
          <w:tcPr>
            <w:tcW w:w="1304" w:type="dxa"/>
          </w:tcPr>
          <w:p>
            <w:pPr>
              <w:pStyle w:val="0"/>
              <w:jc w:val="center"/>
            </w:pPr>
            <w:r>
              <w:rPr>
                <w:sz w:val="20"/>
              </w:rPr>
              <w:t xml:space="preserve">215 489,8</w:t>
            </w:r>
          </w:p>
        </w:tc>
        <w:tc>
          <w:tcPr>
            <w:tcW w:w="1247" w:type="dxa"/>
            <w:tcBorders>
              <w:bottom w:val="nil"/>
            </w:tcBorders>
            <w:vMerge w:val="restart"/>
          </w:tcPr>
          <w:p>
            <w:pPr>
              <w:pStyle w:val="0"/>
            </w:pPr>
            <w:r>
              <w:rPr>
                <w:sz w:val="20"/>
              </w:rPr>
            </w:r>
          </w:p>
        </w:tc>
        <w:tc>
          <w:tcPr>
            <w:tcW w:w="2268" w:type="dxa"/>
            <w:tcBorders>
              <w:bottom w:val="nil"/>
            </w:tcBorders>
            <w:vMerge w:val="restart"/>
          </w:tcPr>
          <w:p>
            <w:pPr>
              <w:pStyle w:val="0"/>
            </w:pPr>
            <w:r>
              <w:rPr>
                <w:sz w:val="20"/>
              </w:rPr>
            </w:r>
          </w:p>
        </w:tc>
      </w:tr>
      <w:tr>
        <w:tc>
          <w:tcPr>
            <w:tcBorders>
              <w:bottom w:val="nil"/>
            </w:tcBorders>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Borders>
              <w:bottom w:val="nil"/>
            </w:tcBorders>
            <w:vMerge w:val="continue"/>
          </w:tcPr>
          <w:p/>
        </w:tc>
        <w:tc>
          <w:tcPr>
            <w:tcBorders>
              <w:bottom w:val="nil"/>
            </w:tcBorders>
            <w:vMerge w:val="continue"/>
          </w:tcPr>
          <w:p/>
        </w:tc>
      </w:tr>
      <w:tr>
        <w:tc>
          <w:tcPr>
            <w:tcBorders>
              <w:bottom w:val="nil"/>
            </w:tcBorders>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4 127,7</w:t>
            </w:r>
          </w:p>
        </w:tc>
        <w:tc>
          <w:tcPr>
            <w:tcW w:w="1304" w:type="dxa"/>
          </w:tcPr>
          <w:p>
            <w:pPr>
              <w:pStyle w:val="0"/>
              <w:jc w:val="center"/>
            </w:pPr>
            <w:r>
              <w:rPr>
                <w:sz w:val="20"/>
              </w:rPr>
              <w:t xml:space="preserve">4 691,5</w:t>
            </w:r>
          </w:p>
        </w:tc>
        <w:tc>
          <w:tcPr>
            <w:tcW w:w="1304" w:type="dxa"/>
          </w:tcPr>
          <w:p>
            <w:pPr>
              <w:pStyle w:val="0"/>
              <w:jc w:val="center"/>
            </w:pPr>
            <w:r>
              <w:rPr>
                <w:sz w:val="20"/>
              </w:rPr>
              <w:t xml:space="preserve">5 391,4</w:t>
            </w:r>
          </w:p>
        </w:tc>
        <w:tc>
          <w:tcPr>
            <w:tcW w:w="1304" w:type="dxa"/>
          </w:tcPr>
          <w:p>
            <w:pPr>
              <w:pStyle w:val="0"/>
              <w:jc w:val="center"/>
            </w:pPr>
            <w:r>
              <w:rPr>
                <w:sz w:val="20"/>
              </w:rPr>
              <w:t xml:space="preserve">5 390,3</w:t>
            </w:r>
          </w:p>
        </w:tc>
        <w:tc>
          <w:tcPr>
            <w:tcBorders>
              <w:bottom w:val="nil"/>
            </w:tcBorders>
            <w:vMerge w:val="continue"/>
          </w:tcPr>
          <w:p/>
        </w:tc>
        <w:tc>
          <w:tcPr>
            <w:tcBorders>
              <w:bottom w:val="nil"/>
            </w:tcBorders>
            <w:vMerge w:val="continue"/>
          </w:tcPr>
          <w:p/>
        </w:tc>
      </w:tr>
      <w:tr>
        <w:tc>
          <w:tcPr>
            <w:tcBorders>
              <w:bottom w:val="nil"/>
            </w:tcBorders>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Borders>
              <w:bottom w:val="nil"/>
            </w:tcBorders>
            <w:vMerge w:val="continue"/>
          </w:tcPr>
          <w:p/>
        </w:tc>
        <w:tc>
          <w:tcPr>
            <w:tcBorders>
              <w:bottom w:val="nil"/>
            </w:tcBorders>
            <w:vMerge w:val="continue"/>
          </w:tcPr>
          <w:p/>
        </w:tc>
      </w:tr>
      <w:tr>
        <w:tblPrEx>
          <w:tblBorders>
            <w:insideH w:val="nil"/>
          </w:tblBorders>
        </w:tblPrEx>
        <w:tc>
          <w:tcPr>
            <w:tcBorders>
              <w:bottom w:val="nil"/>
            </w:tcBorders>
            <w:vMerge w:val="continue"/>
          </w:tcPr>
          <w:p/>
        </w:tc>
        <w:tc>
          <w:tcPr>
            <w:tcW w:w="1583" w:type="dxa"/>
            <w:tcBorders>
              <w:bottom w:val="nil"/>
            </w:tcBorders>
          </w:tcPr>
          <w:p>
            <w:pPr>
              <w:pStyle w:val="0"/>
            </w:pPr>
            <w:r>
              <w:rPr>
                <w:sz w:val="20"/>
              </w:rPr>
              <w:t xml:space="preserve">налоговые расходы</w:t>
            </w:r>
          </w:p>
        </w:tc>
        <w:tc>
          <w:tcPr>
            <w:tcW w:w="685" w:type="dxa"/>
            <w:tcBorders>
              <w:bottom w:val="nil"/>
            </w:tcBorders>
          </w:tcPr>
          <w:p>
            <w:pPr>
              <w:pStyle w:val="0"/>
            </w:pPr>
            <w:r>
              <w:rPr>
                <w:sz w:val="20"/>
              </w:rPr>
            </w:r>
          </w:p>
        </w:tc>
        <w:tc>
          <w:tcPr>
            <w:tcW w:w="567" w:type="dxa"/>
            <w:tcBorders>
              <w:bottom w:val="nil"/>
            </w:tcBorders>
          </w:tcPr>
          <w:p>
            <w:pPr>
              <w:pStyle w:val="0"/>
            </w:pPr>
            <w:r>
              <w:rPr>
                <w:sz w:val="20"/>
              </w:rPr>
            </w:r>
          </w:p>
        </w:tc>
        <w:tc>
          <w:tcPr>
            <w:tcW w:w="567" w:type="dxa"/>
            <w:tcBorders>
              <w:bottom w:val="nil"/>
            </w:tcBorders>
          </w:tcPr>
          <w:p>
            <w:pPr>
              <w:pStyle w:val="0"/>
            </w:pPr>
            <w:r>
              <w:rPr>
                <w:sz w:val="20"/>
              </w:rPr>
            </w:r>
          </w:p>
        </w:tc>
        <w:tc>
          <w:tcPr>
            <w:tcW w:w="567" w:type="dxa"/>
            <w:tcBorders>
              <w:bottom w:val="nil"/>
            </w:tcBorders>
          </w:tcPr>
          <w:p>
            <w:pPr>
              <w:pStyle w:val="0"/>
            </w:pPr>
            <w:r>
              <w:rPr>
                <w:sz w:val="20"/>
              </w:rPr>
            </w:r>
          </w:p>
        </w:tc>
        <w:tc>
          <w:tcPr>
            <w:tcW w:w="1134" w:type="dxa"/>
            <w:tcBorders>
              <w:bottom w:val="nil"/>
            </w:tcBorders>
          </w:tcPr>
          <w:p>
            <w:pPr>
              <w:pStyle w:val="0"/>
              <w:jc w:val="center"/>
            </w:pPr>
            <w:r>
              <w:rPr>
                <w:sz w:val="20"/>
              </w:rPr>
              <w:t xml:space="preserve">-</w:t>
            </w:r>
          </w:p>
        </w:tc>
        <w:tc>
          <w:tcPr>
            <w:tcW w:w="1134" w:type="dxa"/>
            <w:tcBorders>
              <w:bottom w:val="nil"/>
            </w:tcBorders>
          </w:tcPr>
          <w:p>
            <w:pPr>
              <w:pStyle w:val="0"/>
              <w:jc w:val="center"/>
            </w:pPr>
            <w:r>
              <w:rPr>
                <w:sz w:val="20"/>
              </w:rPr>
              <w:t xml:space="preserve">-</w:t>
            </w:r>
          </w:p>
        </w:tc>
        <w:tc>
          <w:tcPr>
            <w:tcW w:w="1134" w:type="dxa"/>
            <w:tcBorders>
              <w:bottom w:val="nil"/>
            </w:tcBorders>
          </w:tcPr>
          <w:p>
            <w:pPr>
              <w:pStyle w:val="0"/>
              <w:jc w:val="center"/>
            </w:pPr>
            <w:r>
              <w:rPr>
                <w:sz w:val="20"/>
              </w:rPr>
              <w:t xml:space="preserve">-</w:t>
            </w:r>
          </w:p>
        </w:tc>
        <w:tc>
          <w:tcPr>
            <w:tcW w:w="1304" w:type="dxa"/>
            <w:tcBorders>
              <w:bottom w:val="nil"/>
            </w:tcBorders>
          </w:tcPr>
          <w:p>
            <w:pPr>
              <w:pStyle w:val="0"/>
              <w:jc w:val="center"/>
            </w:pPr>
            <w:r>
              <w:rPr>
                <w:sz w:val="20"/>
              </w:rPr>
              <w:t xml:space="preserve">-</w:t>
            </w:r>
          </w:p>
        </w:tc>
        <w:tc>
          <w:tcPr>
            <w:tcW w:w="1304" w:type="dxa"/>
            <w:tcBorders>
              <w:bottom w:val="nil"/>
            </w:tcBorders>
          </w:tcPr>
          <w:p>
            <w:pPr>
              <w:pStyle w:val="0"/>
              <w:jc w:val="center"/>
            </w:pPr>
            <w:r>
              <w:rPr>
                <w:sz w:val="20"/>
              </w:rPr>
              <w:t xml:space="preserve">-</w:t>
            </w:r>
          </w:p>
        </w:tc>
        <w:tc>
          <w:tcPr>
            <w:tcW w:w="1304" w:type="dxa"/>
            <w:tcBorders>
              <w:bottom w:val="nil"/>
            </w:tcBorders>
          </w:tcPr>
          <w:p>
            <w:pPr>
              <w:pStyle w:val="0"/>
              <w:jc w:val="center"/>
            </w:pPr>
            <w:r>
              <w:rPr>
                <w:sz w:val="20"/>
              </w:rPr>
              <w:t xml:space="preserve">-</w:t>
            </w:r>
          </w:p>
        </w:tc>
        <w:tc>
          <w:tcPr>
            <w:tcW w:w="1304" w:type="dxa"/>
            <w:tcBorders>
              <w:bottom w:val="nil"/>
            </w:tcBorders>
          </w:tcPr>
          <w:p>
            <w:pPr>
              <w:pStyle w:val="0"/>
              <w:jc w:val="center"/>
            </w:pPr>
            <w:r>
              <w:rPr>
                <w:sz w:val="20"/>
              </w:rPr>
              <w:t xml:space="preserve">-</w:t>
            </w:r>
          </w:p>
        </w:tc>
        <w:tc>
          <w:tcPr>
            <w:tcBorders>
              <w:bottom w:val="nil"/>
            </w:tcBorders>
            <w:vMerge w:val="continue"/>
          </w:tcPr>
          <w:p/>
        </w:tc>
        <w:tc>
          <w:tcPr>
            <w:tcBorders>
              <w:bottom w:val="nil"/>
            </w:tcBorders>
            <w:vMerge w:val="continue"/>
          </w:tcPr>
          <w:p/>
        </w:tc>
      </w:tr>
      <w:tr>
        <w:tblPrEx>
          <w:tblBorders>
            <w:insideH w:val="nil"/>
          </w:tblBorders>
        </w:tblPrEx>
        <w:tc>
          <w:tcPr>
            <w:gridSpan w:val="15"/>
            <w:tcW w:w="18823" w:type="dxa"/>
            <w:tcBorders>
              <w:top w:val="nil"/>
            </w:tcBorders>
          </w:tcPr>
          <w:p>
            <w:pPr>
              <w:pStyle w:val="0"/>
              <w:jc w:val="both"/>
            </w:pPr>
            <w:r>
              <w:rPr>
                <w:sz w:val="20"/>
              </w:rPr>
              <w:t xml:space="preserve">(в ред. </w:t>
            </w:r>
            <w:hyperlink w:history="0" r:id="rId181"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tc>
      </w:tr>
      <w:tr>
        <w:tc>
          <w:tcPr>
            <w:gridSpan w:val="15"/>
            <w:tcW w:w="18823" w:type="dxa"/>
          </w:tcPr>
          <w:p>
            <w:pPr>
              <w:pStyle w:val="0"/>
              <w:outlineLvl w:val="4"/>
              <w:jc w:val="center"/>
            </w:pPr>
            <w:r>
              <w:rPr>
                <w:sz w:val="20"/>
              </w:rPr>
              <w:t xml:space="preserve">1.2. Задача 2 государственной программы. Содействие эффективному использованию земельных участков под жилищное строительство</w:t>
            </w:r>
          </w:p>
        </w:tc>
      </w:tr>
      <w:tr>
        <w:tc>
          <w:tcPr>
            <w:gridSpan w:val="15"/>
            <w:tcW w:w="18823" w:type="dxa"/>
          </w:tcPr>
          <w:p>
            <w:pPr>
              <w:pStyle w:val="0"/>
              <w:outlineLvl w:val="5"/>
              <w:jc w:val="center"/>
            </w:pPr>
            <w:r>
              <w:rPr>
                <w:sz w:val="20"/>
              </w:rPr>
              <w:t xml:space="preserve">1.2.2. Подпрограмма государственной программы "Земельные ресурсы и инфраструктура"</w:t>
            </w:r>
          </w:p>
        </w:tc>
      </w:tr>
      <w:tr>
        <w:tc>
          <w:tcPr>
            <w:gridSpan w:val="15"/>
            <w:tcW w:w="18823" w:type="dxa"/>
          </w:tcPr>
          <w:p>
            <w:pPr>
              <w:pStyle w:val="0"/>
              <w:outlineLvl w:val="6"/>
              <w:jc w:val="center"/>
            </w:pPr>
            <w:r>
              <w:rPr>
                <w:sz w:val="20"/>
              </w:rPr>
              <w:t xml:space="preserve">1.2.2.1. Цель подпрограммы государственной программы: содействие эффективному использованию земельных участков под жилищное строительство</w:t>
            </w:r>
          </w:p>
        </w:tc>
      </w:tr>
      <w:tr>
        <w:tc>
          <w:tcPr>
            <w:gridSpan w:val="15"/>
            <w:tcW w:w="18823" w:type="dxa"/>
          </w:tcPr>
          <w:p>
            <w:pPr>
              <w:pStyle w:val="0"/>
              <w:outlineLvl w:val="7"/>
              <w:jc w:val="center"/>
            </w:pPr>
            <w:r>
              <w:rPr>
                <w:sz w:val="20"/>
              </w:rPr>
              <w:t xml:space="preserve">1.2.2.1.1. Задача 1 подпрограммы государственной программы: обеспечение инженерной инфраструктурой площадок комплексной застройки</w:t>
            </w:r>
          </w:p>
        </w:tc>
      </w:tr>
      <w:tr>
        <w:tc>
          <w:tcPr>
            <w:tcW w:w="2721" w:type="dxa"/>
            <w:vMerge w:val="restart"/>
          </w:tcPr>
          <w:p>
            <w:pPr>
              <w:pStyle w:val="0"/>
            </w:pPr>
            <w:r>
              <w:rPr>
                <w:sz w:val="20"/>
              </w:rPr>
              <w:t xml:space="preserve">1.2.2.1.1.1. Инженерное обустройство площадок комплексной застройки</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8</w:t>
            </w:r>
          </w:p>
        </w:tc>
        <w:tc>
          <w:tcPr>
            <w:tcW w:w="567" w:type="dxa"/>
          </w:tcPr>
          <w:p>
            <w:pPr>
              <w:pStyle w:val="0"/>
              <w:jc w:val="center"/>
            </w:pPr>
            <w:r>
              <w:rPr>
                <w:sz w:val="20"/>
              </w:rPr>
              <w:t xml:space="preserve">01</w:t>
            </w:r>
          </w:p>
        </w:tc>
        <w:tc>
          <w:tcPr>
            <w:tcW w:w="1134" w:type="dxa"/>
          </w:tcPr>
          <w:p>
            <w:pPr>
              <w:pStyle w:val="0"/>
              <w:jc w:val="center"/>
            </w:pPr>
            <w:r>
              <w:rPr>
                <w:sz w:val="20"/>
              </w:rPr>
              <w:t xml:space="preserve">136 110,9</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247" w:type="dxa"/>
            <w:vMerge w:val="restart"/>
          </w:tcPr>
          <w:p>
            <w:pPr>
              <w:pStyle w:val="0"/>
              <w:jc w:val="center"/>
            </w:pPr>
            <w:r>
              <w:rPr>
                <w:sz w:val="20"/>
              </w:rPr>
              <w:t xml:space="preserve">Минстрой НСО,</w:t>
            </w:r>
          </w:p>
          <w:p>
            <w:pPr>
              <w:pStyle w:val="0"/>
              <w:jc w:val="center"/>
            </w:pPr>
            <w:r>
              <w:rPr>
                <w:sz w:val="20"/>
              </w:rPr>
              <w:t xml:space="preserve">ОМС НСО</w:t>
            </w:r>
          </w:p>
        </w:tc>
        <w:tc>
          <w:tcPr>
            <w:tcW w:w="2268" w:type="dxa"/>
            <w:vMerge w:val="restart"/>
          </w:tcPr>
          <w:p>
            <w:pPr>
              <w:pStyle w:val="0"/>
            </w:pPr>
            <w:r>
              <w:rPr>
                <w:sz w:val="20"/>
              </w:rPr>
              <w:t xml:space="preserve">Обеспечение инженерной инфраструктурой площадок комплексной застройки для многодетных семей</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3 618,9</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1.2.2.1.1.2. Выполнение проектных работ на строительство объектов инженерной инфраструктуры к земельным участкам, находящимся в государственной собственности Новосибирской области</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tcW w:w="8618"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pPr>
              <w:pStyle w:val="0"/>
              <w:jc w:val="center"/>
            </w:pPr>
            <w:r>
              <w:rPr>
                <w:sz w:val="20"/>
              </w:rPr>
              <w:t xml:space="preserve">Минстрой НСО</w:t>
            </w:r>
          </w:p>
        </w:tc>
        <w:tc>
          <w:tcPr>
            <w:tcW w:w="2268" w:type="dxa"/>
            <w:vMerge w:val="restart"/>
          </w:tcPr>
          <w:p>
            <w:pPr>
              <w:pStyle w:val="0"/>
            </w:pPr>
            <w:r>
              <w:rPr>
                <w:sz w:val="20"/>
              </w:rPr>
              <w:t xml:space="preserve">Формирование технического задания на проектирование строительства объектов инженерной инфраструктуры государственной собственности Новосибирской области</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tcW w:w="2721" w:type="dxa"/>
            <w:vMerge w:val="restart"/>
          </w:tcPr>
          <w:p>
            <w:pPr>
              <w:pStyle w:val="0"/>
            </w:pPr>
            <w:r>
              <w:rPr>
                <w:sz w:val="20"/>
              </w:rPr>
              <w:t xml:space="preserve">1.2.2.1.1.3. Организация комплексного освоения земельных участков в рамках деятельности АО "АРЖС НСО"</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2 769 435,2</w:t>
            </w:r>
          </w:p>
        </w:tc>
        <w:tc>
          <w:tcPr>
            <w:tcW w:w="1304" w:type="dxa"/>
          </w:tcPr>
          <w:p>
            <w:pPr>
              <w:pStyle w:val="0"/>
              <w:jc w:val="center"/>
            </w:pPr>
            <w:r>
              <w:rPr>
                <w:sz w:val="20"/>
              </w:rPr>
              <w:t xml:space="preserve">994 152,3</w:t>
            </w:r>
          </w:p>
        </w:tc>
        <w:tc>
          <w:tcPr>
            <w:tcW w:w="1304" w:type="dxa"/>
          </w:tcPr>
          <w:p>
            <w:pPr>
              <w:pStyle w:val="0"/>
              <w:jc w:val="center"/>
            </w:pPr>
            <w:r>
              <w:rPr>
                <w:sz w:val="20"/>
              </w:rPr>
              <w:t xml:space="preserve">1 469 213,8</w:t>
            </w:r>
          </w:p>
        </w:tc>
        <w:tc>
          <w:tcPr>
            <w:tcW w:w="1304" w:type="dxa"/>
          </w:tcPr>
          <w:p>
            <w:pPr>
              <w:pStyle w:val="0"/>
              <w:jc w:val="center"/>
            </w:pPr>
            <w:r>
              <w:rPr>
                <w:sz w:val="20"/>
              </w:rPr>
              <w:t xml:space="preserve">0,0</w:t>
            </w:r>
          </w:p>
        </w:tc>
        <w:tc>
          <w:tcPr>
            <w:tcW w:w="1247" w:type="dxa"/>
            <w:vMerge w:val="restart"/>
          </w:tcPr>
          <w:p>
            <w:pPr>
              <w:pStyle w:val="0"/>
              <w:jc w:val="center"/>
            </w:pPr>
            <w:r>
              <w:rPr>
                <w:sz w:val="20"/>
              </w:rPr>
              <w:t xml:space="preserve">АО "АРЖС НСО"</w:t>
            </w:r>
          </w:p>
        </w:tc>
        <w:tc>
          <w:tcPr>
            <w:tcW w:w="2268" w:type="dxa"/>
            <w:vMerge w:val="restart"/>
          </w:tcPr>
          <w:p>
            <w:pPr>
              <w:pStyle w:val="0"/>
            </w:pPr>
            <w:r>
              <w:rPr>
                <w:sz w:val="20"/>
              </w:rPr>
              <w:t xml:space="preserve">Получение технических условий на подключение к инженерным коммуникациям земельных участков</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1.2.2.1.1.4 Организация комплексного освоения земельных участков в рамках новых инвестиционных проектов и инфраструктурных бюджетных кредитов</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2 574 230,0</w:t>
            </w:r>
          </w:p>
        </w:tc>
        <w:tc>
          <w:tcPr>
            <w:tcW w:w="1304" w:type="dxa"/>
          </w:tcPr>
          <w:p>
            <w:pPr>
              <w:pStyle w:val="0"/>
              <w:jc w:val="center"/>
            </w:pPr>
            <w:r>
              <w:rPr>
                <w:sz w:val="20"/>
              </w:rPr>
              <w:t xml:space="preserve">3 671 537,0</w:t>
            </w:r>
          </w:p>
        </w:tc>
        <w:tc>
          <w:tcPr>
            <w:tcW w:w="1304" w:type="dxa"/>
          </w:tcPr>
          <w:p>
            <w:pPr>
              <w:pStyle w:val="0"/>
              <w:jc w:val="center"/>
            </w:pPr>
            <w:r>
              <w:rPr>
                <w:sz w:val="20"/>
              </w:rPr>
              <w:t xml:space="preserve">0,0</w:t>
            </w:r>
          </w:p>
        </w:tc>
        <w:tc>
          <w:tcPr>
            <w:tcW w:w="1247" w:type="dxa"/>
            <w:vMerge w:val="restart"/>
          </w:tcPr>
          <w:p>
            <w:pPr>
              <w:pStyle w:val="0"/>
              <w:jc w:val="center"/>
            </w:pPr>
            <w:r>
              <w:rPr>
                <w:sz w:val="20"/>
              </w:rPr>
              <w:t xml:space="preserve">Минстрой НСО</w:t>
            </w:r>
          </w:p>
        </w:tc>
        <w:tc>
          <w:tcPr>
            <w:tcW w:w="2268" w:type="dxa"/>
            <w:vMerge w:val="restart"/>
          </w:tcPr>
          <w:p>
            <w:pPr>
              <w:pStyle w:val="0"/>
            </w:pPr>
            <w:r>
              <w:rPr>
                <w:sz w:val="20"/>
              </w:rPr>
              <w:t xml:space="preserve">Обеспечение необходимой инженерной инфраструктурой территорий новых инвестиционных проектов в сфере жилищного строительства и проектов жилищного строительства, реализуемых с использованием средств инфраструктурных бюджетных кредитов</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8823" w:type="dxa"/>
          </w:tcPr>
          <w:p>
            <w:pPr>
              <w:pStyle w:val="0"/>
              <w:outlineLvl w:val="7"/>
              <w:jc w:val="center"/>
            </w:pPr>
            <w:r>
              <w:rPr>
                <w:sz w:val="20"/>
              </w:rPr>
              <w:t xml:space="preserve">1.2.2.1.3. Задача 3 подпрограммы государственной программы: создание условий для вовлечения в жилищное строительство земельных участков, находящихся в федеральной собственности, не используемых по назначению и пригодных для жилищного строительства</w:t>
            </w:r>
          </w:p>
        </w:tc>
      </w:tr>
      <w:tr>
        <w:tc>
          <w:tcPr>
            <w:tcW w:w="2721" w:type="dxa"/>
            <w:vMerge w:val="restart"/>
          </w:tcPr>
          <w:p>
            <w:pPr>
              <w:pStyle w:val="0"/>
            </w:pPr>
            <w:r>
              <w:rPr>
                <w:sz w:val="20"/>
              </w:rPr>
              <w:t xml:space="preserve">1.2.2.1.3.1. Формирование перечня земельных участков, находящихся в федеральной собственности, не используемых по назначению и пригодных для жилищного строительства</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4"/>
            <w:tcW w:w="4706"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 Минстроя НСО</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247" w:type="dxa"/>
            <w:vMerge w:val="restart"/>
          </w:tcPr>
          <w:p>
            <w:pPr>
              <w:pStyle w:val="0"/>
              <w:jc w:val="center"/>
            </w:pPr>
            <w:r>
              <w:rPr>
                <w:sz w:val="20"/>
              </w:rPr>
              <w:t xml:space="preserve">Минстрой НСО,</w:t>
            </w:r>
          </w:p>
          <w:p>
            <w:pPr>
              <w:pStyle w:val="0"/>
              <w:jc w:val="center"/>
            </w:pPr>
            <w:r>
              <w:rPr>
                <w:sz w:val="20"/>
              </w:rPr>
              <w:t xml:space="preserve">Единый институт развития,</w:t>
            </w:r>
          </w:p>
          <w:p>
            <w:pPr>
              <w:pStyle w:val="0"/>
              <w:jc w:val="center"/>
            </w:pPr>
            <w:r>
              <w:rPr>
                <w:sz w:val="20"/>
              </w:rPr>
              <w:t xml:space="preserve">ОМС НСО</w:t>
            </w:r>
          </w:p>
        </w:tc>
        <w:tc>
          <w:tcPr>
            <w:tcW w:w="2268" w:type="dxa"/>
            <w:vMerge w:val="restart"/>
          </w:tcPr>
          <w:p>
            <w:pPr>
              <w:pStyle w:val="0"/>
            </w:pPr>
            <w:r>
              <w:rPr>
                <w:sz w:val="20"/>
              </w:rPr>
              <w:t xml:space="preserve">Направление перечня земельных участков в Единый институт развития в жилищной сфере, который принимает решение о дальнейшем использовании земельных участков под жилищное строительство</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4"/>
            <w:vMerge w:val="continue"/>
          </w:tcP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4"/>
            <w:vMerge w:val="continue"/>
          </w:tcP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4"/>
            <w:vMerge w:val="continue"/>
          </w:tcP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4"/>
            <w:vMerge w:val="continue"/>
          </w:tcP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8823" w:type="dxa"/>
          </w:tcPr>
          <w:p>
            <w:pPr>
              <w:pStyle w:val="0"/>
              <w:outlineLvl w:val="7"/>
              <w:jc w:val="center"/>
            </w:pPr>
            <w:r>
              <w:rPr>
                <w:sz w:val="20"/>
              </w:rPr>
              <w:t xml:space="preserve">1.2.2.1.4. Задача 4 подпрограммы государственной программы: создание условий для вовлечения в жилищное строительство земельных участков, находящихся в частной собственности</w:t>
            </w:r>
          </w:p>
        </w:tc>
      </w:tr>
      <w:tr>
        <w:tc>
          <w:tcPr>
            <w:tcW w:w="2721" w:type="dxa"/>
            <w:vMerge w:val="restart"/>
          </w:tcPr>
          <w:p>
            <w:pPr>
              <w:pStyle w:val="0"/>
            </w:pPr>
            <w:r>
              <w:rPr>
                <w:sz w:val="20"/>
              </w:rPr>
              <w:t xml:space="preserve">1.2.2.1.4.1. Формирование перечня земельных участков, находящихся в частной собственности, не используемых по назначению и пригодных для жилищного строительства</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2"/>
            <w:tcW w:w="2268"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 Минстроя НСО</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247" w:type="dxa"/>
            <w:vMerge w:val="restart"/>
          </w:tcPr>
          <w:p>
            <w:pPr>
              <w:pStyle w:val="0"/>
              <w:jc w:val="center"/>
            </w:pPr>
            <w:r>
              <w:rPr>
                <w:sz w:val="20"/>
              </w:rPr>
              <w:t xml:space="preserve">Минстрой НСО,</w:t>
            </w:r>
          </w:p>
          <w:p>
            <w:pPr>
              <w:pStyle w:val="0"/>
              <w:jc w:val="center"/>
            </w:pPr>
            <w:r>
              <w:rPr>
                <w:sz w:val="20"/>
              </w:rPr>
              <w:t xml:space="preserve">ОМС НСО</w:t>
            </w:r>
          </w:p>
        </w:tc>
        <w:tc>
          <w:tcPr>
            <w:tcW w:w="2268" w:type="dxa"/>
            <w:vMerge w:val="restart"/>
          </w:tcPr>
          <w:p>
            <w:pPr>
              <w:pStyle w:val="0"/>
            </w:pPr>
            <w:r>
              <w:rPr>
                <w:sz w:val="20"/>
              </w:rPr>
              <w:t xml:space="preserve">Выявление неэффективно используемых земельных участков, находящихся в частной собственности, для дальнейшего решения об их использовании под жилищное строительство</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2"/>
            <w:vMerge w:val="continue"/>
          </w:tcP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2"/>
            <w:vMerge w:val="continue"/>
          </w:tcP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2"/>
            <w:vMerge w:val="continue"/>
          </w:tcP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2"/>
            <w:vMerge w:val="continue"/>
          </w:tcP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8823" w:type="dxa"/>
          </w:tcPr>
          <w:p>
            <w:pPr>
              <w:pStyle w:val="0"/>
              <w:outlineLvl w:val="7"/>
              <w:jc w:val="center"/>
            </w:pPr>
            <w:r>
              <w:rPr>
                <w:sz w:val="20"/>
              </w:rPr>
              <w:t xml:space="preserve">1.2.2.1.5. Задача 5 подпрограммы государственной программы: стимулирование программ развития на площадках комплексной застройки в рамках федерального проекта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tc>
      </w:tr>
      <w:tr>
        <w:tc>
          <w:tcPr>
            <w:tcW w:w="2721" w:type="dxa"/>
            <w:vMerge w:val="restart"/>
          </w:tcPr>
          <w:p>
            <w:pPr>
              <w:pStyle w:val="0"/>
            </w:pPr>
            <w:r>
              <w:rPr>
                <w:sz w:val="20"/>
              </w:rPr>
              <w:t xml:space="preserve">1.2.2.1.5.1. Содействие строительству на площадках комплексной застройки</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tcW w:w="8618" w:type="dxa"/>
            <w:vMerge w:val="restart"/>
          </w:tcPr>
          <w:p>
            <w:pPr>
              <w:pStyle w:val="0"/>
              <w:jc w:val="center"/>
            </w:pPr>
            <w:r>
              <w:rPr>
                <w:sz w:val="20"/>
              </w:rPr>
              <w:t xml:space="preserve">Мероприятие реализуется за счет субсидий из федерального бюджета на софинансирование расходных обязательств бюджета Новосибирской области, предусмотренных в соответствующих государственных программах Новосибирской области</w:t>
            </w:r>
          </w:p>
        </w:tc>
        <w:tc>
          <w:tcPr>
            <w:tcW w:w="1247" w:type="dxa"/>
            <w:vMerge w:val="restart"/>
          </w:tcPr>
          <w:p>
            <w:pPr>
              <w:pStyle w:val="0"/>
              <w:jc w:val="center"/>
            </w:pPr>
            <w:r>
              <w:rPr>
                <w:sz w:val="20"/>
              </w:rPr>
              <w:t xml:space="preserve">Минстрой НСО</w:t>
            </w:r>
          </w:p>
        </w:tc>
        <w:tc>
          <w:tcPr>
            <w:tcW w:w="2268" w:type="dxa"/>
            <w:vMerge w:val="restart"/>
          </w:tcPr>
          <w:p>
            <w:pPr>
              <w:pStyle w:val="0"/>
            </w:pPr>
            <w:r>
              <w:rPr>
                <w:sz w:val="20"/>
              </w:rPr>
              <w:t xml:space="preserve">Строительство объектов социальной и транспортной инфраструктуры на площадках комплексной застройки при реализации проектов по развитию жилищного строительства в рамках федерального проекта "Жилье". Обеспечение ввода жилья на площадках комплексной застройки</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tcW w:w="2721" w:type="dxa"/>
            <w:tcBorders>
              <w:bottom w:val="nil"/>
            </w:tcBorders>
            <w:vMerge w:val="restart"/>
          </w:tcPr>
          <w:p>
            <w:pPr>
              <w:pStyle w:val="0"/>
            </w:pPr>
            <w:r>
              <w:rPr>
                <w:sz w:val="20"/>
              </w:rPr>
              <w:t xml:space="preserve">1.2.2.1.5.2 Региональный проект "Жилье"</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247" w:type="dxa"/>
            <w:tcBorders>
              <w:bottom w:val="nil"/>
            </w:tcBorders>
            <w:vMerge w:val="restart"/>
          </w:tcPr>
          <w:p>
            <w:pPr>
              <w:pStyle w:val="0"/>
              <w:jc w:val="center"/>
            </w:pPr>
            <w:r>
              <w:rPr>
                <w:sz w:val="20"/>
              </w:rPr>
              <w:t xml:space="preserve">МЖКХиЭ НСО</w:t>
            </w:r>
          </w:p>
        </w:tc>
        <w:tc>
          <w:tcPr>
            <w:tcW w:w="2268" w:type="dxa"/>
            <w:tcBorders>
              <w:bottom w:val="nil"/>
            </w:tcBorders>
            <w:vMerge w:val="restart"/>
          </w:tcPr>
          <w:p>
            <w:pPr>
              <w:pStyle w:val="0"/>
            </w:pPr>
            <w:r>
              <w:rPr>
                <w:sz w:val="20"/>
              </w:rPr>
              <w:t xml:space="preserve">Строительство объектов водоснабжения и водоотведения инфраструктуры на площадках комплексной застройки при реализации проектов по развитию жилищного строительства в рамках федерального проекта "Жилье". Обеспечение ввода жилья на площадках комплексной застройки</w:t>
            </w:r>
          </w:p>
        </w:tc>
      </w:tr>
      <w:tr>
        <w:tc>
          <w:tcPr>
            <w:tcBorders>
              <w:bottom w:val="nil"/>
            </w:tcBorders>
            <w:vMerge w:val="continue"/>
          </w:tcPr>
          <w:p/>
        </w:tc>
        <w:tc>
          <w:tcPr>
            <w:tcW w:w="1583" w:type="dxa"/>
          </w:tcPr>
          <w:p>
            <w:pPr>
              <w:pStyle w:val="0"/>
            </w:pPr>
            <w:r>
              <w:rPr>
                <w:sz w:val="20"/>
              </w:rPr>
              <w:t xml:space="preserve">федеральный бюджет</w:t>
            </w:r>
          </w:p>
        </w:tc>
        <w:tc>
          <w:tcPr>
            <w:tcW w:w="685" w:type="dxa"/>
          </w:tcPr>
          <w:p>
            <w:pPr>
              <w:pStyle w:val="0"/>
              <w:jc w:val="center"/>
            </w:pPr>
            <w:r>
              <w:rPr>
                <w:sz w:val="20"/>
              </w:rPr>
              <w:t xml:space="preserve">210</w:t>
            </w:r>
          </w:p>
        </w:tc>
        <w:tc>
          <w:tcPr>
            <w:tcW w:w="567" w:type="dxa"/>
          </w:tcPr>
          <w:p>
            <w:pPr>
              <w:pStyle w:val="0"/>
              <w:jc w:val="center"/>
            </w:pPr>
            <w:r>
              <w:rPr>
                <w:sz w:val="20"/>
              </w:rPr>
              <w:t xml:space="preserve">41</w:t>
            </w:r>
          </w:p>
        </w:tc>
        <w:tc>
          <w:tcPr>
            <w:tcW w:w="567" w:type="dxa"/>
          </w:tcPr>
          <w:p>
            <w:pPr>
              <w:pStyle w:val="0"/>
              <w:jc w:val="center"/>
            </w:pPr>
            <w:r>
              <w:rPr>
                <w:sz w:val="20"/>
              </w:rPr>
              <w:t xml:space="preserve">8</w:t>
            </w:r>
          </w:p>
        </w:tc>
        <w:tc>
          <w:tcPr>
            <w:tcW w:w="567" w:type="dxa"/>
          </w:tcPr>
          <w:p>
            <w:pPr>
              <w:pStyle w:val="0"/>
              <w:jc w:val="center"/>
            </w:pPr>
            <w:r>
              <w:rPr>
                <w:sz w:val="20"/>
              </w:rPr>
              <w:t xml:space="preserve">F1</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96 644,0</w:t>
            </w:r>
          </w:p>
        </w:tc>
        <w:tc>
          <w:tcPr>
            <w:tcW w:w="1304" w:type="dxa"/>
          </w:tcPr>
          <w:p>
            <w:pPr>
              <w:pStyle w:val="0"/>
              <w:jc w:val="center"/>
            </w:pPr>
            <w:r>
              <w:rPr>
                <w:sz w:val="20"/>
              </w:rPr>
              <w:t xml:space="preserve">45 394,0</w:t>
            </w:r>
          </w:p>
        </w:tc>
        <w:tc>
          <w:tcPr>
            <w:tcW w:w="1304" w:type="dxa"/>
          </w:tcPr>
          <w:p>
            <w:pPr>
              <w:pStyle w:val="0"/>
              <w:jc w:val="center"/>
            </w:pPr>
            <w:r>
              <w:rPr>
                <w:sz w:val="20"/>
              </w:rPr>
              <w:t xml:space="preserve">446 400,0</w:t>
            </w:r>
          </w:p>
        </w:tc>
        <w:tc>
          <w:tcPr>
            <w:tcW w:w="1304" w:type="dxa"/>
          </w:tcPr>
          <w:p>
            <w:pPr>
              <w:pStyle w:val="0"/>
              <w:jc w:val="center"/>
            </w:pPr>
            <w:r>
              <w:rPr>
                <w:sz w:val="20"/>
              </w:rPr>
              <w:t xml:space="preserve">0,0</w:t>
            </w:r>
          </w:p>
        </w:tc>
        <w:tc>
          <w:tcPr>
            <w:tcBorders>
              <w:bottom w:val="nil"/>
            </w:tcBorders>
            <w:vMerge w:val="continue"/>
          </w:tcPr>
          <w:p/>
        </w:tc>
        <w:tc>
          <w:tcPr>
            <w:tcBorders>
              <w:bottom w:val="nil"/>
            </w:tcBorders>
            <w:vMerge w:val="continue"/>
          </w:tcPr>
          <w:p/>
        </w:tc>
      </w:tr>
      <w:tr>
        <w:tc>
          <w:tcPr>
            <w:tcBorders>
              <w:bottom w:val="nil"/>
            </w:tcBorders>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4 026,9</w:t>
            </w:r>
          </w:p>
        </w:tc>
        <w:tc>
          <w:tcPr>
            <w:tcW w:w="1304" w:type="dxa"/>
          </w:tcPr>
          <w:p>
            <w:pPr>
              <w:pStyle w:val="0"/>
              <w:jc w:val="center"/>
            </w:pPr>
            <w:r>
              <w:rPr>
                <w:sz w:val="20"/>
              </w:rPr>
              <w:t xml:space="preserve">1 891,4</w:t>
            </w:r>
          </w:p>
        </w:tc>
        <w:tc>
          <w:tcPr>
            <w:tcW w:w="1304" w:type="dxa"/>
          </w:tcPr>
          <w:p>
            <w:pPr>
              <w:pStyle w:val="0"/>
              <w:jc w:val="center"/>
            </w:pPr>
            <w:r>
              <w:rPr>
                <w:sz w:val="20"/>
              </w:rPr>
              <w:t xml:space="preserve">18 600,0</w:t>
            </w:r>
          </w:p>
        </w:tc>
        <w:tc>
          <w:tcPr>
            <w:tcW w:w="1304" w:type="dxa"/>
          </w:tcPr>
          <w:p>
            <w:pPr>
              <w:pStyle w:val="0"/>
              <w:jc w:val="center"/>
            </w:pPr>
            <w:r>
              <w:rPr>
                <w:sz w:val="20"/>
              </w:rPr>
              <w:t xml:space="preserve">0,0</w:t>
            </w:r>
          </w:p>
        </w:tc>
        <w:tc>
          <w:tcPr>
            <w:tcBorders>
              <w:bottom w:val="nil"/>
            </w:tcBorders>
            <w:vMerge w:val="continue"/>
          </w:tcPr>
          <w:p/>
        </w:tc>
        <w:tc>
          <w:tcPr>
            <w:tcBorders>
              <w:bottom w:val="nil"/>
            </w:tcBorders>
            <w:vMerge w:val="continue"/>
          </w:tcPr>
          <w:p/>
        </w:tc>
      </w:tr>
      <w:tr>
        <w:tc>
          <w:tcPr>
            <w:tcBorders>
              <w:bottom w:val="nil"/>
            </w:tcBorders>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Borders>
              <w:bottom w:val="nil"/>
            </w:tcBorders>
            <w:vMerge w:val="continue"/>
          </w:tcPr>
          <w:p/>
        </w:tc>
        <w:tc>
          <w:tcPr>
            <w:tcBorders>
              <w:bottom w:val="nil"/>
            </w:tcBorders>
            <w:vMerge w:val="continue"/>
          </w:tcPr>
          <w:p/>
        </w:tc>
      </w:tr>
      <w:tr>
        <w:tblPrEx>
          <w:tblBorders>
            <w:insideH w:val="nil"/>
          </w:tblBorders>
        </w:tblPrEx>
        <w:tc>
          <w:tcPr>
            <w:tcBorders>
              <w:bottom w:val="nil"/>
            </w:tcBorders>
            <w:vMerge w:val="continue"/>
          </w:tcPr>
          <w:p/>
        </w:tc>
        <w:tc>
          <w:tcPr>
            <w:tcW w:w="1583" w:type="dxa"/>
            <w:tcBorders>
              <w:bottom w:val="nil"/>
            </w:tcBorders>
          </w:tcPr>
          <w:p>
            <w:pPr>
              <w:pStyle w:val="0"/>
            </w:pPr>
            <w:r>
              <w:rPr>
                <w:sz w:val="20"/>
              </w:rPr>
              <w:t xml:space="preserve">налоговые расходы</w:t>
            </w:r>
          </w:p>
        </w:tc>
        <w:tc>
          <w:tcPr>
            <w:tcW w:w="685" w:type="dxa"/>
            <w:tcBorders>
              <w:bottom w:val="nil"/>
            </w:tcBorders>
          </w:tcPr>
          <w:p>
            <w:pPr>
              <w:pStyle w:val="0"/>
            </w:pPr>
            <w:r>
              <w:rPr>
                <w:sz w:val="20"/>
              </w:rPr>
            </w:r>
          </w:p>
        </w:tc>
        <w:tc>
          <w:tcPr>
            <w:tcW w:w="567" w:type="dxa"/>
            <w:tcBorders>
              <w:bottom w:val="nil"/>
            </w:tcBorders>
          </w:tcPr>
          <w:p>
            <w:pPr>
              <w:pStyle w:val="0"/>
            </w:pPr>
            <w:r>
              <w:rPr>
                <w:sz w:val="20"/>
              </w:rPr>
            </w:r>
          </w:p>
        </w:tc>
        <w:tc>
          <w:tcPr>
            <w:tcW w:w="567" w:type="dxa"/>
            <w:tcBorders>
              <w:bottom w:val="nil"/>
            </w:tcBorders>
          </w:tcPr>
          <w:p>
            <w:pPr>
              <w:pStyle w:val="0"/>
            </w:pPr>
            <w:r>
              <w:rPr>
                <w:sz w:val="20"/>
              </w:rPr>
            </w:r>
          </w:p>
        </w:tc>
        <w:tc>
          <w:tcPr>
            <w:tcW w:w="567" w:type="dxa"/>
            <w:tcBorders>
              <w:bottom w:val="nil"/>
            </w:tcBorders>
          </w:tcPr>
          <w:p>
            <w:pPr>
              <w:pStyle w:val="0"/>
            </w:pPr>
            <w:r>
              <w:rPr>
                <w:sz w:val="20"/>
              </w:rPr>
            </w:r>
          </w:p>
        </w:tc>
        <w:tc>
          <w:tcPr>
            <w:tcW w:w="1134" w:type="dxa"/>
            <w:tcBorders>
              <w:bottom w:val="nil"/>
            </w:tcBorders>
          </w:tcPr>
          <w:p>
            <w:pPr>
              <w:pStyle w:val="0"/>
              <w:jc w:val="center"/>
            </w:pPr>
            <w:r>
              <w:rPr>
                <w:sz w:val="20"/>
              </w:rPr>
              <w:t xml:space="preserve">-</w:t>
            </w:r>
          </w:p>
        </w:tc>
        <w:tc>
          <w:tcPr>
            <w:tcW w:w="1134" w:type="dxa"/>
            <w:tcBorders>
              <w:bottom w:val="nil"/>
            </w:tcBorders>
          </w:tcPr>
          <w:p>
            <w:pPr>
              <w:pStyle w:val="0"/>
              <w:jc w:val="center"/>
            </w:pPr>
            <w:r>
              <w:rPr>
                <w:sz w:val="20"/>
              </w:rPr>
              <w:t xml:space="preserve">-</w:t>
            </w:r>
          </w:p>
        </w:tc>
        <w:tc>
          <w:tcPr>
            <w:tcW w:w="1134" w:type="dxa"/>
            <w:tcBorders>
              <w:bottom w:val="nil"/>
            </w:tcBorders>
          </w:tcPr>
          <w:p>
            <w:pPr>
              <w:pStyle w:val="0"/>
              <w:jc w:val="center"/>
            </w:pPr>
            <w:r>
              <w:rPr>
                <w:sz w:val="20"/>
              </w:rPr>
              <w:t xml:space="preserve">-</w:t>
            </w:r>
          </w:p>
        </w:tc>
        <w:tc>
          <w:tcPr>
            <w:tcW w:w="1304" w:type="dxa"/>
            <w:tcBorders>
              <w:bottom w:val="nil"/>
            </w:tcBorders>
          </w:tcPr>
          <w:p>
            <w:pPr>
              <w:pStyle w:val="0"/>
              <w:jc w:val="center"/>
            </w:pPr>
            <w:r>
              <w:rPr>
                <w:sz w:val="20"/>
              </w:rPr>
              <w:t xml:space="preserve">-</w:t>
            </w:r>
          </w:p>
        </w:tc>
        <w:tc>
          <w:tcPr>
            <w:tcW w:w="1304" w:type="dxa"/>
            <w:tcBorders>
              <w:bottom w:val="nil"/>
            </w:tcBorders>
          </w:tcPr>
          <w:p>
            <w:pPr>
              <w:pStyle w:val="0"/>
              <w:jc w:val="center"/>
            </w:pPr>
            <w:r>
              <w:rPr>
                <w:sz w:val="20"/>
              </w:rPr>
              <w:t xml:space="preserve">-</w:t>
            </w:r>
          </w:p>
        </w:tc>
        <w:tc>
          <w:tcPr>
            <w:tcW w:w="1304" w:type="dxa"/>
            <w:tcBorders>
              <w:bottom w:val="nil"/>
            </w:tcBorders>
          </w:tcPr>
          <w:p>
            <w:pPr>
              <w:pStyle w:val="0"/>
            </w:pPr>
            <w:r>
              <w:rPr>
                <w:sz w:val="20"/>
              </w:rPr>
            </w:r>
          </w:p>
        </w:tc>
        <w:tc>
          <w:tcPr>
            <w:tcW w:w="1304" w:type="dxa"/>
            <w:tcBorders>
              <w:bottom w:val="nil"/>
            </w:tcBorders>
          </w:tcPr>
          <w:p>
            <w:pPr>
              <w:pStyle w:val="0"/>
              <w:jc w:val="center"/>
            </w:pPr>
            <w:r>
              <w:rPr>
                <w:sz w:val="20"/>
              </w:rPr>
              <w:t xml:space="preserve">-</w:t>
            </w:r>
          </w:p>
        </w:tc>
        <w:tc>
          <w:tcPr>
            <w:tcBorders>
              <w:bottom w:val="nil"/>
            </w:tcBorders>
            <w:vMerge w:val="continue"/>
          </w:tcPr>
          <w:p/>
        </w:tc>
        <w:tc>
          <w:tcPr>
            <w:tcBorders>
              <w:bottom w:val="nil"/>
            </w:tcBorders>
            <w:vMerge w:val="continue"/>
          </w:tcPr>
          <w:p/>
        </w:tc>
      </w:tr>
      <w:tr>
        <w:tblPrEx>
          <w:tblBorders>
            <w:insideH w:val="nil"/>
          </w:tblBorders>
        </w:tblPrEx>
        <w:tc>
          <w:tcPr>
            <w:gridSpan w:val="15"/>
            <w:tcW w:w="18823" w:type="dxa"/>
            <w:tcBorders>
              <w:top w:val="nil"/>
            </w:tcBorders>
          </w:tcPr>
          <w:p>
            <w:pPr>
              <w:pStyle w:val="0"/>
              <w:jc w:val="both"/>
            </w:pPr>
            <w:r>
              <w:rPr>
                <w:sz w:val="20"/>
              </w:rPr>
              <w:t xml:space="preserve">(в ред. </w:t>
            </w:r>
            <w:hyperlink w:history="0" r:id="rId182"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tc>
      </w:tr>
      <w:tr>
        <w:tc>
          <w:tcPr>
            <w:tcW w:w="2721" w:type="dxa"/>
            <w:tcBorders>
              <w:bottom w:val="nil"/>
            </w:tcBorders>
            <w:vMerge w:val="restart"/>
          </w:tcPr>
          <w:p>
            <w:pPr>
              <w:pStyle w:val="0"/>
            </w:pPr>
            <w:r>
              <w:rPr>
                <w:sz w:val="20"/>
              </w:rPr>
              <w:t xml:space="preserve">Итого по подпрограмме государственной программы "Земельные ресурсы и инфраструктура"</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136 110,9</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2 769 435,2</w:t>
            </w:r>
          </w:p>
        </w:tc>
        <w:tc>
          <w:tcPr>
            <w:tcW w:w="1304" w:type="dxa"/>
          </w:tcPr>
          <w:p>
            <w:pPr>
              <w:pStyle w:val="0"/>
              <w:jc w:val="center"/>
            </w:pPr>
            <w:r>
              <w:rPr>
                <w:sz w:val="20"/>
              </w:rPr>
              <w:t xml:space="preserve">3 568 382,3</w:t>
            </w:r>
          </w:p>
        </w:tc>
        <w:tc>
          <w:tcPr>
            <w:tcW w:w="1304" w:type="dxa"/>
          </w:tcPr>
          <w:p>
            <w:pPr>
              <w:pStyle w:val="0"/>
              <w:jc w:val="center"/>
            </w:pPr>
            <w:r>
              <w:rPr>
                <w:sz w:val="20"/>
              </w:rPr>
              <w:t xml:space="preserve">5 140 750,8</w:t>
            </w:r>
          </w:p>
        </w:tc>
        <w:tc>
          <w:tcPr>
            <w:tcW w:w="1304" w:type="dxa"/>
          </w:tcPr>
          <w:p>
            <w:pPr>
              <w:pStyle w:val="0"/>
              <w:jc w:val="center"/>
            </w:pPr>
            <w:r>
              <w:rPr>
                <w:sz w:val="20"/>
              </w:rPr>
              <w:t xml:space="preserve">0,0</w:t>
            </w:r>
          </w:p>
        </w:tc>
        <w:tc>
          <w:tcPr>
            <w:tcW w:w="1247" w:type="dxa"/>
            <w:tcBorders>
              <w:bottom w:val="nil"/>
            </w:tcBorders>
            <w:vMerge w:val="restart"/>
          </w:tcPr>
          <w:p>
            <w:pPr>
              <w:pStyle w:val="0"/>
            </w:pPr>
            <w:r>
              <w:rPr>
                <w:sz w:val="20"/>
              </w:rPr>
            </w:r>
          </w:p>
        </w:tc>
        <w:tc>
          <w:tcPr>
            <w:tcW w:w="2268" w:type="dxa"/>
            <w:tcBorders>
              <w:bottom w:val="nil"/>
            </w:tcBorders>
            <w:vMerge w:val="restart"/>
          </w:tcPr>
          <w:p>
            <w:pPr>
              <w:pStyle w:val="0"/>
            </w:pPr>
            <w:r>
              <w:rPr>
                <w:sz w:val="20"/>
              </w:rPr>
            </w:r>
          </w:p>
        </w:tc>
      </w:tr>
      <w:tr>
        <w:tc>
          <w:tcPr>
            <w:tcBorders>
              <w:bottom w:val="nil"/>
            </w:tcBorders>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96 644,0</w:t>
            </w:r>
          </w:p>
        </w:tc>
        <w:tc>
          <w:tcPr>
            <w:tcW w:w="1304" w:type="dxa"/>
          </w:tcPr>
          <w:p>
            <w:pPr>
              <w:pStyle w:val="0"/>
              <w:jc w:val="center"/>
            </w:pPr>
            <w:r>
              <w:rPr>
                <w:sz w:val="20"/>
              </w:rPr>
              <w:t xml:space="preserve">45 394,0</w:t>
            </w:r>
          </w:p>
        </w:tc>
        <w:tc>
          <w:tcPr>
            <w:tcW w:w="1304" w:type="dxa"/>
          </w:tcPr>
          <w:p>
            <w:pPr>
              <w:pStyle w:val="0"/>
              <w:jc w:val="center"/>
            </w:pPr>
            <w:r>
              <w:rPr>
                <w:sz w:val="20"/>
              </w:rPr>
              <w:t xml:space="preserve">446 400,0</w:t>
            </w:r>
          </w:p>
        </w:tc>
        <w:tc>
          <w:tcPr>
            <w:tcW w:w="1304" w:type="dxa"/>
          </w:tcPr>
          <w:p>
            <w:pPr>
              <w:pStyle w:val="0"/>
              <w:jc w:val="center"/>
            </w:pPr>
            <w:r>
              <w:rPr>
                <w:sz w:val="20"/>
              </w:rPr>
              <w:t xml:space="preserve">0,0</w:t>
            </w:r>
          </w:p>
        </w:tc>
        <w:tc>
          <w:tcPr>
            <w:tcBorders>
              <w:bottom w:val="nil"/>
            </w:tcBorders>
            <w:vMerge w:val="continue"/>
          </w:tcPr>
          <w:p/>
        </w:tc>
        <w:tc>
          <w:tcPr>
            <w:tcBorders>
              <w:bottom w:val="nil"/>
            </w:tcBorders>
            <w:vMerge w:val="continue"/>
          </w:tcPr>
          <w:p/>
        </w:tc>
      </w:tr>
      <w:tr>
        <w:tc>
          <w:tcPr>
            <w:tcBorders>
              <w:bottom w:val="nil"/>
            </w:tcBorders>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3 618,9</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4 026,9</w:t>
            </w:r>
          </w:p>
        </w:tc>
        <w:tc>
          <w:tcPr>
            <w:tcW w:w="1304" w:type="dxa"/>
          </w:tcPr>
          <w:p>
            <w:pPr>
              <w:pStyle w:val="0"/>
              <w:jc w:val="center"/>
            </w:pPr>
            <w:r>
              <w:rPr>
                <w:sz w:val="20"/>
              </w:rPr>
              <w:t xml:space="preserve">1 891,4</w:t>
            </w:r>
          </w:p>
        </w:tc>
        <w:tc>
          <w:tcPr>
            <w:tcW w:w="1304" w:type="dxa"/>
          </w:tcPr>
          <w:p>
            <w:pPr>
              <w:pStyle w:val="0"/>
              <w:jc w:val="center"/>
            </w:pPr>
            <w:r>
              <w:rPr>
                <w:sz w:val="20"/>
              </w:rPr>
              <w:t xml:space="preserve">18 600,0</w:t>
            </w:r>
          </w:p>
        </w:tc>
        <w:tc>
          <w:tcPr>
            <w:tcW w:w="1304" w:type="dxa"/>
          </w:tcPr>
          <w:p>
            <w:pPr>
              <w:pStyle w:val="0"/>
              <w:jc w:val="center"/>
            </w:pPr>
            <w:r>
              <w:rPr>
                <w:sz w:val="20"/>
              </w:rPr>
              <w:t xml:space="preserve">0,0</w:t>
            </w:r>
          </w:p>
        </w:tc>
        <w:tc>
          <w:tcPr>
            <w:tcBorders>
              <w:bottom w:val="nil"/>
            </w:tcBorders>
            <w:vMerge w:val="continue"/>
          </w:tcPr>
          <w:p/>
        </w:tc>
        <w:tc>
          <w:tcPr>
            <w:tcBorders>
              <w:bottom w:val="nil"/>
            </w:tcBorders>
            <w:vMerge w:val="continue"/>
          </w:tcPr>
          <w:p/>
        </w:tc>
      </w:tr>
      <w:tr>
        <w:tc>
          <w:tcPr>
            <w:tcBorders>
              <w:bottom w:val="nil"/>
            </w:tcBorders>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Borders>
              <w:bottom w:val="nil"/>
            </w:tcBorders>
            <w:vMerge w:val="continue"/>
          </w:tcPr>
          <w:p/>
        </w:tc>
        <w:tc>
          <w:tcPr>
            <w:tcBorders>
              <w:bottom w:val="nil"/>
            </w:tcBorders>
            <w:vMerge w:val="continue"/>
          </w:tcPr>
          <w:p/>
        </w:tc>
      </w:tr>
      <w:tr>
        <w:tblPrEx>
          <w:tblBorders>
            <w:insideH w:val="nil"/>
          </w:tblBorders>
        </w:tblPrEx>
        <w:tc>
          <w:tcPr>
            <w:tcBorders>
              <w:bottom w:val="nil"/>
            </w:tcBorders>
            <w:vMerge w:val="continue"/>
          </w:tcPr>
          <w:p/>
        </w:tc>
        <w:tc>
          <w:tcPr>
            <w:tcW w:w="1583" w:type="dxa"/>
            <w:tcBorders>
              <w:bottom w:val="nil"/>
            </w:tcBorders>
          </w:tcPr>
          <w:p>
            <w:pPr>
              <w:pStyle w:val="0"/>
            </w:pPr>
            <w:r>
              <w:rPr>
                <w:sz w:val="20"/>
              </w:rPr>
              <w:t xml:space="preserve">налоговые расходы</w:t>
            </w:r>
          </w:p>
        </w:tc>
        <w:tc>
          <w:tcPr>
            <w:tcW w:w="685" w:type="dxa"/>
            <w:tcBorders>
              <w:bottom w:val="nil"/>
            </w:tcBorders>
          </w:tcPr>
          <w:p>
            <w:pPr>
              <w:pStyle w:val="0"/>
            </w:pPr>
            <w:r>
              <w:rPr>
                <w:sz w:val="20"/>
              </w:rPr>
            </w:r>
          </w:p>
        </w:tc>
        <w:tc>
          <w:tcPr>
            <w:tcW w:w="567" w:type="dxa"/>
            <w:tcBorders>
              <w:bottom w:val="nil"/>
            </w:tcBorders>
          </w:tcPr>
          <w:p>
            <w:pPr>
              <w:pStyle w:val="0"/>
            </w:pPr>
            <w:r>
              <w:rPr>
                <w:sz w:val="20"/>
              </w:rPr>
            </w:r>
          </w:p>
        </w:tc>
        <w:tc>
          <w:tcPr>
            <w:tcW w:w="567" w:type="dxa"/>
            <w:tcBorders>
              <w:bottom w:val="nil"/>
            </w:tcBorders>
          </w:tcPr>
          <w:p>
            <w:pPr>
              <w:pStyle w:val="0"/>
            </w:pPr>
            <w:r>
              <w:rPr>
                <w:sz w:val="20"/>
              </w:rPr>
            </w:r>
          </w:p>
        </w:tc>
        <w:tc>
          <w:tcPr>
            <w:tcW w:w="567" w:type="dxa"/>
            <w:tcBorders>
              <w:bottom w:val="nil"/>
            </w:tcBorders>
          </w:tcPr>
          <w:p>
            <w:pPr>
              <w:pStyle w:val="0"/>
            </w:pPr>
            <w:r>
              <w:rPr>
                <w:sz w:val="20"/>
              </w:rPr>
            </w:r>
          </w:p>
        </w:tc>
        <w:tc>
          <w:tcPr>
            <w:tcW w:w="1134" w:type="dxa"/>
            <w:tcBorders>
              <w:bottom w:val="nil"/>
            </w:tcBorders>
          </w:tcPr>
          <w:p>
            <w:pPr>
              <w:pStyle w:val="0"/>
              <w:jc w:val="center"/>
            </w:pPr>
            <w:r>
              <w:rPr>
                <w:sz w:val="20"/>
              </w:rPr>
              <w:t xml:space="preserve">-</w:t>
            </w:r>
          </w:p>
        </w:tc>
        <w:tc>
          <w:tcPr>
            <w:tcW w:w="1134" w:type="dxa"/>
            <w:tcBorders>
              <w:bottom w:val="nil"/>
            </w:tcBorders>
          </w:tcPr>
          <w:p>
            <w:pPr>
              <w:pStyle w:val="0"/>
              <w:jc w:val="center"/>
            </w:pPr>
            <w:r>
              <w:rPr>
                <w:sz w:val="20"/>
              </w:rPr>
              <w:t xml:space="preserve">-</w:t>
            </w:r>
          </w:p>
        </w:tc>
        <w:tc>
          <w:tcPr>
            <w:tcW w:w="1134" w:type="dxa"/>
            <w:tcBorders>
              <w:bottom w:val="nil"/>
            </w:tcBorders>
          </w:tcPr>
          <w:p>
            <w:pPr>
              <w:pStyle w:val="0"/>
              <w:jc w:val="center"/>
            </w:pPr>
            <w:r>
              <w:rPr>
                <w:sz w:val="20"/>
              </w:rPr>
              <w:t xml:space="preserve">-</w:t>
            </w:r>
          </w:p>
        </w:tc>
        <w:tc>
          <w:tcPr>
            <w:tcW w:w="1304" w:type="dxa"/>
            <w:tcBorders>
              <w:bottom w:val="nil"/>
            </w:tcBorders>
          </w:tcPr>
          <w:p>
            <w:pPr>
              <w:pStyle w:val="0"/>
              <w:jc w:val="center"/>
            </w:pPr>
            <w:r>
              <w:rPr>
                <w:sz w:val="20"/>
              </w:rPr>
              <w:t xml:space="preserve">-</w:t>
            </w:r>
          </w:p>
        </w:tc>
        <w:tc>
          <w:tcPr>
            <w:tcW w:w="1304" w:type="dxa"/>
            <w:tcBorders>
              <w:bottom w:val="nil"/>
            </w:tcBorders>
          </w:tcPr>
          <w:p>
            <w:pPr>
              <w:pStyle w:val="0"/>
              <w:jc w:val="center"/>
            </w:pPr>
            <w:r>
              <w:rPr>
                <w:sz w:val="20"/>
              </w:rPr>
              <w:t xml:space="preserve">-</w:t>
            </w:r>
          </w:p>
        </w:tc>
        <w:tc>
          <w:tcPr>
            <w:tcW w:w="1304" w:type="dxa"/>
            <w:tcBorders>
              <w:bottom w:val="nil"/>
            </w:tcBorders>
          </w:tcPr>
          <w:p>
            <w:pPr>
              <w:pStyle w:val="0"/>
              <w:jc w:val="center"/>
            </w:pPr>
            <w:r>
              <w:rPr>
                <w:sz w:val="20"/>
              </w:rPr>
              <w:t xml:space="preserve">-</w:t>
            </w:r>
          </w:p>
        </w:tc>
        <w:tc>
          <w:tcPr>
            <w:tcW w:w="1304" w:type="dxa"/>
            <w:tcBorders>
              <w:bottom w:val="nil"/>
            </w:tcBorders>
          </w:tcPr>
          <w:p>
            <w:pPr>
              <w:pStyle w:val="0"/>
              <w:jc w:val="center"/>
            </w:pPr>
            <w:r>
              <w:rPr>
                <w:sz w:val="20"/>
              </w:rPr>
              <w:t xml:space="preserve">-</w:t>
            </w:r>
          </w:p>
        </w:tc>
        <w:tc>
          <w:tcPr>
            <w:tcBorders>
              <w:bottom w:val="nil"/>
            </w:tcBorders>
            <w:vMerge w:val="continue"/>
          </w:tcPr>
          <w:p/>
        </w:tc>
        <w:tc>
          <w:tcPr>
            <w:tcBorders>
              <w:bottom w:val="nil"/>
            </w:tcBorders>
            <w:vMerge w:val="continue"/>
          </w:tcPr>
          <w:p/>
        </w:tc>
      </w:tr>
      <w:tr>
        <w:tblPrEx>
          <w:tblBorders>
            <w:insideH w:val="nil"/>
          </w:tblBorders>
        </w:tblPrEx>
        <w:tc>
          <w:tcPr>
            <w:gridSpan w:val="15"/>
            <w:tcW w:w="18823" w:type="dxa"/>
            <w:tcBorders>
              <w:top w:val="nil"/>
            </w:tcBorders>
          </w:tcPr>
          <w:p>
            <w:pPr>
              <w:pStyle w:val="0"/>
              <w:jc w:val="both"/>
            </w:pPr>
            <w:r>
              <w:rPr>
                <w:sz w:val="20"/>
              </w:rPr>
              <w:t xml:space="preserve">(в ред. </w:t>
            </w:r>
            <w:hyperlink w:history="0" r:id="rId183"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tc>
      </w:tr>
      <w:tr>
        <w:tc>
          <w:tcPr>
            <w:gridSpan w:val="15"/>
            <w:tcW w:w="18823" w:type="dxa"/>
          </w:tcPr>
          <w:p>
            <w:pPr>
              <w:pStyle w:val="0"/>
              <w:outlineLvl w:val="5"/>
              <w:jc w:val="center"/>
            </w:pPr>
            <w:r>
              <w:rPr>
                <w:sz w:val="20"/>
              </w:rPr>
              <w:t xml:space="preserve">1.2.3. Подпрограмма государственной программы "Государственная поддержка при завершении строительства "проблемных" жилых домов"</w:t>
            </w:r>
          </w:p>
        </w:tc>
      </w:tr>
      <w:tr>
        <w:tc>
          <w:tcPr>
            <w:gridSpan w:val="15"/>
            <w:tcW w:w="18823" w:type="dxa"/>
          </w:tcPr>
          <w:p>
            <w:pPr>
              <w:pStyle w:val="0"/>
              <w:outlineLvl w:val="6"/>
              <w:jc w:val="center"/>
            </w:pPr>
            <w:r>
              <w:rPr>
                <w:sz w:val="20"/>
              </w:rPr>
              <w:t xml:space="preserve">1.2.3.1. Цель подпрограммы государственной программы: принятие мер по соблюдению законных интересов граждан, чьи денежные средства привлечены для строительства многоквартирных жилых домов</w:t>
            </w:r>
          </w:p>
        </w:tc>
      </w:tr>
      <w:tr>
        <w:tc>
          <w:tcPr>
            <w:gridSpan w:val="15"/>
            <w:tcW w:w="18823" w:type="dxa"/>
          </w:tcPr>
          <w:p>
            <w:pPr>
              <w:pStyle w:val="0"/>
              <w:outlineLvl w:val="7"/>
              <w:jc w:val="center"/>
            </w:pPr>
            <w:r>
              <w:rPr>
                <w:sz w:val="20"/>
              </w:rPr>
              <w:t xml:space="preserve">1.2.3.1.1. Задача 1 подпрограммы государственной программы: обеспечение инженерной инфраструктурой "проблемных" объектов незавершенного строительства</w:t>
            </w:r>
          </w:p>
        </w:tc>
      </w:tr>
      <w:tr>
        <w:tc>
          <w:tcPr>
            <w:tcW w:w="2721" w:type="dxa"/>
            <w:vMerge w:val="restart"/>
          </w:tcPr>
          <w:p>
            <w:pPr>
              <w:pStyle w:val="0"/>
            </w:pPr>
            <w:r>
              <w:rPr>
                <w:sz w:val="20"/>
              </w:rPr>
              <w:t xml:space="preserve">1.2.3.1.1.1. Покрытие части расходов муниципальных образований Новосибирской области на оплату по договорам технологического присоединения к сетям электро-, тепло-, водоснабжения и водоотведения в целях решения вопросов завершения строительства и ввода в эксплуатацию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А</w:t>
            </w:r>
          </w:p>
        </w:tc>
        <w:tc>
          <w:tcPr>
            <w:tcW w:w="567" w:type="dxa"/>
          </w:tcPr>
          <w:p>
            <w:pPr>
              <w:pStyle w:val="0"/>
              <w:jc w:val="center"/>
            </w:pPr>
            <w:r>
              <w:rPr>
                <w:sz w:val="20"/>
              </w:rPr>
              <w:t xml:space="preserve">02</w:t>
            </w:r>
          </w:p>
        </w:tc>
        <w:tc>
          <w:tcPr>
            <w:tcW w:w="1134" w:type="dxa"/>
          </w:tcPr>
          <w:p>
            <w:pPr>
              <w:pStyle w:val="0"/>
              <w:jc w:val="center"/>
            </w:pPr>
            <w:r>
              <w:rPr>
                <w:sz w:val="20"/>
              </w:rPr>
              <w:t xml:space="preserve">102 827,0</w:t>
            </w:r>
          </w:p>
        </w:tc>
        <w:tc>
          <w:tcPr>
            <w:tcW w:w="1134" w:type="dxa"/>
          </w:tcPr>
          <w:p>
            <w:pPr>
              <w:pStyle w:val="0"/>
              <w:jc w:val="center"/>
            </w:pPr>
            <w:r>
              <w:rPr>
                <w:sz w:val="20"/>
              </w:rPr>
              <w:t xml:space="preserve">36 300,4</w:t>
            </w:r>
          </w:p>
        </w:tc>
        <w:tc>
          <w:tcPr>
            <w:tcW w:w="1134" w:type="dxa"/>
          </w:tcPr>
          <w:p>
            <w:pPr>
              <w:pStyle w:val="0"/>
              <w:jc w:val="center"/>
            </w:pPr>
            <w:r>
              <w:rPr>
                <w:sz w:val="20"/>
              </w:rPr>
              <w:t xml:space="preserve">63 108,1</w:t>
            </w:r>
          </w:p>
        </w:tc>
        <w:tc>
          <w:tcPr>
            <w:tcW w:w="1304" w:type="dxa"/>
          </w:tcPr>
          <w:p>
            <w:pPr>
              <w:pStyle w:val="0"/>
              <w:jc w:val="center"/>
            </w:pPr>
            <w:r>
              <w:rPr>
                <w:sz w:val="20"/>
              </w:rPr>
              <w:t xml:space="preserve">79 213,6</w:t>
            </w:r>
          </w:p>
        </w:tc>
        <w:tc>
          <w:tcPr>
            <w:tcW w:w="1304" w:type="dxa"/>
          </w:tcPr>
          <w:p>
            <w:pPr>
              <w:pStyle w:val="0"/>
              <w:jc w:val="center"/>
            </w:pPr>
            <w:r>
              <w:rPr>
                <w:sz w:val="20"/>
              </w:rPr>
              <w:t xml:space="preserve">147 657,7</w:t>
            </w:r>
          </w:p>
        </w:tc>
        <w:tc>
          <w:tcPr>
            <w:tcW w:w="1304" w:type="dxa"/>
          </w:tcPr>
          <w:p>
            <w:pPr>
              <w:pStyle w:val="0"/>
              <w:jc w:val="center"/>
            </w:pPr>
            <w:r>
              <w:rPr>
                <w:sz w:val="20"/>
              </w:rPr>
              <w:t xml:space="preserve">147 657,7</w:t>
            </w:r>
          </w:p>
        </w:tc>
        <w:tc>
          <w:tcPr>
            <w:tcW w:w="1304" w:type="dxa"/>
          </w:tcPr>
          <w:p>
            <w:pPr>
              <w:pStyle w:val="0"/>
              <w:jc w:val="center"/>
            </w:pPr>
            <w:r>
              <w:rPr>
                <w:sz w:val="20"/>
              </w:rPr>
              <w:t xml:space="preserve">147 657,7</w:t>
            </w:r>
          </w:p>
        </w:tc>
        <w:tc>
          <w:tcPr>
            <w:tcW w:w="1247" w:type="dxa"/>
            <w:vMerge w:val="restart"/>
          </w:tcPr>
          <w:p>
            <w:pPr>
              <w:pStyle w:val="0"/>
              <w:jc w:val="center"/>
            </w:pPr>
            <w:r>
              <w:rPr>
                <w:sz w:val="20"/>
              </w:rPr>
              <w:t xml:space="preserve">Минстрой НСО,</w:t>
            </w:r>
          </w:p>
          <w:p>
            <w:pPr>
              <w:pStyle w:val="0"/>
              <w:jc w:val="center"/>
            </w:pPr>
            <w:r>
              <w:rPr>
                <w:sz w:val="20"/>
              </w:rPr>
              <w:t xml:space="preserve">ОМС НСО</w:t>
            </w:r>
          </w:p>
        </w:tc>
        <w:tc>
          <w:tcPr>
            <w:tcW w:w="2268" w:type="dxa"/>
            <w:vMerge w:val="restart"/>
          </w:tcPr>
          <w:p>
            <w:pPr>
              <w:pStyle w:val="0"/>
            </w:pPr>
            <w:r>
              <w:rPr>
                <w:sz w:val="20"/>
              </w:rPr>
              <w:t xml:space="preserve">Обеспечение объектов незавершенного строительства инженерной инфраструктурой и благоустройством</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5 411,9</w:t>
            </w:r>
          </w:p>
        </w:tc>
        <w:tc>
          <w:tcPr>
            <w:tcW w:w="1134" w:type="dxa"/>
          </w:tcPr>
          <w:p>
            <w:pPr>
              <w:pStyle w:val="0"/>
              <w:jc w:val="center"/>
            </w:pPr>
            <w:r>
              <w:rPr>
                <w:sz w:val="20"/>
              </w:rPr>
              <w:t xml:space="preserve">1 920,5</w:t>
            </w:r>
          </w:p>
        </w:tc>
        <w:tc>
          <w:tcPr>
            <w:tcW w:w="1134" w:type="dxa"/>
          </w:tcPr>
          <w:p>
            <w:pPr>
              <w:pStyle w:val="0"/>
              <w:jc w:val="center"/>
            </w:pPr>
            <w:r>
              <w:rPr>
                <w:sz w:val="20"/>
              </w:rPr>
              <w:t xml:space="preserve">3 321,5</w:t>
            </w:r>
          </w:p>
        </w:tc>
        <w:tc>
          <w:tcPr>
            <w:tcW w:w="1304" w:type="dxa"/>
          </w:tcPr>
          <w:p>
            <w:pPr>
              <w:pStyle w:val="0"/>
              <w:jc w:val="center"/>
            </w:pPr>
            <w:r>
              <w:rPr>
                <w:sz w:val="20"/>
              </w:rPr>
              <w:t xml:space="preserve">4 169,1</w:t>
            </w:r>
          </w:p>
        </w:tc>
        <w:tc>
          <w:tcPr>
            <w:tcW w:w="1304" w:type="dxa"/>
          </w:tcPr>
          <w:p>
            <w:pPr>
              <w:pStyle w:val="0"/>
              <w:jc w:val="center"/>
            </w:pPr>
            <w:r>
              <w:rPr>
                <w:sz w:val="20"/>
              </w:rPr>
              <w:t xml:space="preserve">7 771,5</w:t>
            </w:r>
          </w:p>
        </w:tc>
        <w:tc>
          <w:tcPr>
            <w:tcW w:w="1304" w:type="dxa"/>
          </w:tcPr>
          <w:p>
            <w:pPr>
              <w:pStyle w:val="0"/>
              <w:jc w:val="center"/>
            </w:pPr>
            <w:r>
              <w:rPr>
                <w:sz w:val="20"/>
              </w:rPr>
              <w:t xml:space="preserve">7 771,5</w:t>
            </w:r>
          </w:p>
        </w:tc>
        <w:tc>
          <w:tcPr>
            <w:tcW w:w="1304" w:type="dxa"/>
          </w:tcPr>
          <w:p>
            <w:pPr>
              <w:pStyle w:val="0"/>
              <w:jc w:val="center"/>
            </w:pPr>
            <w:r>
              <w:rPr>
                <w:sz w:val="20"/>
              </w:rPr>
              <w:t xml:space="preserve">7 771,5</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8823" w:type="dxa"/>
          </w:tcPr>
          <w:p>
            <w:pPr>
              <w:pStyle w:val="0"/>
              <w:outlineLvl w:val="7"/>
              <w:jc w:val="center"/>
            </w:pPr>
            <w:r>
              <w:rPr>
                <w:sz w:val="20"/>
              </w:rPr>
              <w:t xml:space="preserve">1.2.3.1.2. Задача 2 подпрограммы государственной программы: компенсация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w:t>
            </w:r>
          </w:p>
        </w:tc>
      </w:tr>
      <w:tr>
        <w:tc>
          <w:tcPr>
            <w:tcW w:w="2721" w:type="dxa"/>
            <w:vMerge w:val="restart"/>
          </w:tcPr>
          <w:p>
            <w:pPr>
              <w:pStyle w:val="0"/>
            </w:pPr>
            <w:r>
              <w:rPr>
                <w:sz w:val="20"/>
              </w:rPr>
              <w:t xml:space="preserve">1.2.3.1.2.1. Государственная поддержка граждан, пострадавших от недобросовестных застройщиков</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А</w:t>
            </w:r>
          </w:p>
        </w:tc>
        <w:tc>
          <w:tcPr>
            <w:tcW w:w="567" w:type="dxa"/>
          </w:tcPr>
          <w:p>
            <w:pPr>
              <w:pStyle w:val="0"/>
              <w:jc w:val="center"/>
            </w:pPr>
            <w:r>
              <w:rPr>
                <w:sz w:val="20"/>
              </w:rPr>
              <w:t xml:space="preserve">01</w:t>
            </w:r>
          </w:p>
        </w:tc>
        <w:tc>
          <w:tcPr>
            <w:tcW w:w="1134" w:type="dxa"/>
          </w:tcPr>
          <w:p>
            <w:pPr>
              <w:pStyle w:val="0"/>
              <w:jc w:val="center"/>
            </w:pPr>
            <w:r>
              <w:rPr>
                <w:sz w:val="20"/>
              </w:rPr>
              <w:t xml:space="preserve">4 000,0</w:t>
            </w:r>
          </w:p>
        </w:tc>
        <w:tc>
          <w:tcPr>
            <w:tcW w:w="1134" w:type="dxa"/>
          </w:tcPr>
          <w:p>
            <w:pPr>
              <w:pStyle w:val="0"/>
              <w:jc w:val="center"/>
            </w:pPr>
            <w:r>
              <w:rPr>
                <w:sz w:val="20"/>
              </w:rPr>
              <w:t xml:space="preserve">4 000,0</w:t>
            </w:r>
          </w:p>
        </w:tc>
        <w:tc>
          <w:tcPr>
            <w:tcW w:w="1134" w:type="dxa"/>
          </w:tcPr>
          <w:p>
            <w:pPr>
              <w:pStyle w:val="0"/>
              <w:jc w:val="center"/>
            </w:pPr>
            <w:r>
              <w:rPr>
                <w:sz w:val="20"/>
              </w:rPr>
              <w:t xml:space="preserve">4 000,0</w:t>
            </w:r>
          </w:p>
        </w:tc>
        <w:tc>
          <w:tcPr>
            <w:tcW w:w="1304" w:type="dxa"/>
          </w:tcPr>
          <w:p>
            <w:pPr>
              <w:pStyle w:val="0"/>
              <w:jc w:val="center"/>
            </w:pPr>
            <w:r>
              <w:rPr>
                <w:sz w:val="20"/>
              </w:rPr>
              <w:t xml:space="preserve">4 000,0</w:t>
            </w:r>
          </w:p>
        </w:tc>
        <w:tc>
          <w:tcPr>
            <w:tcW w:w="1304" w:type="dxa"/>
          </w:tcPr>
          <w:p>
            <w:pPr>
              <w:pStyle w:val="0"/>
              <w:jc w:val="center"/>
            </w:pPr>
            <w:r>
              <w:rPr>
                <w:sz w:val="20"/>
              </w:rPr>
              <w:t xml:space="preserve">4 600,0</w:t>
            </w:r>
          </w:p>
        </w:tc>
        <w:tc>
          <w:tcPr>
            <w:tcW w:w="1304" w:type="dxa"/>
          </w:tcPr>
          <w:p>
            <w:pPr>
              <w:pStyle w:val="0"/>
              <w:jc w:val="center"/>
            </w:pPr>
            <w:r>
              <w:rPr>
                <w:sz w:val="20"/>
              </w:rPr>
              <w:t xml:space="preserve">4 600,0</w:t>
            </w:r>
          </w:p>
        </w:tc>
        <w:tc>
          <w:tcPr>
            <w:tcW w:w="1304" w:type="dxa"/>
          </w:tcPr>
          <w:p>
            <w:pPr>
              <w:pStyle w:val="0"/>
              <w:jc w:val="center"/>
            </w:pPr>
            <w:r>
              <w:rPr>
                <w:sz w:val="20"/>
              </w:rPr>
              <w:t xml:space="preserve">4 600,0</w:t>
            </w:r>
          </w:p>
        </w:tc>
        <w:tc>
          <w:tcPr>
            <w:tcW w:w="1247" w:type="dxa"/>
            <w:vMerge w:val="restart"/>
          </w:tcPr>
          <w:p>
            <w:pPr>
              <w:pStyle w:val="0"/>
              <w:jc w:val="center"/>
            </w:pPr>
            <w:r>
              <w:rPr>
                <w:sz w:val="20"/>
              </w:rPr>
              <w:t xml:space="preserve">Минстрой НСО</w:t>
            </w:r>
          </w:p>
        </w:tc>
        <w:tc>
          <w:tcPr>
            <w:tcW w:w="2268" w:type="dxa"/>
            <w:vMerge w:val="restart"/>
          </w:tcPr>
          <w:p>
            <w:pPr>
              <w:pStyle w:val="0"/>
            </w:pPr>
            <w:r>
              <w:rPr>
                <w:sz w:val="20"/>
              </w:rPr>
              <w:t xml:space="preserve">Оказание государственной поддержки гражданам, пострадавшим от действий недобросовестных застройщиков</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8823" w:type="dxa"/>
          </w:tcPr>
          <w:p>
            <w:pPr>
              <w:pStyle w:val="0"/>
              <w:outlineLvl w:val="7"/>
              <w:jc w:val="center"/>
            </w:pPr>
            <w:r>
              <w:rPr>
                <w:sz w:val="20"/>
              </w:rPr>
              <w:t xml:space="preserve">1.2.3.1.3. Задача 3 подпрограммы государственной программы: профилактика возникновения новых случаев недобросовестных действий застройщиков при строительстве многоквартирных жилых домов в Новосибирской области</w:t>
            </w:r>
          </w:p>
        </w:tc>
      </w:tr>
      <w:tr>
        <w:tc>
          <w:tcPr>
            <w:tcW w:w="2721" w:type="dxa"/>
            <w:vMerge w:val="restart"/>
          </w:tcPr>
          <w:p>
            <w:pPr>
              <w:pStyle w:val="0"/>
            </w:pPr>
            <w:r>
              <w:rPr>
                <w:sz w:val="20"/>
              </w:rPr>
              <w:t xml:space="preserve">1.2.3.1.3.1. Проведение мониторинга объектов жилищного строительства, по которым застройщиком не исполнены обязательства по вводу в эксплуатацию многоквартирного дома в соответствии с условиями договора участия в долевом строительстве</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tcW w:w="8618"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pPr>
              <w:pStyle w:val="0"/>
              <w:jc w:val="center"/>
            </w:pPr>
            <w:r>
              <w:rPr>
                <w:sz w:val="20"/>
              </w:rPr>
              <w:t xml:space="preserve">Минстрой НСО</w:t>
            </w:r>
          </w:p>
        </w:tc>
        <w:tc>
          <w:tcPr>
            <w:tcW w:w="2268" w:type="dxa"/>
            <w:vMerge w:val="restart"/>
          </w:tcPr>
          <w:p>
            <w:pPr>
              <w:pStyle w:val="0"/>
            </w:pPr>
            <w:r>
              <w:rPr>
                <w:sz w:val="20"/>
              </w:rPr>
              <w:t xml:space="preserve">Предотвращение появления новых "проблемных" объектов и сокращение общего количества незавершенных строительством "проблемных" объектов</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tcW w:w="2721" w:type="dxa"/>
            <w:vMerge w:val="restart"/>
          </w:tcPr>
          <w:p>
            <w:pPr>
              <w:pStyle w:val="0"/>
            </w:pPr>
            <w:r>
              <w:rPr>
                <w:sz w:val="20"/>
              </w:rPr>
              <w:t xml:space="preserve">1.2.3.1.3.2. Проведение контрольно-проверочных мероприятий, направленных на соблюдение требований законодательства о долевом строительстве, на основании анализа отчетности застройщиков и информации органов местного самоуправления</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tcW w:w="8618"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pPr>
              <w:pStyle w:val="0"/>
              <w:jc w:val="center"/>
            </w:pPr>
            <w:r>
              <w:rPr>
                <w:sz w:val="20"/>
              </w:rPr>
              <w:t xml:space="preserve">Минстрой НСО</w:t>
            </w:r>
          </w:p>
        </w:tc>
        <w:tc>
          <w:tcPr>
            <w:tcW w:w="2268" w:type="dxa"/>
            <w:vMerge w:val="restart"/>
          </w:tcPr>
          <w:p>
            <w:pPr>
              <w:pStyle w:val="0"/>
            </w:pPr>
            <w:r>
              <w:rPr>
                <w:sz w:val="20"/>
              </w:rPr>
              <w:t xml:space="preserve">Своевременное выявление фактов нарушений требований законодательства в области долевого строительства, которые могут привести к появлению новых "проблемных" объектов и пострадавших дольщиков, а также принятие мер к их пресечению и дальнейшему недопущению</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tcW w:w="2721" w:type="dxa"/>
            <w:vMerge w:val="restart"/>
          </w:tcPr>
          <w:p>
            <w:pPr>
              <w:pStyle w:val="0"/>
            </w:pPr>
            <w:r>
              <w:rPr>
                <w:sz w:val="20"/>
              </w:rPr>
              <w:t xml:space="preserve">1.2.3.1.3.3. Проведение консультационной работы с гражданами</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tcW w:w="8618"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pPr>
              <w:pStyle w:val="0"/>
              <w:jc w:val="center"/>
            </w:pPr>
            <w:r>
              <w:rPr>
                <w:sz w:val="20"/>
              </w:rPr>
              <w:t xml:space="preserve">Минстрой НСО</w:t>
            </w:r>
          </w:p>
        </w:tc>
        <w:tc>
          <w:tcPr>
            <w:tcW w:w="2268" w:type="dxa"/>
            <w:vMerge w:val="restart"/>
          </w:tcPr>
          <w:p>
            <w:pPr>
              <w:pStyle w:val="0"/>
            </w:pPr>
            <w:r>
              <w:rPr>
                <w:sz w:val="20"/>
              </w:rPr>
              <w:t xml:space="preserve">Оказание консультационной помощи гражданам - участникам долевого строительства по вопросам долевого строительства в целях недопущения появления пострадавших дольщиков</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tcW w:w="2721" w:type="dxa"/>
            <w:vMerge w:val="restart"/>
          </w:tcPr>
          <w:p>
            <w:pPr>
              <w:pStyle w:val="0"/>
            </w:pPr>
            <w:r>
              <w:rPr>
                <w:sz w:val="20"/>
              </w:rPr>
              <w:t xml:space="preserve">Итого по подпрограмме государственной программы "Государственная поддержка при завершении строительства "проблемных" жилых домов"</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106 827,0</w:t>
            </w:r>
          </w:p>
        </w:tc>
        <w:tc>
          <w:tcPr>
            <w:tcW w:w="1134" w:type="dxa"/>
          </w:tcPr>
          <w:p>
            <w:pPr>
              <w:pStyle w:val="0"/>
              <w:jc w:val="center"/>
            </w:pPr>
            <w:r>
              <w:rPr>
                <w:sz w:val="20"/>
              </w:rPr>
              <w:t xml:space="preserve">40 300,4</w:t>
            </w:r>
          </w:p>
        </w:tc>
        <w:tc>
          <w:tcPr>
            <w:tcW w:w="1134" w:type="dxa"/>
          </w:tcPr>
          <w:p>
            <w:pPr>
              <w:pStyle w:val="0"/>
              <w:jc w:val="center"/>
            </w:pPr>
            <w:r>
              <w:rPr>
                <w:sz w:val="20"/>
              </w:rPr>
              <w:t xml:space="preserve">67 108,1</w:t>
            </w:r>
          </w:p>
        </w:tc>
        <w:tc>
          <w:tcPr>
            <w:tcW w:w="1304" w:type="dxa"/>
          </w:tcPr>
          <w:p>
            <w:pPr>
              <w:pStyle w:val="0"/>
              <w:jc w:val="center"/>
            </w:pPr>
            <w:r>
              <w:rPr>
                <w:sz w:val="20"/>
              </w:rPr>
              <w:t xml:space="preserve">83 213,6</w:t>
            </w:r>
          </w:p>
        </w:tc>
        <w:tc>
          <w:tcPr>
            <w:tcW w:w="1304" w:type="dxa"/>
          </w:tcPr>
          <w:p>
            <w:pPr>
              <w:pStyle w:val="0"/>
              <w:jc w:val="center"/>
            </w:pPr>
            <w:r>
              <w:rPr>
                <w:sz w:val="20"/>
              </w:rPr>
              <w:t xml:space="preserve">152 257,7</w:t>
            </w:r>
          </w:p>
        </w:tc>
        <w:tc>
          <w:tcPr>
            <w:tcW w:w="1304" w:type="dxa"/>
          </w:tcPr>
          <w:p>
            <w:pPr>
              <w:pStyle w:val="0"/>
              <w:jc w:val="center"/>
            </w:pPr>
            <w:r>
              <w:rPr>
                <w:sz w:val="20"/>
              </w:rPr>
              <w:t xml:space="preserve">152 257,7</w:t>
            </w:r>
          </w:p>
        </w:tc>
        <w:tc>
          <w:tcPr>
            <w:tcW w:w="1304" w:type="dxa"/>
          </w:tcPr>
          <w:p>
            <w:pPr>
              <w:pStyle w:val="0"/>
              <w:jc w:val="center"/>
            </w:pPr>
            <w:r>
              <w:rPr>
                <w:sz w:val="20"/>
              </w:rPr>
              <w:t xml:space="preserve">152 257,7</w:t>
            </w:r>
          </w:p>
        </w:tc>
        <w:tc>
          <w:tcPr>
            <w:tcW w:w="1247" w:type="dxa"/>
            <w:vMerge w:val="restart"/>
          </w:tcPr>
          <w:p>
            <w:pPr>
              <w:pStyle w:val="0"/>
            </w:pPr>
            <w:r>
              <w:rPr>
                <w:sz w:val="20"/>
              </w:rPr>
            </w:r>
          </w:p>
        </w:tc>
        <w:tc>
          <w:tcPr>
            <w:tcW w:w="2268" w:type="dxa"/>
            <w:vMerge w:val="restart"/>
          </w:tcPr>
          <w:p>
            <w:pPr>
              <w:pStyle w:val="0"/>
            </w:pPr>
            <w:r>
              <w:rPr>
                <w:sz w:val="20"/>
              </w:rPr>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5 411,9</w:t>
            </w:r>
          </w:p>
        </w:tc>
        <w:tc>
          <w:tcPr>
            <w:tcW w:w="1134" w:type="dxa"/>
          </w:tcPr>
          <w:p>
            <w:pPr>
              <w:pStyle w:val="0"/>
              <w:jc w:val="center"/>
            </w:pPr>
            <w:r>
              <w:rPr>
                <w:sz w:val="20"/>
              </w:rPr>
              <w:t xml:space="preserve">1 910,5</w:t>
            </w:r>
          </w:p>
        </w:tc>
        <w:tc>
          <w:tcPr>
            <w:tcW w:w="1134" w:type="dxa"/>
          </w:tcPr>
          <w:p>
            <w:pPr>
              <w:pStyle w:val="0"/>
              <w:jc w:val="center"/>
            </w:pPr>
            <w:r>
              <w:rPr>
                <w:sz w:val="20"/>
              </w:rPr>
              <w:t xml:space="preserve">3 321,5</w:t>
            </w:r>
          </w:p>
        </w:tc>
        <w:tc>
          <w:tcPr>
            <w:tcW w:w="1304" w:type="dxa"/>
          </w:tcPr>
          <w:p>
            <w:pPr>
              <w:pStyle w:val="0"/>
              <w:jc w:val="center"/>
            </w:pPr>
            <w:r>
              <w:rPr>
                <w:sz w:val="20"/>
              </w:rPr>
              <w:t xml:space="preserve">4 169,1</w:t>
            </w:r>
          </w:p>
        </w:tc>
        <w:tc>
          <w:tcPr>
            <w:tcW w:w="1304" w:type="dxa"/>
          </w:tcPr>
          <w:p>
            <w:pPr>
              <w:pStyle w:val="0"/>
              <w:jc w:val="center"/>
            </w:pPr>
            <w:r>
              <w:rPr>
                <w:sz w:val="20"/>
              </w:rPr>
              <w:t xml:space="preserve">7 771,5</w:t>
            </w:r>
          </w:p>
        </w:tc>
        <w:tc>
          <w:tcPr>
            <w:tcW w:w="1304" w:type="dxa"/>
          </w:tcPr>
          <w:p>
            <w:pPr>
              <w:pStyle w:val="0"/>
              <w:jc w:val="center"/>
            </w:pPr>
            <w:r>
              <w:rPr>
                <w:sz w:val="20"/>
              </w:rPr>
              <w:t xml:space="preserve">7 771,5</w:t>
            </w:r>
          </w:p>
        </w:tc>
        <w:tc>
          <w:tcPr>
            <w:tcW w:w="1304" w:type="dxa"/>
          </w:tcPr>
          <w:p>
            <w:pPr>
              <w:pStyle w:val="0"/>
              <w:jc w:val="center"/>
            </w:pPr>
            <w:r>
              <w:rPr>
                <w:sz w:val="20"/>
              </w:rPr>
              <w:t xml:space="preserve">7 771,5</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8823" w:type="dxa"/>
          </w:tcPr>
          <w:p>
            <w:pPr>
              <w:pStyle w:val="0"/>
              <w:outlineLvl w:val="4"/>
              <w:jc w:val="center"/>
            </w:pPr>
            <w:r>
              <w:rPr>
                <w:sz w:val="20"/>
              </w:rPr>
              <w:t xml:space="preserve">1.3. Задача 3 государственной программы. Улучшение жилищных условий различных категорий граждан и создание условий для развития ипотечного кредитования</w:t>
            </w:r>
          </w:p>
        </w:tc>
      </w:tr>
      <w:tr>
        <w:tc>
          <w:tcPr>
            <w:gridSpan w:val="15"/>
            <w:tcW w:w="18823" w:type="dxa"/>
          </w:tcPr>
          <w:p>
            <w:pPr>
              <w:pStyle w:val="0"/>
              <w:outlineLvl w:val="5"/>
              <w:jc w:val="center"/>
            </w:pPr>
            <w:r>
              <w:rPr>
                <w:sz w:val="20"/>
              </w:rPr>
              <w:t xml:space="preserve">1.3.1. Подпрограмма государственной программы "Государственная поддержка граждан при приобретении (строительстве) жилья и стимулирование развития ипотечного кредитования"</w:t>
            </w:r>
          </w:p>
        </w:tc>
      </w:tr>
      <w:tr>
        <w:tc>
          <w:tcPr>
            <w:gridSpan w:val="15"/>
            <w:tcW w:w="18823" w:type="dxa"/>
          </w:tcPr>
          <w:p>
            <w:pPr>
              <w:pStyle w:val="0"/>
              <w:outlineLvl w:val="6"/>
              <w:jc w:val="center"/>
            </w:pPr>
            <w:r>
              <w:rPr>
                <w:sz w:val="20"/>
              </w:rPr>
              <w:t xml:space="preserve">1.3.1.1. Цель подпрограммы государственной программы: содействие в улучшении жилищных условий экономически активного населения</w:t>
            </w:r>
          </w:p>
        </w:tc>
      </w:tr>
      <w:tr>
        <w:tc>
          <w:tcPr>
            <w:gridSpan w:val="15"/>
            <w:tcW w:w="18823" w:type="dxa"/>
          </w:tcPr>
          <w:p>
            <w:pPr>
              <w:pStyle w:val="0"/>
              <w:outlineLvl w:val="7"/>
              <w:jc w:val="center"/>
            </w:pPr>
            <w:r>
              <w:rPr>
                <w:sz w:val="20"/>
              </w:rPr>
              <w:t xml:space="preserve">1.3.1.1.1. Задача 1 подпрограммы государственной программы: поддержка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tc>
      </w:tr>
      <w:tr>
        <w:tc>
          <w:tcPr>
            <w:tcW w:w="2721" w:type="dxa"/>
            <w:vMerge w:val="restart"/>
          </w:tcPr>
          <w:p>
            <w:pPr>
              <w:pStyle w:val="0"/>
            </w:pPr>
            <w:r>
              <w:rPr>
                <w:sz w:val="20"/>
              </w:rPr>
              <w:t xml:space="preserve">1.3.1.1.1.1. Государственная поддержка отдельных категорий граждан на оплату жилых помещений</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3</w:t>
            </w:r>
          </w:p>
        </w:tc>
        <w:tc>
          <w:tcPr>
            <w:tcW w:w="567" w:type="dxa"/>
          </w:tcPr>
          <w:p>
            <w:pPr>
              <w:pStyle w:val="0"/>
            </w:pPr>
            <w:r>
              <w:rPr>
                <w:sz w:val="20"/>
              </w:rPr>
            </w:r>
          </w:p>
        </w:tc>
        <w:tc>
          <w:tcPr>
            <w:tcW w:w="1134" w:type="dxa"/>
          </w:tcPr>
          <w:p>
            <w:pPr>
              <w:pStyle w:val="0"/>
              <w:jc w:val="center"/>
            </w:pPr>
            <w:r>
              <w:rPr>
                <w:sz w:val="20"/>
              </w:rPr>
              <w:t xml:space="preserve">1 554,1</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5 000,0</w:t>
            </w:r>
          </w:p>
        </w:tc>
        <w:tc>
          <w:tcPr>
            <w:tcW w:w="1304" w:type="dxa"/>
          </w:tcPr>
          <w:p>
            <w:pPr>
              <w:pStyle w:val="0"/>
              <w:jc w:val="center"/>
            </w:pPr>
            <w:r>
              <w:rPr>
                <w:sz w:val="20"/>
              </w:rPr>
              <w:t xml:space="preserve">5 825,0</w:t>
            </w:r>
          </w:p>
        </w:tc>
        <w:tc>
          <w:tcPr>
            <w:tcW w:w="1304" w:type="dxa"/>
          </w:tcPr>
          <w:p>
            <w:pPr>
              <w:pStyle w:val="0"/>
              <w:jc w:val="center"/>
            </w:pPr>
            <w:r>
              <w:rPr>
                <w:sz w:val="20"/>
              </w:rPr>
              <w:t xml:space="preserve">5 825,0</w:t>
            </w:r>
          </w:p>
        </w:tc>
        <w:tc>
          <w:tcPr>
            <w:tcW w:w="1304" w:type="dxa"/>
          </w:tcPr>
          <w:p>
            <w:pPr>
              <w:pStyle w:val="0"/>
              <w:jc w:val="center"/>
            </w:pPr>
            <w:r>
              <w:rPr>
                <w:sz w:val="20"/>
              </w:rPr>
              <w:t xml:space="preserve">5 825,0</w:t>
            </w:r>
          </w:p>
        </w:tc>
        <w:tc>
          <w:tcPr>
            <w:tcW w:w="1247" w:type="dxa"/>
            <w:vMerge w:val="restart"/>
          </w:tcPr>
          <w:p>
            <w:pPr>
              <w:pStyle w:val="0"/>
              <w:jc w:val="center"/>
            </w:pPr>
            <w:r>
              <w:rPr>
                <w:sz w:val="20"/>
              </w:rPr>
              <w:t xml:space="preserve">Минстрой НСО</w:t>
            </w:r>
          </w:p>
        </w:tc>
        <w:tc>
          <w:tcPr>
            <w:tcW w:w="2268" w:type="dxa"/>
            <w:vMerge w:val="restart"/>
          </w:tcPr>
          <w:p>
            <w:pPr>
              <w:pStyle w:val="0"/>
            </w:pPr>
            <w:r>
              <w:rPr>
                <w:sz w:val="20"/>
              </w:rPr>
              <w:t xml:space="preserve">Обеспечение жильем отдельных категорий граждан</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1.3.1.1.1.2. Государственная поддержка граждан при строительстве индивидуальных жилых домов</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3</w:t>
            </w:r>
          </w:p>
        </w:tc>
        <w:tc>
          <w:tcPr>
            <w:tcW w:w="567" w:type="dxa"/>
          </w:tcPr>
          <w:p>
            <w:pPr>
              <w:pStyle w:val="0"/>
              <w:jc w:val="center"/>
            </w:pPr>
            <w:r>
              <w:rPr>
                <w:sz w:val="20"/>
              </w:rPr>
              <w:t xml:space="preserve">05</w:t>
            </w:r>
          </w:p>
        </w:tc>
        <w:tc>
          <w:tcPr>
            <w:tcW w:w="1134" w:type="dxa"/>
          </w:tcPr>
          <w:p>
            <w:pPr>
              <w:pStyle w:val="0"/>
              <w:jc w:val="center"/>
            </w:pPr>
            <w:r>
              <w:rPr>
                <w:sz w:val="20"/>
              </w:rPr>
              <w:t xml:space="preserve">2 900,0</w:t>
            </w:r>
          </w:p>
        </w:tc>
        <w:tc>
          <w:tcPr>
            <w:tcW w:w="1134" w:type="dxa"/>
          </w:tcPr>
          <w:p>
            <w:pPr>
              <w:pStyle w:val="0"/>
              <w:jc w:val="center"/>
            </w:pPr>
            <w:r>
              <w:rPr>
                <w:sz w:val="20"/>
              </w:rPr>
              <w:t xml:space="preserve">200,0</w:t>
            </w:r>
          </w:p>
        </w:tc>
        <w:tc>
          <w:tcPr>
            <w:tcW w:w="1134" w:type="dxa"/>
          </w:tcPr>
          <w:p>
            <w:pPr>
              <w:pStyle w:val="0"/>
              <w:jc w:val="center"/>
            </w:pPr>
            <w:r>
              <w:rPr>
                <w:sz w:val="20"/>
              </w:rPr>
              <w:t xml:space="preserve">100,0</w:t>
            </w:r>
          </w:p>
        </w:tc>
        <w:tc>
          <w:tcPr>
            <w:tcW w:w="1304" w:type="dxa"/>
          </w:tcPr>
          <w:p>
            <w:pPr>
              <w:pStyle w:val="0"/>
              <w:jc w:val="center"/>
            </w:pPr>
            <w:r>
              <w:rPr>
                <w:sz w:val="20"/>
              </w:rPr>
              <w:t xml:space="preserve">100,0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247" w:type="dxa"/>
            <w:vMerge w:val="restart"/>
          </w:tcPr>
          <w:p>
            <w:pPr>
              <w:pStyle w:val="0"/>
              <w:jc w:val="center"/>
            </w:pPr>
            <w:r>
              <w:rPr>
                <w:sz w:val="20"/>
              </w:rPr>
              <w:t xml:space="preserve">Минстрой НСО</w:t>
            </w:r>
          </w:p>
        </w:tc>
        <w:tc>
          <w:tcPr>
            <w:tcW w:w="2268" w:type="dxa"/>
            <w:vMerge w:val="restart"/>
          </w:tcPr>
          <w:p>
            <w:pPr>
              <w:pStyle w:val="0"/>
            </w:pPr>
            <w:r>
              <w:rPr>
                <w:sz w:val="20"/>
              </w:rPr>
              <w:t xml:space="preserve">Компенсация расходов застройщикам по факту завершения строительства индивидуальных жилых домов</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8823" w:type="dxa"/>
          </w:tcPr>
          <w:p>
            <w:pPr>
              <w:pStyle w:val="0"/>
              <w:outlineLvl w:val="7"/>
              <w:jc w:val="center"/>
            </w:pPr>
            <w:r>
              <w:rPr>
                <w:sz w:val="20"/>
              </w:rPr>
              <w:t xml:space="preserve">1.3.1.1.2. Задача 2 подпрограммы государственной программы: стимулирование развития ипотечного кредитования</w:t>
            </w:r>
          </w:p>
        </w:tc>
      </w:tr>
      <w:tr>
        <w:tc>
          <w:tcPr>
            <w:tcW w:w="2721" w:type="dxa"/>
            <w:vMerge w:val="restart"/>
          </w:tcPr>
          <w:p>
            <w:pPr>
              <w:pStyle w:val="0"/>
            </w:pPr>
            <w:r>
              <w:rPr>
                <w:sz w:val="20"/>
              </w:rPr>
              <w:t xml:space="preserve">1.3.1.1.2.1. Разработка и реализация пилотных проектов в сфере ипотечного кредитования, а также программ, имеющих социальную направленность и призванных удовлетворить потребности в жилье отдельных категорий граждан с применением механизмов ипотечного кредитования</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tcW w:w="8618"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w:t>
            </w:r>
          </w:p>
        </w:tc>
        <w:tc>
          <w:tcPr>
            <w:tcW w:w="1247" w:type="dxa"/>
            <w:vMerge w:val="restart"/>
          </w:tcPr>
          <w:p>
            <w:pPr>
              <w:pStyle w:val="0"/>
              <w:jc w:val="center"/>
            </w:pPr>
            <w:r>
              <w:rPr>
                <w:sz w:val="20"/>
              </w:rPr>
              <w:t xml:space="preserve">АО "НОАИК"</w:t>
            </w:r>
          </w:p>
        </w:tc>
        <w:tc>
          <w:tcPr>
            <w:tcW w:w="2268" w:type="dxa"/>
            <w:vMerge w:val="restart"/>
          </w:tcPr>
          <w:p>
            <w:pPr>
              <w:pStyle w:val="0"/>
            </w:pPr>
            <w:r>
              <w:rPr>
                <w:sz w:val="20"/>
              </w:rPr>
              <w:t xml:space="preserve">Увеличение количества ипотечных кредитов, выдаваемых на территории Новосибирской области</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tcW w:w="2721" w:type="dxa"/>
            <w:vMerge w:val="restart"/>
          </w:tcPr>
          <w:p>
            <w:pPr>
              <w:pStyle w:val="0"/>
            </w:pPr>
            <w:r>
              <w:rPr>
                <w:sz w:val="20"/>
              </w:rPr>
              <w:t xml:space="preserve">1.3.1.1.2.2. Региональный проект "Ипотека"</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3</w:t>
            </w:r>
          </w:p>
        </w:tc>
        <w:tc>
          <w:tcPr>
            <w:tcW w:w="567" w:type="dxa"/>
          </w:tcPr>
          <w:p>
            <w:pPr>
              <w:pStyle w:val="0"/>
              <w:jc w:val="center"/>
            </w:pPr>
            <w:r>
              <w:rPr>
                <w:sz w:val="20"/>
              </w:rPr>
              <w:t xml:space="preserve">F4</w:t>
            </w:r>
          </w:p>
        </w:tc>
        <w:tc>
          <w:tcPr>
            <w:tcW w:w="1134" w:type="dxa"/>
          </w:tcPr>
          <w:p>
            <w:pPr>
              <w:pStyle w:val="0"/>
              <w:jc w:val="center"/>
            </w:pPr>
            <w:r>
              <w:rPr>
                <w:sz w:val="20"/>
              </w:rPr>
              <w:t xml:space="preserve">4 793,3</w:t>
            </w:r>
          </w:p>
        </w:tc>
        <w:tc>
          <w:tcPr>
            <w:tcW w:w="1134" w:type="dxa"/>
          </w:tcPr>
          <w:p>
            <w:pPr>
              <w:pStyle w:val="0"/>
              <w:jc w:val="center"/>
            </w:pPr>
            <w:r>
              <w:rPr>
                <w:sz w:val="20"/>
              </w:rPr>
              <w:t xml:space="preserve">3 050,8</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247" w:type="dxa"/>
            <w:vMerge w:val="restart"/>
          </w:tcPr>
          <w:p>
            <w:pPr>
              <w:pStyle w:val="0"/>
              <w:jc w:val="center"/>
            </w:pPr>
            <w:r>
              <w:rPr>
                <w:sz w:val="20"/>
              </w:rPr>
              <w:t xml:space="preserve">Минстрой НСО</w:t>
            </w:r>
          </w:p>
        </w:tc>
        <w:tc>
          <w:tcPr>
            <w:tcW w:w="2268" w:type="dxa"/>
            <w:vMerge w:val="restart"/>
          </w:tcPr>
          <w:p>
            <w:pPr>
              <w:pStyle w:val="0"/>
            </w:pPr>
            <w:r>
              <w:rPr>
                <w:sz w:val="20"/>
              </w:rPr>
              <w:t xml:space="preserve">Создание условий для получения гражданами ипотечных кредитов (займов), выданных с льготной процентной ставкой, в целях повышения доступности жилья</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1.3.1.1.2.3. Государственная поддержка работников бюджетной сферы на оплату первоначального взноса по ипотечным жилищным кредитам (займам)</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3</w:t>
            </w:r>
          </w:p>
        </w:tc>
        <w:tc>
          <w:tcPr>
            <w:tcW w:w="567" w:type="dxa"/>
          </w:tcPr>
          <w:p>
            <w:pPr>
              <w:pStyle w:val="0"/>
              <w:jc w:val="center"/>
            </w:pPr>
            <w:r>
              <w:rPr>
                <w:sz w:val="20"/>
              </w:rPr>
              <w:t xml:space="preserve">03</w:t>
            </w:r>
          </w:p>
        </w:tc>
        <w:tc>
          <w:tcPr>
            <w:tcW w:w="1134" w:type="dxa"/>
          </w:tcPr>
          <w:p>
            <w:pPr>
              <w:pStyle w:val="0"/>
              <w:jc w:val="center"/>
            </w:pPr>
            <w:r>
              <w:rPr>
                <w:sz w:val="20"/>
              </w:rPr>
              <w:t xml:space="preserve">3 445,9</w:t>
            </w:r>
          </w:p>
        </w:tc>
        <w:tc>
          <w:tcPr>
            <w:tcW w:w="1134" w:type="dxa"/>
          </w:tcPr>
          <w:p>
            <w:pPr>
              <w:pStyle w:val="0"/>
              <w:jc w:val="center"/>
            </w:pPr>
            <w:r>
              <w:rPr>
                <w:sz w:val="20"/>
              </w:rPr>
              <w:t xml:space="preserve">1 000,0</w:t>
            </w:r>
          </w:p>
        </w:tc>
        <w:tc>
          <w:tcPr>
            <w:tcW w:w="1134" w:type="dxa"/>
          </w:tcPr>
          <w:p>
            <w:pPr>
              <w:pStyle w:val="0"/>
              <w:jc w:val="center"/>
            </w:pPr>
            <w:r>
              <w:rPr>
                <w:sz w:val="20"/>
              </w:rPr>
              <w:t xml:space="preserve">900,0</w:t>
            </w:r>
          </w:p>
        </w:tc>
        <w:tc>
          <w:tcPr>
            <w:tcW w:w="1304" w:type="dxa"/>
          </w:tcPr>
          <w:p>
            <w:pPr>
              <w:pStyle w:val="0"/>
              <w:jc w:val="center"/>
            </w:pPr>
            <w:r>
              <w:rPr>
                <w:sz w:val="20"/>
              </w:rPr>
              <w:t xml:space="preserve">900,0</w:t>
            </w:r>
          </w:p>
        </w:tc>
        <w:tc>
          <w:tcPr>
            <w:tcW w:w="1304" w:type="dxa"/>
          </w:tcPr>
          <w:p>
            <w:pPr>
              <w:pStyle w:val="0"/>
              <w:jc w:val="center"/>
            </w:pPr>
            <w:r>
              <w:rPr>
                <w:sz w:val="20"/>
              </w:rPr>
              <w:t xml:space="preserve">928,5</w:t>
            </w:r>
          </w:p>
        </w:tc>
        <w:tc>
          <w:tcPr>
            <w:tcW w:w="1304" w:type="dxa"/>
          </w:tcPr>
          <w:p>
            <w:pPr>
              <w:pStyle w:val="0"/>
              <w:jc w:val="center"/>
            </w:pPr>
            <w:r>
              <w:rPr>
                <w:sz w:val="20"/>
              </w:rPr>
              <w:t xml:space="preserve">928,5</w:t>
            </w:r>
          </w:p>
        </w:tc>
        <w:tc>
          <w:tcPr>
            <w:tcW w:w="1304" w:type="dxa"/>
          </w:tcPr>
          <w:p>
            <w:pPr>
              <w:pStyle w:val="0"/>
              <w:jc w:val="center"/>
            </w:pPr>
            <w:r>
              <w:rPr>
                <w:sz w:val="20"/>
              </w:rPr>
              <w:t xml:space="preserve">928,5</w:t>
            </w:r>
          </w:p>
        </w:tc>
        <w:tc>
          <w:tcPr>
            <w:tcW w:w="1247" w:type="dxa"/>
            <w:vMerge w:val="restart"/>
          </w:tcPr>
          <w:p>
            <w:pPr>
              <w:pStyle w:val="0"/>
              <w:jc w:val="center"/>
            </w:pPr>
            <w:r>
              <w:rPr>
                <w:sz w:val="20"/>
              </w:rPr>
              <w:t xml:space="preserve">Минстрой НСО</w:t>
            </w:r>
          </w:p>
        </w:tc>
        <w:tc>
          <w:tcPr>
            <w:tcW w:w="2268" w:type="dxa"/>
            <w:vMerge w:val="restart"/>
          </w:tcPr>
          <w:p>
            <w:pPr>
              <w:pStyle w:val="0"/>
            </w:pPr>
            <w:r>
              <w:rPr>
                <w:sz w:val="20"/>
              </w:rPr>
              <w:t xml:space="preserve">Создание условий для повышения доступности жилья работникам бюджетной сферы</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1.3.1.1.2.4. Государственная поддержка отдельных категорий граждан для компенсации части расходов по оплате процентов по оформленному ипотечному жилищному кредиту (займу)</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3</w:t>
            </w:r>
          </w:p>
        </w:tc>
        <w:tc>
          <w:tcPr>
            <w:tcW w:w="567" w:type="dxa"/>
          </w:tcPr>
          <w:p>
            <w:pPr>
              <w:pStyle w:val="0"/>
              <w:jc w:val="center"/>
            </w:pPr>
            <w:r>
              <w:rPr>
                <w:sz w:val="20"/>
              </w:rPr>
              <w:t xml:space="preserve">04</w:t>
            </w:r>
          </w:p>
        </w:tc>
        <w:tc>
          <w:tcPr>
            <w:tcW w:w="1134" w:type="dxa"/>
          </w:tcPr>
          <w:p>
            <w:pPr>
              <w:pStyle w:val="0"/>
              <w:jc w:val="center"/>
            </w:pPr>
            <w:r>
              <w:rPr>
                <w:sz w:val="20"/>
              </w:rPr>
              <w:t xml:space="preserve">29,8</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247" w:type="dxa"/>
            <w:vMerge w:val="restart"/>
          </w:tcPr>
          <w:p>
            <w:pPr>
              <w:pStyle w:val="0"/>
              <w:jc w:val="center"/>
            </w:pPr>
            <w:r>
              <w:rPr>
                <w:sz w:val="20"/>
              </w:rPr>
              <w:t xml:space="preserve">Минстрой НСО</w:t>
            </w:r>
          </w:p>
        </w:tc>
        <w:tc>
          <w:tcPr>
            <w:tcW w:w="2268" w:type="dxa"/>
            <w:vMerge w:val="restart"/>
          </w:tcPr>
          <w:p>
            <w:pPr>
              <w:pStyle w:val="0"/>
            </w:pPr>
            <w:r>
              <w:rPr>
                <w:sz w:val="20"/>
              </w:rPr>
              <w:t xml:space="preserve">Оказание господдержки в части компенсации расходов по оплате процентов по оформленному кредиту работникам бюджетной сферы</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Итого по подпрограмме государственной программы "Государственная поддержка граждан при приобретении (строительстве) жилья"</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12 723,1</w:t>
            </w:r>
          </w:p>
        </w:tc>
        <w:tc>
          <w:tcPr>
            <w:tcW w:w="1134" w:type="dxa"/>
          </w:tcPr>
          <w:p>
            <w:pPr>
              <w:pStyle w:val="0"/>
              <w:jc w:val="center"/>
            </w:pPr>
            <w:r>
              <w:rPr>
                <w:sz w:val="20"/>
              </w:rPr>
              <w:t xml:space="preserve">4 250,8</w:t>
            </w:r>
          </w:p>
        </w:tc>
        <w:tc>
          <w:tcPr>
            <w:tcW w:w="1134" w:type="dxa"/>
          </w:tcPr>
          <w:p>
            <w:pPr>
              <w:pStyle w:val="0"/>
              <w:jc w:val="center"/>
            </w:pPr>
            <w:r>
              <w:rPr>
                <w:sz w:val="20"/>
              </w:rPr>
              <w:t xml:space="preserve">1 000,0</w:t>
            </w:r>
          </w:p>
        </w:tc>
        <w:tc>
          <w:tcPr>
            <w:tcW w:w="1304" w:type="dxa"/>
          </w:tcPr>
          <w:p>
            <w:pPr>
              <w:pStyle w:val="0"/>
              <w:jc w:val="center"/>
            </w:pPr>
            <w:r>
              <w:rPr>
                <w:sz w:val="20"/>
              </w:rPr>
              <w:t xml:space="preserve">6 000,0</w:t>
            </w:r>
          </w:p>
        </w:tc>
        <w:tc>
          <w:tcPr>
            <w:tcW w:w="1304" w:type="dxa"/>
          </w:tcPr>
          <w:p>
            <w:pPr>
              <w:pStyle w:val="0"/>
              <w:jc w:val="center"/>
            </w:pPr>
            <w:r>
              <w:rPr>
                <w:sz w:val="20"/>
              </w:rPr>
              <w:t xml:space="preserve">6 753,5</w:t>
            </w:r>
          </w:p>
        </w:tc>
        <w:tc>
          <w:tcPr>
            <w:tcW w:w="1304" w:type="dxa"/>
          </w:tcPr>
          <w:p>
            <w:pPr>
              <w:pStyle w:val="0"/>
              <w:jc w:val="center"/>
            </w:pPr>
            <w:r>
              <w:rPr>
                <w:sz w:val="20"/>
              </w:rPr>
              <w:t xml:space="preserve">6 753,5</w:t>
            </w:r>
          </w:p>
        </w:tc>
        <w:tc>
          <w:tcPr>
            <w:tcW w:w="1304" w:type="dxa"/>
          </w:tcPr>
          <w:p>
            <w:pPr>
              <w:pStyle w:val="0"/>
              <w:jc w:val="center"/>
            </w:pPr>
            <w:r>
              <w:rPr>
                <w:sz w:val="20"/>
              </w:rPr>
              <w:t xml:space="preserve">6 753,5</w:t>
            </w:r>
          </w:p>
        </w:tc>
        <w:tc>
          <w:tcPr>
            <w:tcW w:w="1247" w:type="dxa"/>
            <w:vMerge w:val="restart"/>
          </w:tcPr>
          <w:p>
            <w:pPr>
              <w:pStyle w:val="0"/>
            </w:pPr>
            <w:r>
              <w:rPr>
                <w:sz w:val="20"/>
              </w:rPr>
            </w:r>
          </w:p>
        </w:tc>
        <w:tc>
          <w:tcPr>
            <w:tcW w:w="2268" w:type="dxa"/>
            <w:vMerge w:val="restart"/>
          </w:tcPr>
          <w:p>
            <w:pPr>
              <w:pStyle w:val="0"/>
            </w:pPr>
            <w:r>
              <w:rPr>
                <w:sz w:val="20"/>
              </w:rPr>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8823" w:type="dxa"/>
          </w:tcPr>
          <w:p>
            <w:pPr>
              <w:pStyle w:val="0"/>
              <w:outlineLvl w:val="5"/>
              <w:jc w:val="center"/>
            </w:pPr>
            <w:r>
              <w:rPr>
                <w:sz w:val="20"/>
              </w:rPr>
              <w:t xml:space="preserve">1.3.2. Подпрограмма государственной 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w:t>
            </w:r>
          </w:p>
        </w:tc>
      </w:tr>
      <w:tr>
        <w:tc>
          <w:tcPr>
            <w:gridSpan w:val="15"/>
            <w:tcW w:w="18823" w:type="dxa"/>
          </w:tcPr>
          <w:p>
            <w:pPr>
              <w:pStyle w:val="0"/>
              <w:outlineLvl w:val="6"/>
              <w:jc w:val="center"/>
            </w:pPr>
            <w:r>
              <w:rPr>
                <w:sz w:val="20"/>
              </w:rPr>
              <w:t xml:space="preserve">1.3.2.1. Цель подпрограммы государственной программы: улучшение жилищных условий многодетных малообеспеченных семей</w:t>
            </w:r>
          </w:p>
        </w:tc>
      </w:tr>
      <w:tr>
        <w:tc>
          <w:tcPr>
            <w:gridSpan w:val="15"/>
            <w:tcW w:w="18823" w:type="dxa"/>
          </w:tcPr>
          <w:p>
            <w:pPr>
              <w:pStyle w:val="0"/>
              <w:outlineLvl w:val="7"/>
              <w:jc w:val="center"/>
            </w:pPr>
            <w:r>
              <w:rPr>
                <w:sz w:val="20"/>
              </w:rPr>
              <w:t xml:space="preserve">1.3.2.1.1. Задача 1 подпрограммы государственной программы: обеспечение многодетных малообеспеченных семей, имеющих 5 и более детей, жилыми помещениями по договорам социального найма</w:t>
            </w:r>
          </w:p>
        </w:tc>
      </w:tr>
      <w:tr>
        <w:tc>
          <w:tcPr>
            <w:tcW w:w="2721" w:type="dxa"/>
            <w:vMerge w:val="restart"/>
          </w:tcPr>
          <w:p>
            <w:pPr>
              <w:pStyle w:val="0"/>
            </w:pPr>
            <w:r>
              <w:rPr>
                <w:sz w:val="20"/>
              </w:rPr>
              <w:t xml:space="preserve">1.3.2.1.1.1. Содействие муниципальным районам и городским округам Новосибирской области в обеспечении жилыми помещениями многодетных малообеспеченных семей по договорам социального найма</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5</w:t>
            </w:r>
          </w:p>
        </w:tc>
        <w:tc>
          <w:tcPr>
            <w:tcW w:w="567" w:type="dxa"/>
          </w:tcPr>
          <w:p>
            <w:pPr>
              <w:pStyle w:val="0"/>
              <w:jc w:val="center"/>
            </w:pPr>
            <w:r>
              <w:rPr>
                <w:sz w:val="20"/>
              </w:rPr>
              <w:t xml:space="preserve">01</w:t>
            </w:r>
          </w:p>
        </w:tc>
        <w:tc>
          <w:tcPr>
            <w:tcW w:w="1134" w:type="dxa"/>
          </w:tcPr>
          <w:p>
            <w:pPr>
              <w:pStyle w:val="0"/>
              <w:jc w:val="center"/>
            </w:pPr>
            <w:r>
              <w:rPr>
                <w:sz w:val="20"/>
              </w:rPr>
              <w:t xml:space="preserve">33 280,0</w:t>
            </w:r>
          </w:p>
        </w:tc>
        <w:tc>
          <w:tcPr>
            <w:tcW w:w="1134" w:type="dxa"/>
          </w:tcPr>
          <w:p>
            <w:pPr>
              <w:pStyle w:val="0"/>
              <w:jc w:val="center"/>
            </w:pPr>
            <w:r>
              <w:rPr>
                <w:sz w:val="20"/>
              </w:rPr>
              <w:t xml:space="preserve">13 660,5</w:t>
            </w:r>
          </w:p>
        </w:tc>
        <w:tc>
          <w:tcPr>
            <w:tcW w:w="1134" w:type="dxa"/>
          </w:tcPr>
          <w:p>
            <w:pPr>
              <w:pStyle w:val="0"/>
              <w:jc w:val="center"/>
            </w:pPr>
            <w:r>
              <w:rPr>
                <w:sz w:val="20"/>
              </w:rPr>
              <w:t xml:space="preserve">30 000,0</w:t>
            </w:r>
          </w:p>
        </w:tc>
        <w:tc>
          <w:tcPr>
            <w:tcW w:w="1304" w:type="dxa"/>
          </w:tcPr>
          <w:p>
            <w:pPr>
              <w:pStyle w:val="0"/>
              <w:jc w:val="center"/>
            </w:pPr>
            <w:r>
              <w:rPr>
                <w:sz w:val="20"/>
              </w:rPr>
              <w:t xml:space="preserve">75 000,0</w:t>
            </w:r>
          </w:p>
        </w:tc>
        <w:tc>
          <w:tcPr>
            <w:tcW w:w="1304" w:type="dxa"/>
          </w:tcPr>
          <w:p>
            <w:pPr>
              <w:pStyle w:val="0"/>
              <w:jc w:val="center"/>
            </w:pPr>
            <w:r>
              <w:rPr>
                <w:sz w:val="20"/>
              </w:rPr>
              <w:t xml:space="preserve">30 000,0</w:t>
            </w:r>
          </w:p>
        </w:tc>
        <w:tc>
          <w:tcPr>
            <w:tcW w:w="1304" w:type="dxa"/>
          </w:tcPr>
          <w:p>
            <w:pPr>
              <w:pStyle w:val="0"/>
              <w:jc w:val="center"/>
            </w:pPr>
            <w:r>
              <w:rPr>
                <w:sz w:val="20"/>
              </w:rPr>
              <w:t xml:space="preserve">75 000,0</w:t>
            </w:r>
          </w:p>
        </w:tc>
        <w:tc>
          <w:tcPr>
            <w:tcW w:w="1304" w:type="dxa"/>
          </w:tcPr>
          <w:p>
            <w:pPr>
              <w:pStyle w:val="0"/>
              <w:jc w:val="center"/>
            </w:pPr>
            <w:r>
              <w:rPr>
                <w:sz w:val="20"/>
              </w:rPr>
              <w:t xml:space="preserve">75 000,0</w:t>
            </w:r>
          </w:p>
        </w:tc>
        <w:tc>
          <w:tcPr>
            <w:tcW w:w="1247" w:type="dxa"/>
            <w:vMerge w:val="restart"/>
          </w:tcPr>
          <w:p>
            <w:pPr>
              <w:pStyle w:val="0"/>
              <w:jc w:val="center"/>
            </w:pPr>
            <w:r>
              <w:rPr>
                <w:sz w:val="20"/>
              </w:rPr>
              <w:t xml:space="preserve">Минстрой НСО,</w:t>
            </w:r>
          </w:p>
          <w:p>
            <w:pPr>
              <w:pStyle w:val="0"/>
              <w:jc w:val="center"/>
            </w:pPr>
            <w:r>
              <w:rPr>
                <w:sz w:val="20"/>
              </w:rPr>
              <w:t xml:space="preserve">ОМС НСО</w:t>
            </w:r>
          </w:p>
        </w:tc>
        <w:tc>
          <w:tcPr>
            <w:tcW w:w="2268" w:type="dxa"/>
            <w:vMerge w:val="restart"/>
          </w:tcPr>
          <w:p>
            <w:pPr>
              <w:pStyle w:val="0"/>
            </w:pPr>
            <w:r>
              <w:rPr>
                <w:sz w:val="20"/>
              </w:rPr>
              <w:t xml:space="preserve">Обеспечение многодетных малообеспеченных семей жилыми помещениями по договору социального найма</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1 751,6</w:t>
            </w:r>
          </w:p>
        </w:tc>
        <w:tc>
          <w:tcPr>
            <w:tcW w:w="1134" w:type="dxa"/>
          </w:tcPr>
          <w:p>
            <w:pPr>
              <w:pStyle w:val="0"/>
              <w:jc w:val="center"/>
            </w:pPr>
            <w:r>
              <w:rPr>
                <w:sz w:val="20"/>
              </w:rPr>
              <w:t xml:space="preserve">718,9</w:t>
            </w:r>
          </w:p>
        </w:tc>
        <w:tc>
          <w:tcPr>
            <w:tcW w:w="1134" w:type="dxa"/>
          </w:tcPr>
          <w:p>
            <w:pPr>
              <w:pStyle w:val="0"/>
              <w:jc w:val="center"/>
            </w:pPr>
            <w:r>
              <w:rPr>
                <w:sz w:val="20"/>
              </w:rPr>
              <w:t xml:space="preserve">1 578,9</w:t>
            </w:r>
          </w:p>
        </w:tc>
        <w:tc>
          <w:tcPr>
            <w:tcW w:w="1304" w:type="dxa"/>
          </w:tcPr>
          <w:p>
            <w:pPr>
              <w:pStyle w:val="0"/>
              <w:jc w:val="center"/>
            </w:pPr>
            <w:r>
              <w:rPr>
                <w:sz w:val="20"/>
              </w:rPr>
              <w:t xml:space="preserve">3 947,4</w:t>
            </w:r>
          </w:p>
        </w:tc>
        <w:tc>
          <w:tcPr>
            <w:tcW w:w="1304" w:type="dxa"/>
          </w:tcPr>
          <w:p>
            <w:pPr>
              <w:pStyle w:val="0"/>
              <w:jc w:val="center"/>
            </w:pPr>
            <w:r>
              <w:rPr>
                <w:sz w:val="20"/>
              </w:rPr>
              <w:t xml:space="preserve">1 578,9</w:t>
            </w:r>
          </w:p>
        </w:tc>
        <w:tc>
          <w:tcPr>
            <w:tcW w:w="1304" w:type="dxa"/>
          </w:tcPr>
          <w:p>
            <w:pPr>
              <w:pStyle w:val="0"/>
              <w:jc w:val="center"/>
            </w:pPr>
            <w:r>
              <w:rPr>
                <w:sz w:val="20"/>
              </w:rPr>
              <w:t xml:space="preserve">3 947,4</w:t>
            </w:r>
          </w:p>
        </w:tc>
        <w:tc>
          <w:tcPr>
            <w:tcW w:w="1304" w:type="dxa"/>
          </w:tcPr>
          <w:p>
            <w:pPr>
              <w:pStyle w:val="0"/>
              <w:jc w:val="center"/>
            </w:pPr>
            <w:r>
              <w:rPr>
                <w:sz w:val="20"/>
              </w:rPr>
              <w:t xml:space="preserve">3 947,4</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Итого по подпрограмме государственной 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33 280,0</w:t>
            </w:r>
          </w:p>
        </w:tc>
        <w:tc>
          <w:tcPr>
            <w:tcW w:w="1134" w:type="dxa"/>
          </w:tcPr>
          <w:p>
            <w:pPr>
              <w:pStyle w:val="0"/>
              <w:jc w:val="center"/>
            </w:pPr>
            <w:r>
              <w:rPr>
                <w:sz w:val="20"/>
              </w:rPr>
              <w:t xml:space="preserve">13 660,5</w:t>
            </w:r>
          </w:p>
        </w:tc>
        <w:tc>
          <w:tcPr>
            <w:tcW w:w="1134" w:type="dxa"/>
          </w:tcPr>
          <w:p>
            <w:pPr>
              <w:pStyle w:val="0"/>
              <w:jc w:val="center"/>
            </w:pPr>
            <w:r>
              <w:rPr>
                <w:sz w:val="20"/>
              </w:rPr>
              <w:t xml:space="preserve">30 000,0</w:t>
            </w:r>
          </w:p>
        </w:tc>
        <w:tc>
          <w:tcPr>
            <w:tcW w:w="1304" w:type="dxa"/>
          </w:tcPr>
          <w:p>
            <w:pPr>
              <w:pStyle w:val="0"/>
              <w:jc w:val="center"/>
            </w:pPr>
            <w:r>
              <w:rPr>
                <w:sz w:val="20"/>
              </w:rPr>
              <w:t xml:space="preserve">75 000,0</w:t>
            </w:r>
          </w:p>
        </w:tc>
        <w:tc>
          <w:tcPr>
            <w:tcW w:w="1304" w:type="dxa"/>
          </w:tcPr>
          <w:p>
            <w:pPr>
              <w:pStyle w:val="0"/>
              <w:jc w:val="center"/>
            </w:pPr>
            <w:r>
              <w:rPr>
                <w:sz w:val="20"/>
              </w:rPr>
              <w:t xml:space="preserve">30 000,0</w:t>
            </w:r>
          </w:p>
        </w:tc>
        <w:tc>
          <w:tcPr>
            <w:tcW w:w="1304" w:type="dxa"/>
          </w:tcPr>
          <w:p>
            <w:pPr>
              <w:pStyle w:val="0"/>
              <w:jc w:val="center"/>
            </w:pPr>
            <w:r>
              <w:rPr>
                <w:sz w:val="20"/>
              </w:rPr>
              <w:t xml:space="preserve">75 000,0</w:t>
            </w:r>
          </w:p>
        </w:tc>
        <w:tc>
          <w:tcPr>
            <w:tcW w:w="1304" w:type="dxa"/>
          </w:tcPr>
          <w:p>
            <w:pPr>
              <w:pStyle w:val="0"/>
              <w:jc w:val="center"/>
            </w:pPr>
            <w:r>
              <w:rPr>
                <w:sz w:val="20"/>
              </w:rPr>
              <w:t xml:space="preserve">75 000,0</w:t>
            </w:r>
          </w:p>
        </w:tc>
        <w:tc>
          <w:tcPr>
            <w:tcW w:w="1247" w:type="dxa"/>
            <w:vMerge w:val="restart"/>
          </w:tcPr>
          <w:p>
            <w:pPr>
              <w:pStyle w:val="0"/>
            </w:pPr>
            <w:r>
              <w:rPr>
                <w:sz w:val="20"/>
              </w:rPr>
            </w:r>
          </w:p>
        </w:tc>
        <w:tc>
          <w:tcPr>
            <w:tcW w:w="2268" w:type="dxa"/>
            <w:vMerge w:val="restart"/>
          </w:tcPr>
          <w:p>
            <w:pPr>
              <w:pStyle w:val="0"/>
            </w:pPr>
            <w:r>
              <w:rPr>
                <w:sz w:val="20"/>
              </w:rPr>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1 751,6</w:t>
            </w:r>
          </w:p>
        </w:tc>
        <w:tc>
          <w:tcPr>
            <w:tcW w:w="1134" w:type="dxa"/>
          </w:tcPr>
          <w:p>
            <w:pPr>
              <w:pStyle w:val="0"/>
              <w:jc w:val="center"/>
            </w:pPr>
            <w:r>
              <w:rPr>
                <w:sz w:val="20"/>
              </w:rPr>
              <w:t xml:space="preserve">718,9</w:t>
            </w:r>
          </w:p>
        </w:tc>
        <w:tc>
          <w:tcPr>
            <w:tcW w:w="1134" w:type="dxa"/>
          </w:tcPr>
          <w:p>
            <w:pPr>
              <w:pStyle w:val="0"/>
              <w:jc w:val="center"/>
            </w:pPr>
            <w:r>
              <w:rPr>
                <w:sz w:val="20"/>
              </w:rPr>
              <w:t xml:space="preserve">1 578,9</w:t>
            </w:r>
          </w:p>
        </w:tc>
        <w:tc>
          <w:tcPr>
            <w:tcW w:w="1304" w:type="dxa"/>
          </w:tcPr>
          <w:p>
            <w:pPr>
              <w:pStyle w:val="0"/>
              <w:jc w:val="center"/>
            </w:pPr>
            <w:r>
              <w:rPr>
                <w:sz w:val="20"/>
              </w:rPr>
              <w:t xml:space="preserve">3 947,4</w:t>
            </w:r>
          </w:p>
        </w:tc>
        <w:tc>
          <w:tcPr>
            <w:tcW w:w="1304" w:type="dxa"/>
          </w:tcPr>
          <w:p>
            <w:pPr>
              <w:pStyle w:val="0"/>
              <w:jc w:val="center"/>
            </w:pPr>
            <w:r>
              <w:rPr>
                <w:sz w:val="20"/>
              </w:rPr>
              <w:t xml:space="preserve">1 578,9</w:t>
            </w:r>
          </w:p>
        </w:tc>
        <w:tc>
          <w:tcPr>
            <w:tcW w:w="1304" w:type="dxa"/>
          </w:tcPr>
          <w:p>
            <w:pPr>
              <w:pStyle w:val="0"/>
              <w:jc w:val="center"/>
            </w:pPr>
            <w:r>
              <w:rPr>
                <w:sz w:val="20"/>
              </w:rPr>
              <w:t xml:space="preserve">3 947,4</w:t>
            </w:r>
          </w:p>
        </w:tc>
        <w:tc>
          <w:tcPr>
            <w:tcW w:w="1304" w:type="dxa"/>
          </w:tcPr>
          <w:p>
            <w:pPr>
              <w:pStyle w:val="0"/>
              <w:jc w:val="center"/>
            </w:pPr>
            <w:r>
              <w:rPr>
                <w:sz w:val="20"/>
              </w:rPr>
              <w:t xml:space="preserve">3 947,4</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8823" w:type="dxa"/>
          </w:tcPr>
          <w:p>
            <w:pPr>
              <w:pStyle w:val="0"/>
              <w:outlineLvl w:val="5"/>
              <w:jc w:val="center"/>
            </w:pPr>
            <w:r>
              <w:rPr>
                <w:sz w:val="20"/>
              </w:rPr>
              <w:t xml:space="preserve">1.3.3. Подпрограмма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r>
      <w:tr>
        <w:tc>
          <w:tcPr>
            <w:gridSpan w:val="15"/>
            <w:tcW w:w="18823" w:type="dxa"/>
          </w:tcPr>
          <w:p>
            <w:pPr>
              <w:pStyle w:val="0"/>
              <w:outlineLvl w:val="6"/>
              <w:jc w:val="center"/>
            </w:pPr>
            <w:r>
              <w:rPr>
                <w:sz w:val="20"/>
              </w:rPr>
              <w:t xml:space="preserve">1.3.3.1. Цель подпрограммы государственной программы: закрепление кадров за счет улучшения жилищных условий отдельных категорий граждан, проживающих на территории Новосибирской области</w:t>
            </w:r>
          </w:p>
        </w:tc>
      </w:tr>
      <w:tr>
        <w:tc>
          <w:tcPr>
            <w:gridSpan w:val="15"/>
            <w:tcW w:w="18823" w:type="dxa"/>
          </w:tcPr>
          <w:p>
            <w:pPr>
              <w:pStyle w:val="0"/>
              <w:outlineLvl w:val="7"/>
              <w:jc w:val="center"/>
            </w:pPr>
            <w:r>
              <w:rPr>
                <w:sz w:val="20"/>
              </w:rPr>
              <w:t xml:space="preserve">1.3.3.1.1. Задача 1 подпрограммы государственной программы: обеспечение отдельных категорий граждан, проживающих и работающих на территории Новосибирской области, служебным жильем</w:t>
            </w:r>
          </w:p>
        </w:tc>
      </w:tr>
      <w:tr>
        <w:tc>
          <w:tcPr>
            <w:tcW w:w="2721" w:type="dxa"/>
            <w:vMerge w:val="restart"/>
          </w:tcPr>
          <w:p>
            <w:pPr>
              <w:pStyle w:val="0"/>
            </w:pPr>
            <w:r>
              <w:rPr>
                <w:sz w:val="20"/>
              </w:rPr>
              <w:t xml:space="preserve">1.3.3.1.1.1. Содействие бюджетам муниципальных районов и городских округов Новосибирской области на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4</w:t>
            </w:r>
          </w:p>
        </w:tc>
        <w:tc>
          <w:tcPr>
            <w:tcW w:w="567" w:type="dxa"/>
          </w:tcPr>
          <w:p>
            <w:pPr>
              <w:pStyle w:val="0"/>
              <w:jc w:val="center"/>
            </w:pPr>
            <w:r>
              <w:rPr>
                <w:sz w:val="20"/>
              </w:rPr>
              <w:t xml:space="preserve">01</w:t>
            </w:r>
          </w:p>
        </w:tc>
        <w:tc>
          <w:tcPr>
            <w:tcW w:w="1134" w:type="dxa"/>
          </w:tcPr>
          <w:p>
            <w:pPr>
              <w:pStyle w:val="0"/>
              <w:jc w:val="center"/>
            </w:pPr>
            <w:r>
              <w:rPr>
                <w:sz w:val="20"/>
              </w:rPr>
              <w:t xml:space="preserve">206 608,4</w:t>
            </w:r>
          </w:p>
        </w:tc>
        <w:tc>
          <w:tcPr>
            <w:tcW w:w="1134" w:type="dxa"/>
          </w:tcPr>
          <w:p>
            <w:pPr>
              <w:pStyle w:val="0"/>
              <w:jc w:val="center"/>
            </w:pPr>
            <w:r>
              <w:rPr>
                <w:sz w:val="20"/>
              </w:rPr>
              <w:t xml:space="preserve">2 946,3</w:t>
            </w:r>
          </w:p>
        </w:tc>
        <w:tc>
          <w:tcPr>
            <w:tcW w:w="1134" w:type="dxa"/>
          </w:tcPr>
          <w:p>
            <w:pPr>
              <w:pStyle w:val="0"/>
              <w:jc w:val="center"/>
            </w:pPr>
            <w:r>
              <w:rPr>
                <w:sz w:val="20"/>
              </w:rPr>
              <w:t xml:space="preserve">152 307,6</w:t>
            </w:r>
          </w:p>
        </w:tc>
        <w:tc>
          <w:tcPr>
            <w:tcW w:w="1304" w:type="dxa"/>
          </w:tcPr>
          <w:p>
            <w:pPr>
              <w:pStyle w:val="0"/>
              <w:jc w:val="center"/>
            </w:pPr>
            <w:r>
              <w:rPr>
                <w:sz w:val="20"/>
              </w:rPr>
              <w:t xml:space="preserve">542 330,2</w:t>
            </w:r>
          </w:p>
        </w:tc>
        <w:tc>
          <w:tcPr>
            <w:tcW w:w="1304" w:type="dxa"/>
          </w:tcPr>
          <w:p>
            <w:pPr>
              <w:pStyle w:val="0"/>
              <w:jc w:val="center"/>
            </w:pPr>
            <w:r>
              <w:rPr>
                <w:sz w:val="20"/>
              </w:rPr>
              <w:t xml:space="preserve">891 299,0</w:t>
            </w:r>
          </w:p>
        </w:tc>
        <w:tc>
          <w:tcPr>
            <w:tcW w:w="1304" w:type="dxa"/>
          </w:tcPr>
          <w:p>
            <w:pPr>
              <w:pStyle w:val="0"/>
              <w:jc w:val="center"/>
            </w:pPr>
            <w:r>
              <w:rPr>
                <w:sz w:val="20"/>
              </w:rPr>
              <w:t xml:space="preserve">544 399,9</w:t>
            </w:r>
          </w:p>
        </w:tc>
        <w:tc>
          <w:tcPr>
            <w:tcW w:w="1304" w:type="dxa"/>
          </w:tcPr>
          <w:p>
            <w:pPr>
              <w:pStyle w:val="0"/>
              <w:jc w:val="center"/>
            </w:pPr>
            <w:r>
              <w:rPr>
                <w:sz w:val="20"/>
              </w:rPr>
              <w:t xml:space="preserve">542 330,2</w:t>
            </w:r>
          </w:p>
        </w:tc>
        <w:tc>
          <w:tcPr>
            <w:tcW w:w="1247" w:type="dxa"/>
            <w:vMerge w:val="restart"/>
          </w:tcPr>
          <w:p>
            <w:pPr>
              <w:pStyle w:val="0"/>
              <w:jc w:val="center"/>
            </w:pPr>
            <w:r>
              <w:rPr>
                <w:sz w:val="20"/>
              </w:rPr>
              <w:t xml:space="preserve">Минстрой НСО,</w:t>
            </w:r>
          </w:p>
          <w:p>
            <w:pPr>
              <w:pStyle w:val="0"/>
              <w:jc w:val="center"/>
            </w:pPr>
            <w:r>
              <w:rPr>
                <w:sz w:val="20"/>
              </w:rPr>
              <w:t xml:space="preserve">ОМС НСО</w:t>
            </w:r>
          </w:p>
        </w:tc>
        <w:tc>
          <w:tcPr>
            <w:tcW w:w="2268" w:type="dxa"/>
            <w:vMerge w:val="restart"/>
          </w:tcPr>
          <w:p>
            <w:pPr>
              <w:pStyle w:val="0"/>
            </w:pPr>
            <w:r>
              <w:rPr>
                <w:sz w:val="20"/>
              </w:rPr>
              <w:t xml:space="preserve">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в целях закрепления кадров</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10 874,1</w:t>
            </w:r>
          </w:p>
        </w:tc>
        <w:tc>
          <w:tcPr>
            <w:tcW w:w="1134" w:type="dxa"/>
          </w:tcPr>
          <w:p>
            <w:pPr>
              <w:pStyle w:val="0"/>
              <w:jc w:val="center"/>
            </w:pPr>
            <w:r>
              <w:rPr>
                <w:sz w:val="20"/>
              </w:rPr>
              <w:t xml:space="preserve">32,1</w:t>
            </w:r>
          </w:p>
        </w:tc>
        <w:tc>
          <w:tcPr>
            <w:tcW w:w="1134" w:type="dxa"/>
          </w:tcPr>
          <w:p>
            <w:pPr>
              <w:pStyle w:val="0"/>
              <w:jc w:val="center"/>
            </w:pPr>
            <w:r>
              <w:rPr>
                <w:sz w:val="20"/>
              </w:rPr>
              <w:t xml:space="preserve">8 016,2</w:t>
            </w:r>
          </w:p>
        </w:tc>
        <w:tc>
          <w:tcPr>
            <w:tcW w:w="1304" w:type="dxa"/>
          </w:tcPr>
          <w:p>
            <w:pPr>
              <w:pStyle w:val="0"/>
              <w:jc w:val="center"/>
            </w:pPr>
            <w:r>
              <w:rPr>
                <w:sz w:val="20"/>
              </w:rPr>
              <w:t xml:space="preserve">28 543,7</w:t>
            </w:r>
          </w:p>
        </w:tc>
        <w:tc>
          <w:tcPr>
            <w:tcW w:w="1304" w:type="dxa"/>
          </w:tcPr>
          <w:p>
            <w:pPr>
              <w:pStyle w:val="0"/>
              <w:jc w:val="center"/>
            </w:pPr>
            <w:r>
              <w:rPr>
                <w:sz w:val="20"/>
              </w:rPr>
              <w:t xml:space="preserve">46 910,5</w:t>
            </w:r>
          </w:p>
        </w:tc>
        <w:tc>
          <w:tcPr>
            <w:tcW w:w="1304" w:type="dxa"/>
          </w:tcPr>
          <w:p>
            <w:pPr>
              <w:pStyle w:val="0"/>
              <w:jc w:val="center"/>
            </w:pPr>
            <w:r>
              <w:rPr>
                <w:sz w:val="20"/>
              </w:rPr>
              <w:t xml:space="preserve">28 652,6</w:t>
            </w:r>
          </w:p>
        </w:tc>
        <w:tc>
          <w:tcPr>
            <w:tcW w:w="1304" w:type="dxa"/>
          </w:tcPr>
          <w:p>
            <w:pPr>
              <w:pStyle w:val="0"/>
              <w:jc w:val="center"/>
            </w:pPr>
            <w:r>
              <w:rPr>
                <w:sz w:val="20"/>
              </w:rPr>
              <w:t xml:space="preserve">28 543,7</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1.3.3.1.1.2. Проведение мониторинга в целях определения потребности в служебном жилье</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tcW w:w="8618"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pPr>
              <w:pStyle w:val="0"/>
              <w:jc w:val="center"/>
            </w:pPr>
            <w:r>
              <w:rPr>
                <w:sz w:val="20"/>
              </w:rPr>
              <w:t xml:space="preserve">Минстрой НСО,</w:t>
            </w:r>
          </w:p>
          <w:p>
            <w:pPr>
              <w:pStyle w:val="0"/>
              <w:jc w:val="center"/>
            </w:pPr>
            <w:r>
              <w:rPr>
                <w:sz w:val="20"/>
              </w:rPr>
              <w:t xml:space="preserve">ОМС НСО</w:t>
            </w:r>
          </w:p>
        </w:tc>
        <w:tc>
          <w:tcPr>
            <w:tcW w:w="2268" w:type="dxa"/>
            <w:vMerge w:val="restart"/>
          </w:tcPr>
          <w:p>
            <w:pPr>
              <w:pStyle w:val="0"/>
            </w:pPr>
            <w:r>
              <w:rPr>
                <w:sz w:val="20"/>
              </w:rPr>
              <w:t xml:space="preserve">Ежегодное изучение спроса на служебное жилье на территории Новосибирской области</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tcW w:w="2721" w:type="dxa"/>
            <w:vMerge w:val="restart"/>
          </w:tcPr>
          <w:p>
            <w:pPr>
              <w:pStyle w:val="0"/>
            </w:pPr>
            <w:r>
              <w:rPr>
                <w:sz w:val="20"/>
              </w:rPr>
              <w:t xml:space="preserve">Итого по подпрограмме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4</w:t>
            </w:r>
          </w:p>
        </w:tc>
        <w:tc>
          <w:tcPr>
            <w:tcW w:w="567" w:type="dxa"/>
          </w:tcPr>
          <w:p>
            <w:pPr>
              <w:pStyle w:val="0"/>
              <w:jc w:val="center"/>
            </w:pPr>
            <w:r>
              <w:rPr>
                <w:sz w:val="20"/>
              </w:rPr>
              <w:t xml:space="preserve">01</w:t>
            </w:r>
          </w:p>
        </w:tc>
        <w:tc>
          <w:tcPr>
            <w:tcW w:w="1134" w:type="dxa"/>
          </w:tcPr>
          <w:p>
            <w:pPr>
              <w:pStyle w:val="0"/>
              <w:jc w:val="center"/>
            </w:pPr>
            <w:r>
              <w:rPr>
                <w:sz w:val="20"/>
              </w:rPr>
              <w:t xml:space="preserve">206 608,4</w:t>
            </w:r>
          </w:p>
        </w:tc>
        <w:tc>
          <w:tcPr>
            <w:tcW w:w="1134" w:type="dxa"/>
          </w:tcPr>
          <w:p>
            <w:pPr>
              <w:pStyle w:val="0"/>
              <w:jc w:val="center"/>
            </w:pPr>
            <w:r>
              <w:rPr>
                <w:sz w:val="20"/>
              </w:rPr>
              <w:t xml:space="preserve">2 946,3</w:t>
            </w:r>
          </w:p>
        </w:tc>
        <w:tc>
          <w:tcPr>
            <w:tcW w:w="1134" w:type="dxa"/>
          </w:tcPr>
          <w:p>
            <w:pPr>
              <w:pStyle w:val="0"/>
              <w:jc w:val="center"/>
            </w:pPr>
            <w:r>
              <w:rPr>
                <w:sz w:val="20"/>
              </w:rPr>
              <w:t xml:space="preserve">152 307,6</w:t>
            </w:r>
          </w:p>
        </w:tc>
        <w:tc>
          <w:tcPr>
            <w:tcW w:w="1304" w:type="dxa"/>
          </w:tcPr>
          <w:p>
            <w:pPr>
              <w:pStyle w:val="0"/>
              <w:jc w:val="center"/>
            </w:pPr>
            <w:r>
              <w:rPr>
                <w:sz w:val="20"/>
              </w:rPr>
              <w:t xml:space="preserve">542 330,2</w:t>
            </w:r>
          </w:p>
        </w:tc>
        <w:tc>
          <w:tcPr>
            <w:tcW w:w="1304" w:type="dxa"/>
          </w:tcPr>
          <w:p>
            <w:pPr>
              <w:pStyle w:val="0"/>
              <w:jc w:val="center"/>
            </w:pPr>
            <w:r>
              <w:rPr>
                <w:sz w:val="20"/>
              </w:rPr>
              <w:t xml:space="preserve">891 299,0</w:t>
            </w:r>
          </w:p>
        </w:tc>
        <w:tc>
          <w:tcPr>
            <w:tcW w:w="1304" w:type="dxa"/>
          </w:tcPr>
          <w:p>
            <w:pPr>
              <w:pStyle w:val="0"/>
              <w:jc w:val="center"/>
            </w:pPr>
            <w:r>
              <w:rPr>
                <w:sz w:val="20"/>
              </w:rPr>
              <w:t xml:space="preserve">544 399,9</w:t>
            </w:r>
          </w:p>
        </w:tc>
        <w:tc>
          <w:tcPr>
            <w:tcW w:w="1304" w:type="dxa"/>
          </w:tcPr>
          <w:p>
            <w:pPr>
              <w:pStyle w:val="0"/>
              <w:jc w:val="center"/>
            </w:pPr>
            <w:r>
              <w:rPr>
                <w:sz w:val="20"/>
              </w:rPr>
              <w:t xml:space="preserve">542 330,2</w:t>
            </w:r>
          </w:p>
        </w:tc>
        <w:tc>
          <w:tcPr>
            <w:tcW w:w="1247" w:type="dxa"/>
            <w:vMerge w:val="restart"/>
          </w:tcPr>
          <w:p>
            <w:pPr>
              <w:pStyle w:val="0"/>
            </w:pPr>
            <w:r>
              <w:rPr>
                <w:sz w:val="20"/>
              </w:rPr>
            </w:r>
          </w:p>
        </w:tc>
        <w:tc>
          <w:tcPr>
            <w:tcW w:w="2268" w:type="dxa"/>
            <w:vMerge w:val="restart"/>
          </w:tcPr>
          <w:p>
            <w:pPr>
              <w:pStyle w:val="0"/>
            </w:pPr>
            <w:r>
              <w:rPr>
                <w:sz w:val="20"/>
              </w:rPr>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10 874,1</w:t>
            </w:r>
          </w:p>
        </w:tc>
        <w:tc>
          <w:tcPr>
            <w:tcW w:w="1134" w:type="dxa"/>
          </w:tcPr>
          <w:p>
            <w:pPr>
              <w:pStyle w:val="0"/>
              <w:jc w:val="center"/>
            </w:pPr>
            <w:r>
              <w:rPr>
                <w:sz w:val="20"/>
              </w:rPr>
              <w:t xml:space="preserve">32,1</w:t>
            </w:r>
          </w:p>
        </w:tc>
        <w:tc>
          <w:tcPr>
            <w:tcW w:w="1134" w:type="dxa"/>
          </w:tcPr>
          <w:p>
            <w:pPr>
              <w:pStyle w:val="0"/>
              <w:jc w:val="center"/>
            </w:pPr>
            <w:r>
              <w:rPr>
                <w:sz w:val="20"/>
              </w:rPr>
              <w:t xml:space="preserve">8 016,2</w:t>
            </w:r>
          </w:p>
        </w:tc>
        <w:tc>
          <w:tcPr>
            <w:tcW w:w="1304" w:type="dxa"/>
          </w:tcPr>
          <w:p>
            <w:pPr>
              <w:pStyle w:val="0"/>
              <w:jc w:val="center"/>
            </w:pPr>
            <w:r>
              <w:rPr>
                <w:sz w:val="20"/>
              </w:rPr>
              <w:t xml:space="preserve">28 543,7</w:t>
            </w:r>
          </w:p>
        </w:tc>
        <w:tc>
          <w:tcPr>
            <w:tcW w:w="1304" w:type="dxa"/>
          </w:tcPr>
          <w:p>
            <w:pPr>
              <w:pStyle w:val="0"/>
              <w:jc w:val="center"/>
            </w:pPr>
            <w:r>
              <w:rPr>
                <w:sz w:val="20"/>
              </w:rPr>
              <w:t xml:space="preserve">46 910,5</w:t>
            </w:r>
          </w:p>
        </w:tc>
        <w:tc>
          <w:tcPr>
            <w:tcW w:w="1304" w:type="dxa"/>
          </w:tcPr>
          <w:p>
            <w:pPr>
              <w:pStyle w:val="0"/>
              <w:jc w:val="center"/>
            </w:pPr>
            <w:r>
              <w:rPr>
                <w:sz w:val="20"/>
              </w:rPr>
              <w:t xml:space="preserve">28 652,6</w:t>
            </w:r>
          </w:p>
        </w:tc>
        <w:tc>
          <w:tcPr>
            <w:tcW w:w="1304" w:type="dxa"/>
          </w:tcPr>
          <w:p>
            <w:pPr>
              <w:pStyle w:val="0"/>
              <w:jc w:val="center"/>
            </w:pPr>
            <w:r>
              <w:rPr>
                <w:sz w:val="20"/>
              </w:rPr>
              <w:t xml:space="preserve">28 543,7</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8823" w:type="dxa"/>
          </w:tcPr>
          <w:p>
            <w:pPr>
              <w:pStyle w:val="0"/>
              <w:outlineLvl w:val="5"/>
              <w:jc w:val="center"/>
            </w:pPr>
            <w:r>
              <w:rPr>
                <w:sz w:val="20"/>
              </w:rPr>
              <w:t xml:space="preserve">1.3.4. Подпрограмма государственной программы "Государственная поддержка муниципальных образований Новосибирской области при строительстве специализированного жилищного фонда"</w:t>
            </w:r>
          </w:p>
        </w:tc>
      </w:tr>
      <w:tr>
        <w:tc>
          <w:tcPr>
            <w:gridSpan w:val="15"/>
            <w:tcW w:w="18823" w:type="dxa"/>
          </w:tcPr>
          <w:p>
            <w:pPr>
              <w:pStyle w:val="0"/>
              <w:outlineLvl w:val="6"/>
              <w:jc w:val="center"/>
            </w:pPr>
            <w:r>
              <w:rPr>
                <w:sz w:val="20"/>
              </w:rPr>
              <w:t xml:space="preserve">1.3.4.1. Цель подпрограммы государственной программы: создание специализированного жилищного фонда для предоставления отдельным категориям граждан</w:t>
            </w:r>
          </w:p>
        </w:tc>
      </w:tr>
      <w:tr>
        <w:tc>
          <w:tcPr>
            <w:gridSpan w:val="15"/>
            <w:tcW w:w="18823" w:type="dxa"/>
          </w:tcPr>
          <w:p>
            <w:pPr>
              <w:pStyle w:val="0"/>
              <w:outlineLvl w:val="7"/>
              <w:jc w:val="center"/>
            </w:pPr>
            <w:r>
              <w:rPr>
                <w:sz w:val="20"/>
              </w:rPr>
              <w:t xml:space="preserve">1.3.4.1.1. Задача 1 подпрограммы государственной программы: стимулирование строительства специализированного жилищного фонда для предоставления отдельным категориям граждан</w:t>
            </w:r>
          </w:p>
        </w:tc>
      </w:tr>
      <w:tr>
        <w:tc>
          <w:tcPr>
            <w:tcW w:w="2721" w:type="dxa"/>
            <w:vMerge w:val="restart"/>
          </w:tcPr>
          <w:p>
            <w:pPr>
              <w:pStyle w:val="0"/>
            </w:pPr>
            <w:r>
              <w:rPr>
                <w:sz w:val="20"/>
              </w:rPr>
              <w:t xml:space="preserve">1.3.4.1.1.1 Содействие муниципальным районам и городским округам Новосибирской области в оплате расходов, связанных со строительством специализированного жилищного фонда для предоставления отдельным категориям граждан</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27 761,9</w:t>
            </w:r>
          </w:p>
        </w:tc>
        <w:tc>
          <w:tcPr>
            <w:tcW w:w="1304" w:type="dxa"/>
          </w:tcPr>
          <w:p>
            <w:pPr>
              <w:pStyle w:val="0"/>
              <w:jc w:val="center"/>
            </w:pPr>
            <w:r>
              <w:rPr>
                <w:sz w:val="20"/>
              </w:rPr>
              <w:t xml:space="preserve">149 913,5</w:t>
            </w:r>
          </w:p>
        </w:tc>
        <w:tc>
          <w:tcPr>
            <w:tcW w:w="1304" w:type="dxa"/>
          </w:tcPr>
          <w:p>
            <w:pPr>
              <w:pStyle w:val="0"/>
              <w:jc w:val="center"/>
            </w:pPr>
            <w:r>
              <w:rPr>
                <w:sz w:val="20"/>
              </w:rPr>
              <w:t xml:space="preserve">278 679,5</w:t>
            </w:r>
          </w:p>
        </w:tc>
        <w:tc>
          <w:tcPr>
            <w:tcW w:w="1304" w:type="dxa"/>
          </w:tcPr>
          <w:p>
            <w:pPr>
              <w:pStyle w:val="0"/>
              <w:jc w:val="center"/>
            </w:pPr>
            <w:r>
              <w:rPr>
                <w:sz w:val="20"/>
              </w:rPr>
              <w:t xml:space="preserve">285 075,2</w:t>
            </w:r>
          </w:p>
        </w:tc>
        <w:tc>
          <w:tcPr>
            <w:tcW w:w="1304" w:type="dxa"/>
          </w:tcPr>
          <w:p>
            <w:pPr>
              <w:pStyle w:val="0"/>
              <w:jc w:val="center"/>
            </w:pPr>
            <w:r>
              <w:rPr>
                <w:sz w:val="20"/>
              </w:rPr>
              <w:t xml:space="preserve">264 040,5</w:t>
            </w:r>
          </w:p>
        </w:tc>
        <w:tc>
          <w:tcPr>
            <w:tcW w:w="1247" w:type="dxa"/>
            <w:vMerge w:val="restart"/>
          </w:tcPr>
          <w:p>
            <w:pPr>
              <w:pStyle w:val="0"/>
              <w:jc w:val="center"/>
            </w:pPr>
            <w:r>
              <w:rPr>
                <w:sz w:val="20"/>
              </w:rPr>
              <w:t xml:space="preserve">Минстрой НСО,</w:t>
            </w:r>
          </w:p>
          <w:p>
            <w:pPr>
              <w:pStyle w:val="0"/>
              <w:jc w:val="center"/>
            </w:pPr>
            <w:r>
              <w:rPr>
                <w:sz w:val="20"/>
              </w:rPr>
              <w:t xml:space="preserve">ОМС НСО</w:t>
            </w:r>
          </w:p>
        </w:tc>
        <w:tc>
          <w:tcPr>
            <w:tcW w:w="2268" w:type="dxa"/>
            <w:vMerge w:val="restart"/>
          </w:tcPr>
          <w:p>
            <w:pPr>
              <w:pStyle w:val="0"/>
            </w:pPr>
            <w:r>
              <w:rPr>
                <w:sz w:val="20"/>
              </w:rPr>
              <w:t xml:space="preserve">В рамках реализации государственной программы планируется стимулирование строительства жилых помещений специализированного жилищного фонда для предоставления отдельным категориям граждан</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1 461,2</w:t>
            </w:r>
          </w:p>
        </w:tc>
        <w:tc>
          <w:tcPr>
            <w:tcW w:w="1304" w:type="dxa"/>
          </w:tcPr>
          <w:p>
            <w:pPr>
              <w:pStyle w:val="0"/>
              <w:jc w:val="center"/>
            </w:pPr>
            <w:r>
              <w:rPr>
                <w:sz w:val="20"/>
              </w:rPr>
              <w:t xml:space="preserve">7 890,2</w:t>
            </w:r>
          </w:p>
        </w:tc>
        <w:tc>
          <w:tcPr>
            <w:tcW w:w="1304" w:type="dxa"/>
          </w:tcPr>
          <w:p>
            <w:pPr>
              <w:pStyle w:val="0"/>
              <w:jc w:val="center"/>
            </w:pPr>
            <w:r>
              <w:rPr>
                <w:sz w:val="20"/>
              </w:rPr>
              <w:t xml:space="preserve">14 667,3</w:t>
            </w:r>
          </w:p>
        </w:tc>
        <w:tc>
          <w:tcPr>
            <w:tcW w:w="1304" w:type="dxa"/>
          </w:tcPr>
          <w:p>
            <w:pPr>
              <w:pStyle w:val="0"/>
              <w:jc w:val="center"/>
            </w:pPr>
            <w:r>
              <w:rPr>
                <w:sz w:val="20"/>
              </w:rPr>
              <w:t xml:space="preserve">15 004,0</w:t>
            </w:r>
          </w:p>
        </w:tc>
        <w:tc>
          <w:tcPr>
            <w:tcW w:w="1304" w:type="dxa"/>
          </w:tcPr>
          <w:p>
            <w:pPr>
              <w:pStyle w:val="0"/>
              <w:jc w:val="center"/>
            </w:pPr>
            <w:r>
              <w:rPr>
                <w:sz w:val="20"/>
              </w:rPr>
              <w:t xml:space="preserve">13 896,9</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Итого по подпрограмме государственной программы "Государственная поддержка муниципальных образований Новосибирской области при строительстве специализированного жилищного фонда"</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27 761,9</w:t>
            </w:r>
          </w:p>
        </w:tc>
        <w:tc>
          <w:tcPr>
            <w:tcW w:w="1304" w:type="dxa"/>
          </w:tcPr>
          <w:p>
            <w:pPr>
              <w:pStyle w:val="0"/>
              <w:jc w:val="center"/>
            </w:pPr>
            <w:r>
              <w:rPr>
                <w:sz w:val="20"/>
              </w:rPr>
              <w:t xml:space="preserve">149 913,5</w:t>
            </w:r>
          </w:p>
        </w:tc>
        <w:tc>
          <w:tcPr>
            <w:tcW w:w="1304" w:type="dxa"/>
          </w:tcPr>
          <w:p>
            <w:pPr>
              <w:pStyle w:val="0"/>
              <w:jc w:val="center"/>
            </w:pPr>
            <w:r>
              <w:rPr>
                <w:sz w:val="20"/>
              </w:rPr>
              <w:t xml:space="preserve">278 679,5</w:t>
            </w:r>
          </w:p>
        </w:tc>
        <w:tc>
          <w:tcPr>
            <w:tcW w:w="1304" w:type="dxa"/>
          </w:tcPr>
          <w:p>
            <w:pPr>
              <w:pStyle w:val="0"/>
              <w:jc w:val="center"/>
            </w:pPr>
            <w:r>
              <w:rPr>
                <w:sz w:val="20"/>
              </w:rPr>
              <w:t xml:space="preserve">285 075,2</w:t>
            </w:r>
          </w:p>
        </w:tc>
        <w:tc>
          <w:tcPr>
            <w:tcW w:w="1304" w:type="dxa"/>
          </w:tcPr>
          <w:p>
            <w:pPr>
              <w:pStyle w:val="0"/>
              <w:jc w:val="center"/>
            </w:pPr>
            <w:r>
              <w:rPr>
                <w:sz w:val="20"/>
              </w:rPr>
              <w:t xml:space="preserve">264 040,5</w:t>
            </w:r>
          </w:p>
        </w:tc>
        <w:tc>
          <w:tcPr>
            <w:tcW w:w="1247" w:type="dxa"/>
            <w:vMerge w:val="restart"/>
          </w:tcPr>
          <w:p>
            <w:pPr>
              <w:pStyle w:val="0"/>
            </w:pPr>
            <w:r>
              <w:rPr>
                <w:sz w:val="20"/>
              </w:rPr>
            </w:r>
          </w:p>
        </w:tc>
        <w:tc>
          <w:tcPr>
            <w:tcW w:w="2268" w:type="dxa"/>
            <w:vMerge w:val="restart"/>
          </w:tcPr>
          <w:p>
            <w:pPr>
              <w:pStyle w:val="0"/>
            </w:pPr>
            <w:r>
              <w:rPr>
                <w:sz w:val="20"/>
              </w:rPr>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1 461,2</w:t>
            </w:r>
          </w:p>
        </w:tc>
        <w:tc>
          <w:tcPr>
            <w:tcW w:w="1304" w:type="dxa"/>
          </w:tcPr>
          <w:p>
            <w:pPr>
              <w:pStyle w:val="0"/>
              <w:jc w:val="center"/>
            </w:pPr>
            <w:r>
              <w:rPr>
                <w:sz w:val="20"/>
              </w:rPr>
              <w:t xml:space="preserve">7 890,2</w:t>
            </w:r>
          </w:p>
        </w:tc>
        <w:tc>
          <w:tcPr>
            <w:tcW w:w="1304" w:type="dxa"/>
          </w:tcPr>
          <w:p>
            <w:pPr>
              <w:pStyle w:val="0"/>
              <w:jc w:val="center"/>
            </w:pPr>
            <w:r>
              <w:rPr>
                <w:sz w:val="20"/>
              </w:rPr>
              <w:t xml:space="preserve">14 667,3</w:t>
            </w:r>
          </w:p>
        </w:tc>
        <w:tc>
          <w:tcPr>
            <w:tcW w:w="1304" w:type="dxa"/>
          </w:tcPr>
          <w:p>
            <w:pPr>
              <w:pStyle w:val="0"/>
              <w:jc w:val="center"/>
            </w:pPr>
            <w:r>
              <w:rPr>
                <w:sz w:val="20"/>
              </w:rPr>
              <w:t xml:space="preserve">15 004,0</w:t>
            </w:r>
          </w:p>
        </w:tc>
        <w:tc>
          <w:tcPr>
            <w:tcW w:w="1304" w:type="dxa"/>
          </w:tcPr>
          <w:p>
            <w:pPr>
              <w:pStyle w:val="0"/>
              <w:jc w:val="center"/>
            </w:pPr>
            <w:r>
              <w:rPr>
                <w:sz w:val="20"/>
              </w:rPr>
              <w:t xml:space="preserve">13 896,9</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gridSpan w:val="15"/>
            <w:tcW w:w="18823" w:type="dxa"/>
          </w:tcPr>
          <w:p>
            <w:pPr>
              <w:pStyle w:val="0"/>
              <w:outlineLvl w:val="5"/>
              <w:jc w:val="center"/>
            </w:pPr>
            <w:r>
              <w:rPr>
                <w:sz w:val="20"/>
              </w:rPr>
              <w:t xml:space="preserve">1.3.7. Подпрограмма государственной программы "Развитие рынка наемного жилья"</w:t>
            </w:r>
          </w:p>
        </w:tc>
      </w:tr>
      <w:tr>
        <w:tc>
          <w:tcPr>
            <w:gridSpan w:val="15"/>
            <w:tcW w:w="18823" w:type="dxa"/>
          </w:tcPr>
          <w:p>
            <w:pPr>
              <w:pStyle w:val="0"/>
              <w:outlineLvl w:val="6"/>
              <w:jc w:val="center"/>
            </w:pPr>
            <w:r>
              <w:rPr>
                <w:sz w:val="20"/>
              </w:rPr>
              <w:t xml:space="preserve">1.3.7.1. Цель подпрограммы государственной программы: развитие рынка наемного жилья на территории Новосибирской области</w:t>
            </w:r>
          </w:p>
        </w:tc>
      </w:tr>
      <w:tr>
        <w:tc>
          <w:tcPr>
            <w:gridSpan w:val="15"/>
            <w:tcW w:w="18823" w:type="dxa"/>
          </w:tcPr>
          <w:p>
            <w:pPr>
              <w:pStyle w:val="0"/>
              <w:outlineLvl w:val="7"/>
              <w:jc w:val="center"/>
            </w:pPr>
            <w:r>
              <w:rPr>
                <w:sz w:val="20"/>
              </w:rPr>
              <w:t xml:space="preserve">1.3.7.1.1. Задача 1 подпрограммы государственной программы: создание условий для строительства наемного жилья социального и коммерческого использования</w:t>
            </w:r>
          </w:p>
        </w:tc>
      </w:tr>
      <w:tr>
        <w:tc>
          <w:tcPr>
            <w:tcW w:w="2721" w:type="dxa"/>
            <w:vMerge w:val="restart"/>
          </w:tcPr>
          <w:p>
            <w:pPr>
              <w:pStyle w:val="0"/>
            </w:pPr>
            <w:r>
              <w:rPr>
                <w:sz w:val="20"/>
              </w:rPr>
              <w:t xml:space="preserve">1.3.7.1.1.1. Определение потребности в жилье социального и коммерческого найма</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tcW w:w="8618"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pPr>
              <w:pStyle w:val="0"/>
              <w:jc w:val="center"/>
            </w:pPr>
            <w:r>
              <w:rPr>
                <w:sz w:val="20"/>
              </w:rPr>
              <w:t xml:space="preserve">Минстрой НСО,</w:t>
            </w:r>
          </w:p>
          <w:p>
            <w:pPr>
              <w:pStyle w:val="0"/>
              <w:jc w:val="center"/>
            </w:pPr>
            <w:r>
              <w:rPr>
                <w:sz w:val="20"/>
              </w:rPr>
              <w:t xml:space="preserve">ОМС НСО</w:t>
            </w:r>
          </w:p>
        </w:tc>
        <w:tc>
          <w:tcPr>
            <w:tcW w:w="2268" w:type="dxa"/>
            <w:vMerge w:val="restart"/>
          </w:tcPr>
          <w:p>
            <w:pPr>
              <w:pStyle w:val="0"/>
            </w:pPr>
            <w:r>
              <w:rPr>
                <w:sz w:val="20"/>
              </w:rPr>
              <w:t xml:space="preserve">Ежегодное изучение спроса на наемное жилье социального и коммерческого использования на территории Новосибирской области</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7"/>
            <w:vMerge w:val="continue"/>
          </w:tcP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7"/>
            <w:vMerge w:val="continue"/>
          </w:tcPr>
          <w:p/>
        </w:tc>
        <w:tc>
          <w:tcPr>
            <w:vMerge w:val="continue"/>
          </w:tcPr>
          <w:p/>
        </w:tc>
        <w:tc>
          <w:tcPr>
            <w:vMerge w:val="continue"/>
          </w:tcPr>
          <w:p/>
        </w:tc>
      </w:tr>
      <w:tr>
        <w:tc>
          <w:tcPr>
            <w:tcW w:w="2721" w:type="dxa"/>
            <w:vMerge w:val="restart"/>
          </w:tcPr>
          <w:p>
            <w:pPr>
              <w:pStyle w:val="0"/>
            </w:pPr>
            <w:r>
              <w:rPr>
                <w:sz w:val="20"/>
              </w:rPr>
              <w:t xml:space="preserve">1.3.7.1.1.2. Определение территорий для строительства наемного жилья социального использования и коммерческого использования</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4"/>
            <w:tcW w:w="4706"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 Минстроя НСО</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247" w:type="dxa"/>
            <w:vMerge w:val="restart"/>
          </w:tcPr>
          <w:p>
            <w:pPr>
              <w:pStyle w:val="0"/>
              <w:jc w:val="center"/>
            </w:pPr>
            <w:r>
              <w:rPr>
                <w:sz w:val="20"/>
              </w:rPr>
              <w:t xml:space="preserve">Минстрой НСО,</w:t>
            </w:r>
          </w:p>
          <w:p>
            <w:pPr>
              <w:pStyle w:val="0"/>
              <w:jc w:val="center"/>
            </w:pPr>
            <w:r>
              <w:rPr>
                <w:sz w:val="20"/>
              </w:rPr>
              <w:t xml:space="preserve">ОМС НСО</w:t>
            </w:r>
          </w:p>
        </w:tc>
        <w:tc>
          <w:tcPr>
            <w:tcW w:w="2268" w:type="dxa"/>
            <w:vMerge w:val="restart"/>
          </w:tcPr>
          <w:p>
            <w:pPr>
              <w:pStyle w:val="0"/>
            </w:pPr>
            <w:r>
              <w:rPr>
                <w:sz w:val="20"/>
              </w:rPr>
              <w:t xml:space="preserve">Формирование земельных участков площадью для проведения аукционов на право заключения договора об освоении территории в целях строительства и эксплуатации наемного дома коммерческого или социального использования</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4"/>
            <w:vMerge w:val="continue"/>
          </w:tcP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4"/>
            <w:vMerge w:val="continue"/>
          </w:tcP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4"/>
            <w:vMerge w:val="continue"/>
          </w:tcP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4"/>
            <w:vMerge w:val="continue"/>
          </w:tcP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1.3.7.1.1.3. Стимулирование строительства наемного жилья социального и коммерческого использования</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3"/>
            <w:tcW w:w="3402" w:type="dxa"/>
            <w:vMerge w:val="restart"/>
          </w:tcPr>
          <w:p>
            <w:pPr>
              <w:pStyle w:val="0"/>
              <w:jc w:val="center"/>
            </w:pPr>
            <w:r>
              <w:rPr>
                <w:sz w:val="20"/>
              </w:rPr>
              <w:t xml:space="preserve">Финансирование для выполнения данного мероприятия не требуется, реализация осуществляется в рамках текущей деятельности Минстроя НСО</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247" w:type="dxa"/>
            <w:vMerge w:val="restart"/>
          </w:tcPr>
          <w:p>
            <w:pPr>
              <w:pStyle w:val="0"/>
              <w:jc w:val="center"/>
            </w:pPr>
            <w:r>
              <w:rPr>
                <w:sz w:val="20"/>
              </w:rPr>
              <w:t xml:space="preserve">Минстрой НСО</w:t>
            </w:r>
          </w:p>
        </w:tc>
        <w:tc>
          <w:tcPr>
            <w:tcW w:w="2268" w:type="dxa"/>
            <w:vMerge w:val="restart"/>
          </w:tcPr>
          <w:p>
            <w:pPr>
              <w:pStyle w:val="0"/>
            </w:pPr>
            <w:r>
              <w:rPr>
                <w:sz w:val="20"/>
              </w:rPr>
              <w:t xml:space="preserve">В 2019 - 2021 годах 2 застройщика будут получать налоговые льготы по налогам в порядке и пределах, установленных Налоговым </w:t>
            </w:r>
            <w:hyperlink w:history="0" r:id="rId184" w:tooltip="&quot;Налоговый кодекс Российской Федерации (часть первая)&quot; от 31.07.1998 N 146-ФЗ (ред. от 18.03.2023) {КонсультантПлюс}">
              <w:r>
                <w:rPr>
                  <w:sz w:val="20"/>
                  <w:color w:val="0000ff"/>
                </w:rPr>
                <w:t xml:space="preserve">кодексом</w:t>
              </w:r>
            </w:hyperlink>
            <w:r>
              <w:rPr>
                <w:sz w:val="20"/>
              </w:rPr>
              <w:t xml:space="preserve"> РФ и </w:t>
            </w:r>
            <w:hyperlink w:history="0" r:id="rId185" w:tooltip="Закон Новосибирской области от 16.10.2003 N 142-ОЗ (ред. от 21.12.2022) &quot;О налогах и особенностях налогообложения отдельных категорий налогоплательщиков в Новосибирской области&quot; (принят постановлением Новосибирского областного Совета депутатов от 02.10.2003 N 142-ОСД) (с изм. и доп., вступающими в силу с 11.01.2023) {КонсультантПлюс}">
              <w:r>
                <w:rPr>
                  <w:sz w:val="20"/>
                  <w:color w:val="0000ff"/>
                </w:rPr>
                <w:t xml:space="preserve">Законом</w:t>
              </w:r>
            </w:hyperlink>
            <w:r>
              <w:rPr>
                <w:sz w:val="20"/>
              </w:rPr>
              <w:t xml:space="preserve"> Новосибирской области от 16.10.2003 N 142-ОЗ "О налогах и особенностях налогообложения отдельных категорий налогоплательщиков Новосибирской области"</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gridSpan w:val="3"/>
            <w:vMerge w:val="continue"/>
          </w:tcP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3"/>
            <w:vMerge w:val="continue"/>
          </w:tcP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gridSpan w:val="3"/>
            <w:vMerge w:val="continue"/>
          </w:tcPr>
          <w:p/>
        </w:tc>
        <w:tc>
          <w:tcPr>
            <w:tcW w:w="1304"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8 300,0</w:t>
            </w:r>
          </w:p>
        </w:tc>
        <w:tc>
          <w:tcPr>
            <w:tcW w:w="1134" w:type="dxa"/>
          </w:tcPr>
          <w:p>
            <w:pPr>
              <w:pStyle w:val="0"/>
              <w:jc w:val="center"/>
            </w:pPr>
            <w:r>
              <w:rPr>
                <w:sz w:val="20"/>
              </w:rPr>
              <w:t xml:space="preserve">8 200,0</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247" w:type="dxa"/>
          </w:tcPr>
          <w:p>
            <w:pPr>
              <w:pStyle w:val="0"/>
            </w:pPr>
            <w:r>
              <w:rPr>
                <w:sz w:val="20"/>
              </w:rPr>
            </w:r>
          </w:p>
        </w:tc>
        <w:tc>
          <w:tcPr>
            <w:tcW w:w="2268" w:type="dxa"/>
          </w:tcPr>
          <w:p>
            <w:pPr>
              <w:pStyle w:val="0"/>
            </w:pPr>
            <w:r>
              <w:rPr>
                <w:sz w:val="20"/>
              </w:rPr>
            </w:r>
          </w:p>
        </w:tc>
      </w:tr>
      <w:tr>
        <w:tc>
          <w:tcPr>
            <w:gridSpan w:val="15"/>
            <w:tcW w:w="18823" w:type="dxa"/>
          </w:tcPr>
          <w:p>
            <w:pPr>
              <w:pStyle w:val="0"/>
              <w:outlineLvl w:val="7"/>
              <w:jc w:val="center"/>
            </w:pPr>
            <w:r>
              <w:rPr>
                <w:sz w:val="20"/>
              </w:rPr>
              <w:t xml:space="preserve">1.3.7.1.2. Задача 2 подпрограммы государственной программы: создание условий для обеспечения граждан отдельных категорий жильем по договорам коммерческого найма</w:t>
            </w:r>
          </w:p>
        </w:tc>
      </w:tr>
      <w:tr>
        <w:tc>
          <w:tcPr>
            <w:tcW w:w="2721" w:type="dxa"/>
            <w:vMerge w:val="restart"/>
          </w:tcPr>
          <w:p>
            <w:pPr>
              <w:pStyle w:val="0"/>
            </w:pPr>
            <w:r>
              <w:rPr>
                <w:sz w:val="20"/>
              </w:rPr>
              <w:t xml:space="preserve">1.3.7.1.2.1. Государственная поддержка отдельным категориям граждан на компенсацию части платежей по договорам коммерческого найма</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9</w:t>
            </w:r>
          </w:p>
        </w:tc>
        <w:tc>
          <w:tcPr>
            <w:tcW w:w="567" w:type="dxa"/>
          </w:tcPr>
          <w:p>
            <w:pPr>
              <w:pStyle w:val="0"/>
              <w:jc w:val="center"/>
            </w:pPr>
            <w:r>
              <w:rPr>
                <w:sz w:val="20"/>
              </w:rPr>
              <w:t xml:space="preserve">01</w:t>
            </w:r>
          </w:p>
        </w:tc>
        <w:tc>
          <w:tcPr>
            <w:tcW w:w="1134" w:type="dxa"/>
          </w:tcPr>
          <w:p>
            <w:pPr>
              <w:pStyle w:val="0"/>
              <w:jc w:val="center"/>
            </w:pPr>
            <w:r>
              <w:rPr>
                <w:sz w:val="20"/>
              </w:rPr>
              <w:t xml:space="preserve">3 200,0</w:t>
            </w:r>
          </w:p>
        </w:tc>
        <w:tc>
          <w:tcPr>
            <w:tcW w:w="1134" w:type="dxa"/>
          </w:tcPr>
          <w:p>
            <w:pPr>
              <w:pStyle w:val="0"/>
              <w:jc w:val="center"/>
            </w:pPr>
            <w:r>
              <w:rPr>
                <w:sz w:val="20"/>
              </w:rPr>
              <w:t xml:space="preserve">1 680,0</w:t>
            </w:r>
          </w:p>
        </w:tc>
        <w:tc>
          <w:tcPr>
            <w:tcW w:w="1134" w:type="dxa"/>
          </w:tcPr>
          <w:p>
            <w:pPr>
              <w:pStyle w:val="0"/>
              <w:jc w:val="center"/>
            </w:pPr>
            <w:r>
              <w:rPr>
                <w:sz w:val="20"/>
              </w:rPr>
              <w:t xml:space="preserve">840,0</w:t>
            </w:r>
          </w:p>
        </w:tc>
        <w:tc>
          <w:tcPr>
            <w:tcW w:w="1304" w:type="dxa"/>
          </w:tcPr>
          <w:p>
            <w:pPr>
              <w:pStyle w:val="0"/>
              <w:jc w:val="center"/>
            </w:pPr>
            <w:r>
              <w:rPr>
                <w:sz w:val="20"/>
              </w:rPr>
              <w:t xml:space="preserve">129,7</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247" w:type="dxa"/>
            <w:vMerge w:val="restart"/>
          </w:tcPr>
          <w:p>
            <w:pPr>
              <w:pStyle w:val="0"/>
              <w:jc w:val="center"/>
            </w:pPr>
            <w:r>
              <w:rPr>
                <w:sz w:val="20"/>
              </w:rPr>
              <w:t xml:space="preserve">Минстрой НСО</w:t>
            </w:r>
          </w:p>
        </w:tc>
        <w:tc>
          <w:tcPr>
            <w:tcW w:w="2268" w:type="dxa"/>
            <w:vMerge w:val="restart"/>
          </w:tcPr>
          <w:p>
            <w:pPr>
              <w:pStyle w:val="0"/>
            </w:pPr>
            <w:r>
              <w:rPr>
                <w:sz w:val="20"/>
              </w:rPr>
              <w:t xml:space="preserve">Предоставление субсидий на компенсацию части платежей по договорам коммерческого найма</w:t>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vMerge w:val="restart"/>
          </w:tcPr>
          <w:p>
            <w:pPr>
              <w:pStyle w:val="0"/>
            </w:pPr>
            <w:r>
              <w:rPr>
                <w:sz w:val="20"/>
              </w:rPr>
              <w:t xml:space="preserve">Итого по подпрограмме государственной программы "Развитие рынка наемного жилья"</w:t>
            </w:r>
          </w:p>
        </w:tc>
        <w:tc>
          <w:tcPr>
            <w:tcW w:w="1583" w:type="dxa"/>
          </w:tcPr>
          <w:p>
            <w:pPr>
              <w:pStyle w:val="0"/>
            </w:pPr>
            <w:r>
              <w:rPr>
                <w:sz w:val="20"/>
              </w:rPr>
              <w:t xml:space="preserve">областной бюджет</w:t>
            </w:r>
          </w:p>
        </w:tc>
        <w:tc>
          <w:tcPr>
            <w:tcW w:w="685" w:type="dxa"/>
          </w:tcPr>
          <w:p>
            <w:pPr>
              <w:pStyle w:val="0"/>
              <w:jc w:val="center"/>
            </w:pPr>
            <w:r>
              <w:rPr>
                <w:sz w:val="20"/>
              </w:rPr>
              <w:t xml:space="preserve">124</w:t>
            </w:r>
          </w:p>
        </w:tc>
        <w:tc>
          <w:tcPr>
            <w:tcW w:w="567" w:type="dxa"/>
          </w:tcPr>
          <w:p>
            <w:pPr>
              <w:pStyle w:val="0"/>
              <w:jc w:val="center"/>
            </w:pPr>
            <w:r>
              <w:rPr>
                <w:sz w:val="20"/>
              </w:rPr>
              <w:t xml:space="preserve">41</w:t>
            </w:r>
          </w:p>
        </w:tc>
        <w:tc>
          <w:tcPr>
            <w:tcW w:w="567" w:type="dxa"/>
          </w:tcPr>
          <w:p>
            <w:pPr>
              <w:pStyle w:val="0"/>
              <w:jc w:val="center"/>
            </w:pPr>
            <w:r>
              <w:rPr>
                <w:sz w:val="20"/>
              </w:rPr>
              <w:t xml:space="preserve">9</w:t>
            </w:r>
          </w:p>
        </w:tc>
        <w:tc>
          <w:tcPr>
            <w:tcW w:w="567" w:type="dxa"/>
          </w:tcPr>
          <w:p>
            <w:pPr>
              <w:pStyle w:val="0"/>
              <w:jc w:val="center"/>
            </w:pPr>
            <w:r>
              <w:rPr>
                <w:sz w:val="20"/>
              </w:rPr>
              <w:t xml:space="preserve">01</w:t>
            </w:r>
          </w:p>
        </w:tc>
        <w:tc>
          <w:tcPr>
            <w:tcW w:w="1134" w:type="dxa"/>
          </w:tcPr>
          <w:p>
            <w:pPr>
              <w:pStyle w:val="0"/>
              <w:jc w:val="center"/>
            </w:pPr>
            <w:r>
              <w:rPr>
                <w:sz w:val="20"/>
              </w:rPr>
              <w:t xml:space="preserve">3 200,0</w:t>
            </w:r>
          </w:p>
        </w:tc>
        <w:tc>
          <w:tcPr>
            <w:tcW w:w="1134" w:type="dxa"/>
          </w:tcPr>
          <w:p>
            <w:pPr>
              <w:pStyle w:val="0"/>
              <w:jc w:val="center"/>
            </w:pPr>
            <w:r>
              <w:rPr>
                <w:sz w:val="20"/>
              </w:rPr>
              <w:t xml:space="preserve">1 680,0</w:t>
            </w:r>
          </w:p>
        </w:tc>
        <w:tc>
          <w:tcPr>
            <w:tcW w:w="1134" w:type="dxa"/>
          </w:tcPr>
          <w:p>
            <w:pPr>
              <w:pStyle w:val="0"/>
              <w:jc w:val="center"/>
            </w:pPr>
            <w:r>
              <w:rPr>
                <w:sz w:val="20"/>
              </w:rPr>
              <w:t xml:space="preserve">840,0</w:t>
            </w:r>
          </w:p>
        </w:tc>
        <w:tc>
          <w:tcPr>
            <w:tcW w:w="1304" w:type="dxa"/>
          </w:tcPr>
          <w:p>
            <w:pPr>
              <w:pStyle w:val="0"/>
              <w:jc w:val="center"/>
            </w:pPr>
            <w:r>
              <w:rPr>
                <w:sz w:val="20"/>
              </w:rPr>
              <w:t xml:space="preserve">129,7</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247" w:type="dxa"/>
            <w:vMerge w:val="restart"/>
          </w:tcPr>
          <w:p>
            <w:pPr>
              <w:pStyle w:val="0"/>
            </w:pPr>
            <w:r>
              <w:rPr>
                <w:sz w:val="20"/>
              </w:rPr>
            </w:r>
          </w:p>
        </w:tc>
        <w:tc>
          <w:tcPr>
            <w:tcW w:w="2268" w:type="dxa"/>
            <w:vMerge w:val="restart"/>
          </w:tcPr>
          <w:p>
            <w:pPr>
              <w:pStyle w:val="0"/>
            </w:pPr>
            <w:r>
              <w:rPr>
                <w:sz w:val="20"/>
              </w:rPr>
            </w:r>
          </w:p>
        </w:tc>
      </w:tr>
      <w:tr>
        <w:tc>
          <w:tcPr>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13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tcW w:w="1304" w:type="dxa"/>
          </w:tcPr>
          <w:p>
            <w:pPr>
              <w:pStyle w:val="0"/>
              <w:jc w:val="center"/>
            </w:pPr>
            <w:r>
              <w:rPr>
                <w:sz w:val="20"/>
              </w:rPr>
              <w:t xml:space="preserve">0,0</w:t>
            </w:r>
          </w:p>
        </w:tc>
        <w:tc>
          <w:tcPr>
            <w:vMerge w:val="continue"/>
          </w:tcPr>
          <w:p/>
        </w:tc>
        <w:tc>
          <w:tcPr>
            <w:vMerge w:val="continue"/>
          </w:tcPr>
          <w:p/>
        </w:tc>
      </w:tr>
      <w:tr>
        <w:tc>
          <w:tcPr>
            <w:vMerge w:val="continue"/>
          </w:tcPr>
          <w:p/>
        </w:tc>
        <w:tc>
          <w:tcPr>
            <w:tcW w:w="1583" w:type="dxa"/>
          </w:tcPr>
          <w:p>
            <w:pPr>
              <w:pStyle w:val="0"/>
            </w:pPr>
            <w:r>
              <w:rPr>
                <w:sz w:val="20"/>
              </w:rPr>
              <w:t xml:space="preserve">налоговые расходы</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13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vMerge w:val="continue"/>
          </w:tcPr>
          <w:p/>
        </w:tc>
        <w:tc>
          <w:tcPr>
            <w:vMerge w:val="continue"/>
          </w:tcPr>
          <w:p/>
        </w:tc>
      </w:tr>
      <w:tr>
        <w:tc>
          <w:tcPr>
            <w:tcW w:w="2721" w:type="dxa"/>
            <w:tcBorders>
              <w:bottom w:val="nil"/>
            </w:tcBorders>
            <w:vMerge w:val="restart"/>
          </w:tcPr>
          <w:p>
            <w:pPr>
              <w:pStyle w:val="0"/>
            </w:pPr>
            <w:r>
              <w:rPr>
                <w:sz w:val="20"/>
              </w:rPr>
              <w:t xml:space="preserve">Итого по государственной программе</w:t>
            </w:r>
          </w:p>
        </w:tc>
        <w:tc>
          <w:tcPr>
            <w:tcW w:w="1583" w:type="dxa"/>
          </w:tcPr>
          <w:p>
            <w:pPr>
              <w:pStyle w:val="0"/>
            </w:pPr>
            <w:r>
              <w:rPr>
                <w:sz w:val="20"/>
              </w:rPr>
              <w:t xml:space="preserve">областной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568 902,2</w:t>
            </w:r>
          </w:p>
        </w:tc>
        <w:tc>
          <w:tcPr>
            <w:tcW w:w="1134" w:type="dxa"/>
          </w:tcPr>
          <w:p>
            <w:pPr>
              <w:pStyle w:val="0"/>
              <w:jc w:val="center"/>
            </w:pPr>
            <w:r>
              <w:rPr>
                <w:sz w:val="20"/>
              </w:rPr>
              <w:t xml:space="preserve">186 384,7</w:t>
            </w:r>
          </w:p>
        </w:tc>
        <w:tc>
          <w:tcPr>
            <w:tcW w:w="1134" w:type="dxa"/>
          </w:tcPr>
          <w:p>
            <w:pPr>
              <w:pStyle w:val="0"/>
              <w:jc w:val="center"/>
            </w:pPr>
            <w:r>
              <w:rPr>
                <w:sz w:val="20"/>
              </w:rPr>
              <w:t xml:space="preserve">372 088,3</w:t>
            </w:r>
          </w:p>
        </w:tc>
        <w:tc>
          <w:tcPr>
            <w:tcW w:w="1304" w:type="dxa"/>
          </w:tcPr>
          <w:p>
            <w:pPr>
              <w:pStyle w:val="0"/>
              <w:jc w:val="center"/>
            </w:pPr>
            <w:r>
              <w:rPr>
                <w:sz w:val="20"/>
              </w:rPr>
              <w:t xml:space="preserve">3 767 487,6</w:t>
            </w:r>
          </w:p>
        </w:tc>
        <w:tc>
          <w:tcPr>
            <w:tcW w:w="1304" w:type="dxa"/>
          </w:tcPr>
          <w:p>
            <w:pPr>
              <w:pStyle w:val="0"/>
              <w:jc w:val="center"/>
            </w:pPr>
            <w:r>
              <w:rPr>
                <w:sz w:val="20"/>
              </w:rPr>
              <w:t xml:space="preserve">5 083 191,4</w:t>
            </w:r>
          </w:p>
        </w:tc>
        <w:tc>
          <w:tcPr>
            <w:tcW w:w="1304" w:type="dxa"/>
          </w:tcPr>
          <w:p>
            <w:pPr>
              <w:pStyle w:val="0"/>
              <w:jc w:val="center"/>
            </w:pPr>
            <w:r>
              <w:rPr>
                <w:sz w:val="20"/>
              </w:rPr>
              <w:t xml:space="preserve">6 416 016,5</w:t>
            </w:r>
          </w:p>
        </w:tc>
        <w:tc>
          <w:tcPr>
            <w:tcW w:w="1304" w:type="dxa"/>
          </w:tcPr>
          <w:p>
            <w:pPr>
              <w:pStyle w:val="0"/>
              <w:jc w:val="center"/>
            </w:pPr>
            <w:r>
              <w:rPr>
                <w:sz w:val="20"/>
              </w:rPr>
              <w:t xml:space="preserve">2 255 871,7</w:t>
            </w:r>
          </w:p>
        </w:tc>
        <w:tc>
          <w:tcPr>
            <w:tcW w:w="1247" w:type="dxa"/>
            <w:tcBorders>
              <w:bottom w:val="nil"/>
            </w:tcBorders>
            <w:vMerge w:val="restart"/>
          </w:tcPr>
          <w:p>
            <w:pPr>
              <w:pStyle w:val="0"/>
            </w:pPr>
            <w:r>
              <w:rPr>
                <w:sz w:val="20"/>
              </w:rPr>
            </w:r>
          </w:p>
        </w:tc>
        <w:tc>
          <w:tcPr>
            <w:tcW w:w="2268" w:type="dxa"/>
            <w:tcBorders>
              <w:bottom w:val="nil"/>
            </w:tcBorders>
            <w:vMerge w:val="restart"/>
          </w:tcPr>
          <w:p>
            <w:pPr>
              <w:pStyle w:val="0"/>
            </w:pPr>
            <w:r>
              <w:rPr>
                <w:sz w:val="20"/>
              </w:rPr>
            </w:r>
          </w:p>
        </w:tc>
      </w:tr>
      <w:tr>
        <w:tc>
          <w:tcPr>
            <w:tcBorders>
              <w:bottom w:val="nil"/>
            </w:tcBorders>
            <w:vMerge w:val="continue"/>
          </w:tcPr>
          <w:p/>
        </w:tc>
        <w:tc>
          <w:tcPr>
            <w:tcW w:w="1583" w:type="dxa"/>
          </w:tcPr>
          <w:p>
            <w:pPr>
              <w:pStyle w:val="0"/>
            </w:pPr>
            <w:r>
              <w:rPr>
                <w:sz w:val="20"/>
              </w:rPr>
              <w:t xml:space="preserve">федеральный бюджет</w:t>
            </w:r>
          </w:p>
        </w:tc>
        <w:tc>
          <w:tcPr>
            <w:tcW w:w="685"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134" w:type="dxa"/>
          </w:tcPr>
          <w:p>
            <w:pPr>
              <w:pStyle w:val="0"/>
              <w:jc w:val="center"/>
            </w:pPr>
            <w:r>
              <w:rPr>
                <w:sz w:val="20"/>
              </w:rPr>
              <w:t xml:space="preserve">0,0</w:t>
            </w:r>
          </w:p>
        </w:tc>
        <w:tc>
          <w:tcPr>
            <w:tcW w:w="1134" w:type="dxa"/>
          </w:tcPr>
          <w:p>
            <w:pPr>
              <w:pStyle w:val="0"/>
              <w:jc w:val="center"/>
            </w:pPr>
            <w:r>
              <w:rPr>
                <w:sz w:val="20"/>
              </w:rPr>
              <w:t xml:space="preserve">0,00</w:t>
            </w:r>
          </w:p>
        </w:tc>
        <w:tc>
          <w:tcPr>
            <w:tcW w:w="1134" w:type="dxa"/>
          </w:tcPr>
          <w:p>
            <w:pPr>
              <w:pStyle w:val="0"/>
              <w:jc w:val="center"/>
            </w:pPr>
            <w:r>
              <w:rPr>
                <w:sz w:val="20"/>
              </w:rPr>
              <w:t xml:space="preserve">0,00</w:t>
            </w:r>
          </w:p>
        </w:tc>
        <w:tc>
          <w:tcPr>
            <w:tcW w:w="1304" w:type="dxa"/>
          </w:tcPr>
          <w:p>
            <w:pPr>
              <w:pStyle w:val="0"/>
              <w:jc w:val="center"/>
            </w:pPr>
            <w:r>
              <w:rPr>
                <w:sz w:val="20"/>
              </w:rPr>
              <w:t xml:space="preserve">96 644,0</w:t>
            </w:r>
          </w:p>
        </w:tc>
        <w:tc>
          <w:tcPr>
            <w:tcW w:w="1304" w:type="dxa"/>
          </w:tcPr>
          <w:p>
            <w:pPr>
              <w:pStyle w:val="0"/>
              <w:jc w:val="center"/>
            </w:pPr>
            <w:r>
              <w:rPr>
                <w:sz w:val="20"/>
              </w:rPr>
              <w:t xml:space="preserve">45 394,0</w:t>
            </w:r>
          </w:p>
        </w:tc>
        <w:tc>
          <w:tcPr>
            <w:tcW w:w="1304" w:type="dxa"/>
          </w:tcPr>
          <w:p>
            <w:pPr>
              <w:pStyle w:val="0"/>
              <w:jc w:val="center"/>
            </w:pPr>
            <w:r>
              <w:rPr>
                <w:sz w:val="20"/>
              </w:rPr>
              <w:t xml:space="preserve">446 400,0</w:t>
            </w:r>
          </w:p>
        </w:tc>
        <w:tc>
          <w:tcPr>
            <w:tcW w:w="1304" w:type="dxa"/>
          </w:tcPr>
          <w:p>
            <w:pPr>
              <w:pStyle w:val="0"/>
              <w:jc w:val="center"/>
            </w:pPr>
            <w:r>
              <w:rPr>
                <w:sz w:val="20"/>
              </w:rPr>
              <w:t xml:space="preserve">0,0</w:t>
            </w:r>
          </w:p>
        </w:tc>
        <w:tc>
          <w:tcPr>
            <w:tcBorders>
              <w:bottom w:val="nil"/>
            </w:tcBorders>
            <w:vMerge w:val="continue"/>
          </w:tcPr>
          <w:p/>
        </w:tc>
        <w:tc>
          <w:tcPr>
            <w:tcBorders>
              <w:bottom w:val="nil"/>
            </w:tcBorders>
            <w:vMerge w:val="continue"/>
          </w:tcPr>
          <w:p/>
        </w:tc>
      </w:tr>
      <w:tr>
        <w:tc>
          <w:tcPr>
            <w:tcBorders>
              <w:bottom w:val="nil"/>
            </w:tcBorders>
            <w:vMerge w:val="continue"/>
          </w:tcPr>
          <w:p/>
        </w:tc>
        <w:tc>
          <w:tcPr>
            <w:tcW w:w="1583" w:type="dxa"/>
          </w:tcPr>
          <w:p>
            <w:pPr>
              <w:pStyle w:val="0"/>
            </w:pPr>
            <w:r>
              <w:rPr>
                <w:sz w:val="20"/>
              </w:rPr>
              <w:t xml:space="preserve">местные бюджеты</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21 656,5</w:t>
            </w:r>
          </w:p>
        </w:tc>
        <w:tc>
          <w:tcPr>
            <w:tcW w:w="1134" w:type="dxa"/>
          </w:tcPr>
          <w:p>
            <w:pPr>
              <w:pStyle w:val="0"/>
              <w:jc w:val="center"/>
            </w:pPr>
            <w:r>
              <w:rPr>
                <w:sz w:val="20"/>
              </w:rPr>
              <w:t xml:space="preserve">2 661,5</w:t>
            </w:r>
          </w:p>
        </w:tc>
        <w:tc>
          <w:tcPr>
            <w:tcW w:w="1134" w:type="dxa"/>
          </w:tcPr>
          <w:p>
            <w:pPr>
              <w:pStyle w:val="0"/>
              <w:jc w:val="center"/>
            </w:pPr>
            <w:r>
              <w:rPr>
                <w:sz w:val="20"/>
              </w:rPr>
              <w:t xml:space="preserve">14 377,8</w:t>
            </w:r>
          </w:p>
        </w:tc>
        <w:tc>
          <w:tcPr>
            <w:tcW w:w="1304" w:type="dxa"/>
          </w:tcPr>
          <w:p>
            <w:pPr>
              <w:pStyle w:val="0"/>
              <w:jc w:val="center"/>
            </w:pPr>
            <w:r>
              <w:rPr>
                <w:sz w:val="20"/>
              </w:rPr>
              <w:t xml:space="preserve">52 705,0</w:t>
            </w:r>
          </w:p>
        </w:tc>
        <w:tc>
          <w:tcPr>
            <w:tcW w:w="1304" w:type="dxa"/>
          </w:tcPr>
          <w:p>
            <w:pPr>
              <w:pStyle w:val="0"/>
              <w:jc w:val="center"/>
            </w:pPr>
            <w:r>
              <w:rPr>
                <w:sz w:val="20"/>
              </w:rPr>
              <w:t xml:space="preserve">77 511,1</w:t>
            </w:r>
          </w:p>
        </w:tc>
        <w:tc>
          <w:tcPr>
            <w:tcW w:w="1304" w:type="dxa"/>
          </w:tcPr>
          <w:p>
            <w:pPr>
              <w:pStyle w:val="0"/>
              <w:jc w:val="center"/>
            </w:pPr>
            <w:r>
              <w:rPr>
                <w:sz w:val="20"/>
              </w:rPr>
              <w:t xml:space="preserve">79 366,9</w:t>
            </w:r>
          </w:p>
        </w:tc>
        <w:tc>
          <w:tcPr>
            <w:tcW w:w="1304" w:type="dxa"/>
          </w:tcPr>
          <w:p>
            <w:pPr>
              <w:pStyle w:val="0"/>
              <w:jc w:val="center"/>
            </w:pPr>
            <w:r>
              <w:rPr>
                <w:sz w:val="20"/>
              </w:rPr>
              <w:t xml:space="preserve">59 549,8</w:t>
            </w:r>
          </w:p>
        </w:tc>
        <w:tc>
          <w:tcPr>
            <w:tcBorders>
              <w:bottom w:val="nil"/>
            </w:tcBorders>
            <w:vMerge w:val="continue"/>
          </w:tcPr>
          <w:p/>
        </w:tc>
        <w:tc>
          <w:tcPr>
            <w:tcBorders>
              <w:bottom w:val="nil"/>
            </w:tcBorders>
            <w:vMerge w:val="continue"/>
          </w:tcPr>
          <w:p/>
        </w:tc>
      </w:tr>
      <w:tr>
        <w:tc>
          <w:tcPr>
            <w:tcBorders>
              <w:bottom w:val="nil"/>
            </w:tcBorders>
            <w:vMerge w:val="continue"/>
          </w:tcPr>
          <w:p/>
        </w:tc>
        <w:tc>
          <w:tcPr>
            <w:tcW w:w="1583" w:type="dxa"/>
          </w:tcPr>
          <w:p>
            <w:pPr>
              <w:pStyle w:val="0"/>
            </w:pPr>
            <w:r>
              <w:rPr>
                <w:sz w:val="20"/>
              </w:rPr>
              <w:t xml:space="preserve">внебюджетные источники</w:t>
            </w:r>
          </w:p>
        </w:tc>
        <w:tc>
          <w:tcPr>
            <w:tcW w:w="685"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134" w:type="dxa"/>
          </w:tcPr>
          <w:p>
            <w:pPr>
              <w:pStyle w:val="0"/>
              <w:jc w:val="center"/>
            </w:pPr>
            <w:r>
              <w:rPr>
                <w:sz w:val="20"/>
              </w:rPr>
              <w:t xml:space="preserve">0,0</w:t>
            </w:r>
          </w:p>
        </w:tc>
        <w:tc>
          <w:tcPr>
            <w:tcW w:w="1134" w:type="dxa"/>
          </w:tcPr>
          <w:p>
            <w:pPr>
              <w:pStyle w:val="0"/>
              <w:jc w:val="center"/>
            </w:pPr>
            <w:r>
              <w:rPr>
                <w:sz w:val="20"/>
              </w:rPr>
              <w:t xml:space="preserve">0,00</w:t>
            </w:r>
          </w:p>
        </w:tc>
        <w:tc>
          <w:tcPr>
            <w:tcW w:w="1134" w:type="dxa"/>
          </w:tcPr>
          <w:p>
            <w:pPr>
              <w:pStyle w:val="0"/>
              <w:jc w:val="center"/>
            </w:pPr>
            <w:r>
              <w:rPr>
                <w:sz w:val="20"/>
              </w:rPr>
              <w:t xml:space="preserve">0,00</w:t>
            </w:r>
          </w:p>
        </w:tc>
        <w:tc>
          <w:tcPr>
            <w:tcW w:w="1304" w:type="dxa"/>
          </w:tcPr>
          <w:p>
            <w:pPr>
              <w:pStyle w:val="0"/>
              <w:jc w:val="center"/>
            </w:pPr>
            <w:r>
              <w:rPr>
                <w:sz w:val="20"/>
              </w:rPr>
              <w:t xml:space="preserve">0,00</w:t>
            </w:r>
          </w:p>
        </w:tc>
        <w:tc>
          <w:tcPr>
            <w:tcW w:w="1304" w:type="dxa"/>
          </w:tcPr>
          <w:p>
            <w:pPr>
              <w:pStyle w:val="0"/>
              <w:jc w:val="center"/>
            </w:pPr>
            <w:r>
              <w:rPr>
                <w:sz w:val="20"/>
              </w:rPr>
              <w:t xml:space="preserve">0,00</w:t>
            </w:r>
          </w:p>
        </w:tc>
        <w:tc>
          <w:tcPr>
            <w:tcW w:w="1304" w:type="dxa"/>
          </w:tcPr>
          <w:p>
            <w:pPr>
              <w:pStyle w:val="0"/>
              <w:jc w:val="center"/>
            </w:pPr>
            <w:r>
              <w:rPr>
                <w:sz w:val="20"/>
              </w:rPr>
              <w:t xml:space="preserve">0,0</w:t>
            </w:r>
          </w:p>
        </w:tc>
        <w:tc>
          <w:tcPr>
            <w:tcW w:w="1304" w:type="dxa"/>
          </w:tcPr>
          <w:p>
            <w:pPr>
              <w:pStyle w:val="0"/>
              <w:jc w:val="center"/>
            </w:pPr>
            <w:r>
              <w:rPr>
                <w:sz w:val="20"/>
              </w:rPr>
              <w:t xml:space="preserve">0,00</w:t>
            </w:r>
          </w:p>
        </w:tc>
        <w:tc>
          <w:tcPr>
            <w:tcBorders>
              <w:bottom w:val="nil"/>
            </w:tcBorders>
            <w:vMerge w:val="continue"/>
          </w:tcPr>
          <w:p/>
        </w:tc>
        <w:tc>
          <w:tcPr>
            <w:tcBorders>
              <w:bottom w:val="nil"/>
            </w:tcBorders>
            <w:vMerge w:val="continue"/>
          </w:tcPr>
          <w:p/>
        </w:tc>
      </w:tr>
      <w:tr>
        <w:tblPrEx>
          <w:tblBorders>
            <w:insideH w:val="nil"/>
          </w:tblBorders>
        </w:tblPrEx>
        <w:tc>
          <w:tcPr>
            <w:tcBorders>
              <w:bottom w:val="nil"/>
            </w:tcBorders>
            <w:vMerge w:val="continue"/>
          </w:tcPr>
          <w:p/>
        </w:tc>
        <w:tc>
          <w:tcPr>
            <w:tcW w:w="1583" w:type="dxa"/>
            <w:tcBorders>
              <w:bottom w:val="nil"/>
            </w:tcBorders>
          </w:tcPr>
          <w:p>
            <w:pPr>
              <w:pStyle w:val="0"/>
            </w:pPr>
            <w:r>
              <w:rPr>
                <w:sz w:val="20"/>
              </w:rPr>
              <w:t xml:space="preserve">налоговые расходы</w:t>
            </w:r>
          </w:p>
        </w:tc>
        <w:tc>
          <w:tcPr>
            <w:tcW w:w="685" w:type="dxa"/>
            <w:tcBorders>
              <w:bottom w:val="nil"/>
            </w:tcBorders>
          </w:tcPr>
          <w:p>
            <w:pPr>
              <w:pStyle w:val="0"/>
            </w:pPr>
            <w:r>
              <w:rPr>
                <w:sz w:val="20"/>
              </w:rPr>
            </w:r>
          </w:p>
        </w:tc>
        <w:tc>
          <w:tcPr>
            <w:tcW w:w="567" w:type="dxa"/>
            <w:tcBorders>
              <w:bottom w:val="nil"/>
            </w:tcBorders>
          </w:tcPr>
          <w:p>
            <w:pPr>
              <w:pStyle w:val="0"/>
            </w:pPr>
            <w:r>
              <w:rPr>
                <w:sz w:val="20"/>
              </w:rPr>
            </w:r>
          </w:p>
        </w:tc>
        <w:tc>
          <w:tcPr>
            <w:tcW w:w="567" w:type="dxa"/>
            <w:tcBorders>
              <w:bottom w:val="nil"/>
            </w:tcBorders>
          </w:tcPr>
          <w:p>
            <w:pPr>
              <w:pStyle w:val="0"/>
            </w:pPr>
            <w:r>
              <w:rPr>
                <w:sz w:val="20"/>
              </w:rPr>
            </w:r>
          </w:p>
        </w:tc>
        <w:tc>
          <w:tcPr>
            <w:tcW w:w="567" w:type="dxa"/>
            <w:tcBorders>
              <w:bottom w:val="nil"/>
            </w:tcBorders>
          </w:tcPr>
          <w:p>
            <w:pPr>
              <w:pStyle w:val="0"/>
            </w:pPr>
            <w:r>
              <w:rPr>
                <w:sz w:val="20"/>
              </w:rPr>
            </w:r>
          </w:p>
        </w:tc>
        <w:tc>
          <w:tcPr>
            <w:tcW w:w="1134" w:type="dxa"/>
            <w:tcBorders>
              <w:bottom w:val="nil"/>
            </w:tcBorders>
          </w:tcPr>
          <w:p>
            <w:pPr>
              <w:pStyle w:val="0"/>
              <w:jc w:val="center"/>
            </w:pPr>
            <w:r>
              <w:rPr>
                <w:sz w:val="20"/>
              </w:rPr>
              <w:t xml:space="preserve">-</w:t>
            </w:r>
          </w:p>
        </w:tc>
        <w:tc>
          <w:tcPr>
            <w:tcW w:w="1134" w:type="dxa"/>
            <w:tcBorders>
              <w:bottom w:val="nil"/>
            </w:tcBorders>
          </w:tcPr>
          <w:p>
            <w:pPr>
              <w:pStyle w:val="0"/>
              <w:jc w:val="center"/>
            </w:pPr>
            <w:r>
              <w:rPr>
                <w:sz w:val="20"/>
              </w:rPr>
              <w:t xml:space="preserve">8 300,00</w:t>
            </w:r>
          </w:p>
        </w:tc>
        <w:tc>
          <w:tcPr>
            <w:tcW w:w="1134" w:type="dxa"/>
            <w:tcBorders>
              <w:bottom w:val="nil"/>
            </w:tcBorders>
          </w:tcPr>
          <w:p>
            <w:pPr>
              <w:pStyle w:val="0"/>
              <w:jc w:val="center"/>
            </w:pPr>
            <w:r>
              <w:rPr>
                <w:sz w:val="20"/>
              </w:rPr>
              <w:t xml:space="preserve">8 200,00</w:t>
            </w:r>
          </w:p>
        </w:tc>
        <w:tc>
          <w:tcPr>
            <w:tcW w:w="1304" w:type="dxa"/>
            <w:tcBorders>
              <w:bottom w:val="nil"/>
            </w:tcBorders>
          </w:tcPr>
          <w:p>
            <w:pPr>
              <w:pStyle w:val="0"/>
              <w:jc w:val="center"/>
            </w:pPr>
            <w:r>
              <w:rPr>
                <w:sz w:val="20"/>
              </w:rPr>
              <w:t xml:space="preserve">0,00</w:t>
            </w:r>
          </w:p>
        </w:tc>
        <w:tc>
          <w:tcPr>
            <w:tcW w:w="1304" w:type="dxa"/>
            <w:tcBorders>
              <w:bottom w:val="nil"/>
            </w:tcBorders>
          </w:tcPr>
          <w:p>
            <w:pPr>
              <w:pStyle w:val="0"/>
              <w:jc w:val="center"/>
            </w:pPr>
            <w:r>
              <w:rPr>
                <w:sz w:val="20"/>
              </w:rPr>
              <w:t xml:space="preserve">0,00</w:t>
            </w:r>
          </w:p>
        </w:tc>
        <w:tc>
          <w:tcPr>
            <w:tcW w:w="1304" w:type="dxa"/>
            <w:tcBorders>
              <w:bottom w:val="nil"/>
            </w:tcBorders>
          </w:tcPr>
          <w:p>
            <w:pPr>
              <w:pStyle w:val="0"/>
              <w:jc w:val="center"/>
            </w:pPr>
            <w:r>
              <w:rPr>
                <w:sz w:val="20"/>
              </w:rPr>
              <w:t xml:space="preserve">0,0</w:t>
            </w:r>
          </w:p>
        </w:tc>
        <w:tc>
          <w:tcPr>
            <w:tcW w:w="1304" w:type="dxa"/>
            <w:tcBorders>
              <w:bottom w:val="nil"/>
            </w:tcBorders>
          </w:tcPr>
          <w:p>
            <w:pPr>
              <w:pStyle w:val="0"/>
              <w:jc w:val="center"/>
            </w:pPr>
            <w:r>
              <w:rPr>
                <w:sz w:val="20"/>
              </w:rPr>
              <w:t xml:space="preserve">0,00</w:t>
            </w:r>
          </w:p>
        </w:tc>
        <w:tc>
          <w:tcPr>
            <w:tcBorders>
              <w:bottom w:val="nil"/>
            </w:tcBorders>
            <w:vMerge w:val="continue"/>
          </w:tcPr>
          <w:p/>
        </w:tc>
        <w:tc>
          <w:tcPr>
            <w:tcBorders>
              <w:bottom w:val="nil"/>
            </w:tcBorders>
            <w:vMerge w:val="continue"/>
          </w:tcPr>
          <w:p/>
        </w:tc>
      </w:tr>
      <w:tr>
        <w:tblPrEx>
          <w:tblBorders>
            <w:insideH w:val="nil"/>
          </w:tblBorders>
        </w:tblPrEx>
        <w:tc>
          <w:tcPr>
            <w:gridSpan w:val="15"/>
            <w:tcW w:w="18823" w:type="dxa"/>
            <w:tcBorders>
              <w:top w:val="nil"/>
            </w:tcBorders>
          </w:tcPr>
          <w:p>
            <w:pPr>
              <w:pStyle w:val="0"/>
              <w:jc w:val="both"/>
            </w:pPr>
            <w:r>
              <w:rPr>
                <w:sz w:val="20"/>
              </w:rPr>
              <w:t xml:space="preserve">(в ред. </w:t>
            </w:r>
            <w:hyperlink w:history="0" r:id="rId186"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tc>
      </w:tr>
    </w:tbl>
    <w:p>
      <w:pPr>
        <w:sectPr>
          <w:headerReference w:type="default" r:id="rId167"/>
          <w:headerReference w:type="first" r:id="rId167"/>
          <w:footerReference w:type="default" r:id="rId168"/>
          <w:footerReference w:type="first" r:id="rId168"/>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АО "АРЖС НСО" - акционерное общество "Агентство развития жилищного строительства Новосибирской области";</w:t>
      </w:r>
    </w:p>
    <w:p>
      <w:pPr>
        <w:pStyle w:val="0"/>
        <w:spacing w:before="200" w:line-rule="auto"/>
        <w:ind w:firstLine="540"/>
        <w:jc w:val="both"/>
      </w:pPr>
      <w:r>
        <w:rPr>
          <w:sz w:val="20"/>
        </w:rPr>
        <w:t xml:space="preserve">АО "НОАИК" - акционерное общество "Новосибирское областное агентство ипотечного кредитования";</w:t>
      </w:r>
    </w:p>
    <w:p>
      <w:pPr>
        <w:pStyle w:val="0"/>
        <w:spacing w:before="200" w:line-rule="auto"/>
        <w:ind w:firstLine="540"/>
        <w:jc w:val="both"/>
      </w:pPr>
      <w:r>
        <w:rPr>
          <w:sz w:val="20"/>
        </w:rPr>
        <w:t xml:space="preserve">ГБУ НСО "Фонд пространственных данных Новосибирской области" - государственное бюджетное учреждение Новосибирской области "Фонд пространственных данных Новосибирской области";</w:t>
      </w:r>
    </w:p>
    <w:p>
      <w:pPr>
        <w:pStyle w:val="0"/>
        <w:spacing w:before="200" w:line-rule="auto"/>
        <w:ind w:firstLine="540"/>
        <w:jc w:val="both"/>
      </w:pPr>
      <w:r>
        <w:rPr>
          <w:sz w:val="20"/>
        </w:rPr>
        <w:t xml:space="preserve">МЖКХиЭ НСО - министерство жилищно-коммунального хозяйства и энергетики Новосибирской области;</w:t>
      </w:r>
    </w:p>
    <w:p>
      <w:pPr>
        <w:pStyle w:val="0"/>
        <w:spacing w:before="200" w:line-rule="auto"/>
        <w:ind w:firstLine="540"/>
        <w:jc w:val="both"/>
      </w:pPr>
      <w:r>
        <w:rPr>
          <w:sz w:val="20"/>
        </w:rPr>
        <w:t xml:space="preserve">Минстрой НСО - министерство строительства Новосибирской области;</w:t>
      </w:r>
    </w:p>
    <w:p>
      <w:pPr>
        <w:pStyle w:val="0"/>
        <w:spacing w:before="200" w:line-rule="auto"/>
        <w:ind w:firstLine="540"/>
        <w:jc w:val="both"/>
      </w:pPr>
      <w:r>
        <w:rPr>
          <w:sz w:val="20"/>
        </w:rPr>
        <w:t xml:space="preserve">ОМС НСО - органы местного самоуправления муниципальных образований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4516" w:name="P4516"/>
    <w:bookmarkEnd w:id="4516"/>
    <w:p>
      <w:pPr>
        <w:pStyle w:val="2"/>
        <w:jc w:val="center"/>
      </w:pPr>
      <w:r>
        <w:rPr>
          <w:sz w:val="20"/>
        </w:rPr>
        <w:t xml:space="preserve">СВОДНЫЕ ФИНАНСОВЫЕ ЗАТРАТЫ И НАЛОГОВЫЕ РАСХОДЫ</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7"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21.03.2023 N 100-п)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1384"/>
        <w:gridCol w:w="1264"/>
        <w:gridCol w:w="1264"/>
        <w:gridCol w:w="1084"/>
        <w:gridCol w:w="1084"/>
        <w:gridCol w:w="1084"/>
        <w:gridCol w:w="1084"/>
        <w:gridCol w:w="1084"/>
        <w:gridCol w:w="1264"/>
        <w:gridCol w:w="1264"/>
        <w:gridCol w:w="1264"/>
        <w:gridCol w:w="1264"/>
        <w:gridCol w:w="1361"/>
      </w:tblGrid>
      <w:tr>
        <w:tc>
          <w:tcPr>
            <w:tcW w:w="2324" w:type="dxa"/>
            <w:vMerge w:val="restart"/>
          </w:tcPr>
          <w:p>
            <w:pPr>
              <w:pStyle w:val="0"/>
              <w:jc w:val="center"/>
            </w:pPr>
            <w:r>
              <w:rPr>
                <w:sz w:val="20"/>
              </w:rPr>
              <w:t xml:space="preserve">Источники и направления расходов в разрезе государственных заказчиков государственной программы (главных распорядителей бюджетных средств)</w:t>
            </w:r>
          </w:p>
        </w:tc>
        <w:tc>
          <w:tcPr>
            <w:gridSpan w:val="12"/>
            <w:tcW w:w="14388" w:type="dxa"/>
          </w:tcPr>
          <w:p>
            <w:pPr>
              <w:pStyle w:val="0"/>
              <w:jc w:val="center"/>
            </w:pPr>
            <w:r>
              <w:rPr>
                <w:sz w:val="20"/>
              </w:rPr>
              <w:t xml:space="preserve">Финансовые затраты, тыс. руб.</w:t>
            </w:r>
          </w:p>
        </w:tc>
        <w:tc>
          <w:tcPr>
            <w:tcW w:w="1361" w:type="dxa"/>
            <w:vMerge w:val="restart"/>
          </w:tcPr>
          <w:p>
            <w:pPr>
              <w:pStyle w:val="0"/>
              <w:jc w:val="center"/>
            </w:pPr>
            <w:r>
              <w:rPr>
                <w:sz w:val="20"/>
              </w:rPr>
              <w:t xml:space="preserve">Примечание</w:t>
            </w:r>
          </w:p>
        </w:tc>
      </w:tr>
      <w:tr>
        <w:tc>
          <w:tcPr>
            <w:vMerge w:val="continue"/>
          </w:tcPr>
          <w:p/>
        </w:tc>
        <w:tc>
          <w:tcPr>
            <w:tcW w:w="1384" w:type="dxa"/>
            <w:vMerge w:val="restart"/>
          </w:tcPr>
          <w:p>
            <w:pPr>
              <w:pStyle w:val="0"/>
              <w:jc w:val="center"/>
            </w:pPr>
            <w:r>
              <w:rPr>
                <w:sz w:val="20"/>
              </w:rPr>
              <w:t xml:space="preserve">всего</w:t>
            </w:r>
          </w:p>
        </w:tc>
        <w:tc>
          <w:tcPr>
            <w:gridSpan w:val="11"/>
            <w:tcW w:w="13004" w:type="dxa"/>
          </w:tcPr>
          <w:p>
            <w:pPr>
              <w:pStyle w:val="0"/>
              <w:jc w:val="center"/>
            </w:pPr>
            <w:r>
              <w:rPr>
                <w:sz w:val="20"/>
              </w:rPr>
              <w:t xml:space="preserve">в том числе по годам</w:t>
            </w:r>
          </w:p>
        </w:tc>
        <w:tc>
          <w:tcPr>
            <w:vMerge w:val="continue"/>
          </w:tcPr>
          <w:p/>
        </w:tc>
      </w:tr>
      <w:tr>
        <w:tc>
          <w:tcPr>
            <w:vMerge w:val="continue"/>
          </w:tcPr>
          <w:p/>
        </w:tc>
        <w:tc>
          <w:tcPr>
            <w:vMerge w:val="continue"/>
          </w:tcPr>
          <w:p/>
        </w:tc>
        <w:tc>
          <w:tcPr>
            <w:tcW w:w="1264" w:type="dxa"/>
          </w:tcPr>
          <w:p>
            <w:pPr>
              <w:pStyle w:val="0"/>
              <w:jc w:val="center"/>
            </w:pPr>
            <w:r>
              <w:rPr>
                <w:sz w:val="20"/>
              </w:rPr>
              <w:t xml:space="preserve">2015</w:t>
            </w:r>
          </w:p>
        </w:tc>
        <w:tc>
          <w:tcPr>
            <w:tcW w:w="1264" w:type="dxa"/>
          </w:tcPr>
          <w:p>
            <w:pPr>
              <w:pStyle w:val="0"/>
              <w:jc w:val="center"/>
            </w:pPr>
            <w:r>
              <w:rPr>
                <w:sz w:val="20"/>
              </w:rPr>
              <w:t xml:space="preserve">2016</w:t>
            </w:r>
          </w:p>
        </w:tc>
        <w:tc>
          <w:tcPr>
            <w:tcW w:w="1084" w:type="dxa"/>
          </w:tcPr>
          <w:p>
            <w:pPr>
              <w:pStyle w:val="0"/>
              <w:jc w:val="center"/>
            </w:pPr>
            <w:r>
              <w:rPr>
                <w:sz w:val="20"/>
              </w:rPr>
              <w:t xml:space="preserve">2017</w:t>
            </w:r>
          </w:p>
        </w:tc>
        <w:tc>
          <w:tcPr>
            <w:tcW w:w="1084" w:type="dxa"/>
          </w:tcPr>
          <w:p>
            <w:pPr>
              <w:pStyle w:val="0"/>
              <w:jc w:val="center"/>
            </w:pPr>
            <w:r>
              <w:rPr>
                <w:sz w:val="20"/>
              </w:rPr>
              <w:t xml:space="preserve">2018</w:t>
            </w:r>
          </w:p>
        </w:tc>
        <w:tc>
          <w:tcPr>
            <w:tcW w:w="1084" w:type="dxa"/>
          </w:tcPr>
          <w:p>
            <w:pPr>
              <w:pStyle w:val="0"/>
              <w:jc w:val="center"/>
            </w:pPr>
            <w:r>
              <w:rPr>
                <w:sz w:val="20"/>
              </w:rPr>
              <w:t xml:space="preserve">2019</w:t>
            </w:r>
          </w:p>
        </w:tc>
        <w:tc>
          <w:tcPr>
            <w:tcW w:w="1084" w:type="dxa"/>
          </w:tcPr>
          <w:p>
            <w:pPr>
              <w:pStyle w:val="0"/>
              <w:jc w:val="center"/>
            </w:pPr>
            <w:r>
              <w:rPr>
                <w:sz w:val="20"/>
              </w:rPr>
              <w:t xml:space="preserve">2020</w:t>
            </w:r>
          </w:p>
        </w:tc>
        <w:tc>
          <w:tcPr>
            <w:tcW w:w="1084" w:type="dxa"/>
          </w:tcPr>
          <w:p>
            <w:pPr>
              <w:pStyle w:val="0"/>
              <w:jc w:val="center"/>
            </w:pPr>
            <w:r>
              <w:rPr>
                <w:sz w:val="20"/>
              </w:rPr>
              <w:t xml:space="preserve">2021</w:t>
            </w:r>
          </w:p>
        </w:tc>
        <w:tc>
          <w:tcPr>
            <w:tcW w:w="1264" w:type="dxa"/>
          </w:tcPr>
          <w:p>
            <w:pPr>
              <w:pStyle w:val="0"/>
              <w:jc w:val="center"/>
            </w:pPr>
            <w:r>
              <w:rPr>
                <w:sz w:val="20"/>
              </w:rPr>
              <w:t xml:space="preserve">2022</w:t>
            </w:r>
          </w:p>
        </w:tc>
        <w:tc>
          <w:tcPr>
            <w:tcW w:w="1264" w:type="dxa"/>
          </w:tcPr>
          <w:p>
            <w:pPr>
              <w:pStyle w:val="0"/>
              <w:jc w:val="center"/>
            </w:pPr>
            <w:r>
              <w:rPr>
                <w:sz w:val="20"/>
              </w:rPr>
              <w:t xml:space="preserve">2023</w:t>
            </w:r>
          </w:p>
        </w:tc>
        <w:tc>
          <w:tcPr>
            <w:tcW w:w="1264" w:type="dxa"/>
          </w:tcPr>
          <w:p>
            <w:pPr>
              <w:pStyle w:val="0"/>
              <w:jc w:val="center"/>
            </w:pPr>
            <w:r>
              <w:rPr>
                <w:sz w:val="20"/>
              </w:rPr>
              <w:t xml:space="preserve">2024</w:t>
            </w:r>
          </w:p>
        </w:tc>
        <w:tc>
          <w:tcPr>
            <w:tcW w:w="1264" w:type="dxa"/>
          </w:tcPr>
          <w:p>
            <w:pPr>
              <w:pStyle w:val="0"/>
              <w:jc w:val="center"/>
            </w:pPr>
            <w:r>
              <w:rPr>
                <w:sz w:val="20"/>
              </w:rPr>
              <w:t xml:space="preserve">2025</w:t>
            </w:r>
          </w:p>
        </w:tc>
        <w:tc>
          <w:tcPr>
            <w:vMerge w:val="continue"/>
          </w:tcPr>
          <w:p/>
        </w:tc>
      </w:tr>
      <w:tr>
        <w:tc>
          <w:tcPr>
            <w:gridSpan w:val="14"/>
            <w:tcW w:w="18073" w:type="dxa"/>
          </w:tcPr>
          <w:p>
            <w:pPr>
              <w:pStyle w:val="0"/>
              <w:outlineLvl w:val="2"/>
              <w:jc w:val="center"/>
            </w:pPr>
            <w:r>
              <w:rPr>
                <w:sz w:val="20"/>
              </w:rPr>
              <w:t xml:space="preserve">Министерство строительства Новосибирской области</w:t>
            </w:r>
          </w:p>
        </w:tc>
      </w:tr>
      <w:tr>
        <w:tc>
          <w:tcPr>
            <w:tcW w:w="2324" w:type="dxa"/>
          </w:tcPr>
          <w:p>
            <w:pPr>
              <w:pStyle w:val="0"/>
              <w:jc w:val="center"/>
            </w:pPr>
            <w:r>
              <w:rPr>
                <w:sz w:val="20"/>
              </w:rPr>
              <w:t xml:space="preserve">Всего финансовых затрат,</w:t>
            </w:r>
          </w:p>
          <w:p>
            <w:pPr>
              <w:pStyle w:val="0"/>
              <w:jc w:val="center"/>
            </w:pPr>
            <w:r>
              <w:rPr>
                <w:sz w:val="20"/>
              </w:rPr>
              <w:t xml:space="preserve">в том числе из:</w:t>
            </w:r>
          </w:p>
        </w:tc>
        <w:tc>
          <w:tcPr>
            <w:tcW w:w="1384" w:type="dxa"/>
          </w:tcPr>
          <w:p>
            <w:pPr>
              <w:pStyle w:val="0"/>
              <w:jc w:val="center"/>
            </w:pPr>
            <w:r>
              <w:rPr>
                <w:sz w:val="20"/>
              </w:rPr>
              <w:t xml:space="preserve">22 737 288,2</w:t>
            </w:r>
          </w:p>
        </w:tc>
        <w:tc>
          <w:tcPr>
            <w:tcW w:w="1264" w:type="dxa"/>
          </w:tcPr>
          <w:p>
            <w:pPr>
              <w:pStyle w:val="0"/>
              <w:jc w:val="center"/>
            </w:pPr>
            <w:r>
              <w:rPr>
                <w:sz w:val="20"/>
              </w:rPr>
              <w:t xml:space="preserve">3 135 534,3</w:t>
            </w:r>
          </w:p>
        </w:tc>
        <w:tc>
          <w:tcPr>
            <w:tcW w:w="1264" w:type="dxa"/>
          </w:tcPr>
          <w:p>
            <w:pPr>
              <w:pStyle w:val="0"/>
              <w:jc w:val="center"/>
            </w:pPr>
            <w:r>
              <w:rPr>
                <w:sz w:val="20"/>
              </w:rPr>
              <w:t xml:space="preserve">1 014 990,4</w:t>
            </w:r>
          </w:p>
        </w:tc>
        <w:tc>
          <w:tcPr>
            <w:tcW w:w="1084" w:type="dxa"/>
          </w:tcPr>
          <w:p>
            <w:pPr>
              <w:pStyle w:val="0"/>
              <w:jc w:val="center"/>
            </w:pPr>
            <w:r>
              <w:rPr>
                <w:sz w:val="20"/>
              </w:rPr>
              <w:t xml:space="preserve">354 734,2</w:t>
            </w:r>
          </w:p>
        </w:tc>
        <w:tc>
          <w:tcPr>
            <w:tcW w:w="1084" w:type="dxa"/>
          </w:tcPr>
          <w:p>
            <w:pPr>
              <w:pStyle w:val="0"/>
              <w:jc w:val="center"/>
            </w:pPr>
            <w:r>
              <w:rPr>
                <w:sz w:val="20"/>
              </w:rPr>
              <w:t xml:space="preserve">298 776,7</w:t>
            </w:r>
          </w:p>
        </w:tc>
        <w:tc>
          <w:tcPr>
            <w:tcW w:w="1084" w:type="dxa"/>
          </w:tcPr>
          <w:p>
            <w:pPr>
              <w:pStyle w:val="0"/>
              <w:jc w:val="center"/>
            </w:pPr>
            <w:r>
              <w:rPr>
                <w:sz w:val="20"/>
              </w:rPr>
              <w:t xml:space="preserve">590 558,7</w:t>
            </w:r>
          </w:p>
        </w:tc>
        <w:tc>
          <w:tcPr>
            <w:tcW w:w="1084" w:type="dxa"/>
          </w:tcPr>
          <w:p>
            <w:pPr>
              <w:pStyle w:val="0"/>
              <w:jc w:val="center"/>
            </w:pPr>
            <w:r>
              <w:rPr>
                <w:sz w:val="20"/>
              </w:rPr>
              <w:t xml:space="preserve">189 046,2</w:t>
            </w:r>
          </w:p>
        </w:tc>
        <w:tc>
          <w:tcPr>
            <w:tcW w:w="1084" w:type="dxa"/>
          </w:tcPr>
          <w:p>
            <w:pPr>
              <w:pStyle w:val="0"/>
              <w:jc w:val="center"/>
            </w:pPr>
            <w:r>
              <w:rPr>
                <w:sz w:val="20"/>
              </w:rPr>
              <w:t xml:space="preserve">386 466,1</w:t>
            </w:r>
          </w:p>
        </w:tc>
        <w:tc>
          <w:tcPr>
            <w:tcW w:w="1264" w:type="dxa"/>
          </w:tcPr>
          <w:p>
            <w:pPr>
              <w:pStyle w:val="0"/>
              <w:jc w:val="center"/>
            </w:pPr>
            <w:r>
              <w:rPr>
                <w:sz w:val="20"/>
              </w:rPr>
              <w:t xml:space="preserve">3 816 165,7</w:t>
            </w:r>
          </w:p>
        </w:tc>
        <w:tc>
          <w:tcPr>
            <w:tcW w:w="1264" w:type="dxa"/>
          </w:tcPr>
          <w:p>
            <w:pPr>
              <w:pStyle w:val="0"/>
              <w:jc w:val="center"/>
            </w:pPr>
            <w:r>
              <w:rPr>
                <w:sz w:val="20"/>
              </w:rPr>
              <w:t xml:space="preserve">5 158 811,1</w:t>
            </w:r>
          </w:p>
        </w:tc>
        <w:tc>
          <w:tcPr>
            <w:tcW w:w="1264" w:type="dxa"/>
          </w:tcPr>
          <w:p>
            <w:pPr>
              <w:pStyle w:val="0"/>
              <w:jc w:val="center"/>
            </w:pPr>
            <w:r>
              <w:rPr>
                <w:sz w:val="20"/>
              </w:rPr>
              <w:t xml:space="preserve">6 476 783,4</w:t>
            </w:r>
          </w:p>
        </w:tc>
        <w:tc>
          <w:tcPr>
            <w:tcW w:w="1264" w:type="dxa"/>
          </w:tcPr>
          <w:p>
            <w:pPr>
              <w:pStyle w:val="0"/>
              <w:jc w:val="center"/>
            </w:pPr>
            <w:r>
              <w:rPr>
                <w:sz w:val="20"/>
              </w:rPr>
              <w:t xml:space="preserve">1 315 421,5</w:t>
            </w:r>
          </w:p>
        </w:tc>
        <w:tc>
          <w:tcPr>
            <w:tcW w:w="1361" w:type="dxa"/>
          </w:tcPr>
          <w:p>
            <w:pPr>
              <w:pStyle w:val="0"/>
            </w:pPr>
            <w:r>
              <w:rPr>
                <w:sz w:val="20"/>
              </w:rPr>
            </w:r>
          </w:p>
        </w:tc>
      </w:tr>
      <w:tr>
        <w:tc>
          <w:tcPr>
            <w:tcW w:w="2324" w:type="dxa"/>
          </w:tcPr>
          <w:p>
            <w:pPr>
              <w:pStyle w:val="0"/>
            </w:pPr>
            <w:r>
              <w:rPr>
                <w:sz w:val="20"/>
              </w:rPr>
              <w:t xml:space="preserve">областного бюджета</w:t>
            </w:r>
          </w:p>
        </w:tc>
        <w:tc>
          <w:tcPr>
            <w:tcW w:w="1384" w:type="dxa"/>
          </w:tcPr>
          <w:p>
            <w:pPr>
              <w:pStyle w:val="0"/>
              <w:jc w:val="center"/>
            </w:pPr>
            <w:r>
              <w:rPr>
                <w:sz w:val="20"/>
              </w:rPr>
              <w:t xml:space="preserve">20 467 368,1</w:t>
            </w:r>
          </w:p>
        </w:tc>
        <w:tc>
          <w:tcPr>
            <w:tcW w:w="1264" w:type="dxa"/>
          </w:tcPr>
          <w:p>
            <w:pPr>
              <w:pStyle w:val="0"/>
              <w:jc w:val="center"/>
            </w:pPr>
            <w:r>
              <w:rPr>
                <w:sz w:val="20"/>
              </w:rPr>
              <w:t xml:space="preserve">1 175 821,8</w:t>
            </w:r>
          </w:p>
        </w:tc>
        <w:tc>
          <w:tcPr>
            <w:tcW w:w="1264" w:type="dxa"/>
          </w:tcPr>
          <w:p>
            <w:pPr>
              <w:pStyle w:val="0"/>
              <w:jc w:val="center"/>
            </w:pPr>
            <w:r>
              <w:rPr>
                <w:sz w:val="20"/>
              </w:rPr>
              <w:t xml:space="preserve">1 008 598,6</w:t>
            </w:r>
          </w:p>
        </w:tc>
        <w:tc>
          <w:tcPr>
            <w:tcW w:w="1084" w:type="dxa"/>
          </w:tcPr>
          <w:p>
            <w:pPr>
              <w:pStyle w:val="0"/>
              <w:jc w:val="center"/>
            </w:pPr>
            <w:r>
              <w:rPr>
                <w:sz w:val="20"/>
              </w:rPr>
              <w:t xml:space="preserve">344 283,6</w:t>
            </w:r>
          </w:p>
        </w:tc>
        <w:tc>
          <w:tcPr>
            <w:tcW w:w="1084" w:type="dxa"/>
          </w:tcPr>
          <w:p>
            <w:pPr>
              <w:pStyle w:val="0"/>
              <w:jc w:val="center"/>
            </w:pPr>
            <w:r>
              <w:rPr>
                <w:sz w:val="20"/>
              </w:rPr>
              <w:t xml:space="preserve">288 721,7</w:t>
            </w:r>
          </w:p>
        </w:tc>
        <w:tc>
          <w:tcPr>
            <w:tcW w:w="1084" w:type="dxa"/>
          </w:tcPr>
          <w:p>
            <w:pPr>
              <w:pStyle w:val="0"/>
              <w:jc w:val="center"/>
            </w:pPr>
            <w:r>
              <w:rPr>
                <w:sz w:val="20"/>
              </w:rPr>
              <w:t xml:space="preserve">568 902,2</w:t>
            </w:r>
          </w:p>
        </w:tc>
        <w:tc>
          <w:tcPr>
            <w:tcW w:w="1084" w:type="dxa"/>
          </w:tcPr>
          <w:p>
            <w:pPr>
              <w:pStyle w:val="0"/>
              <w:jc w:val="center"/>
            </w:pPr>
            <w:r>
              <w:rPr>
                <w:sz w:val="20"/>
              </w:rPr>
              <w:t xml:space="preserve">186 384,7</w:t>
            </w:r>
          </w:p>
        </w:tc>
        <w:tc>
          <w:tcPr>
            <w:tcW w:w="1084" w:type="dxa"/>
          </w:tcPr>
          <w:p>
            <w:pPr>
              <w:pStyle w:val="0"/>
              <w:jc w:val="center"/>
            </w:pPr>
            <w:r>
              <w:rPr>
                <w:sz w:val="20"/>
              </w:rPr>
              <w:t xml:space="preserve">372 088,3</w:t>
            </w:r>
          </w:p>
        </w:tc>
        <w:tc>
          <w:tcPr>
            <w:tcW w:w="1264" w:type="dxa"/>
          </w:tcPr>
          <w:p>
            <w:pPr>
              <w:pStyle w:val="0"/>
              <w:jc w:val="center"/>
            </w:pPr>
            <w:r>
              <w:rPr>
                <w:sz w:val="20"/>
              </w:rPr>
              <w:t xml:space="preserve">3 767 487,6</w:t>
            </w:r>
          </w:p>
        </w:tc>
        <w:tc>
          <w:tcPr>
            <w:tcW w:w="1264" w:type="dxa"/>
          </w:tcPr>
          <w:p>
            <w:pPr>
              <w:pStyle w:val="0"/>
              <w:jc w:val="center"/>
            </w:pPr>
            <w:r>
              <w:rPr>
                <w:sz w:val="20"/>
              </w:rPr>
              <w:t xml:space="preserve">5 083 191,4</w:t>
            </w:r>
          </w:p>
        </w:tc>
        <w:tc>
          <w:tcPr>
            <w:tcW w:w="1264" w:type="dxa"/>
          </w:tcPr>
          <w:p>
            <w:pPr>
              <w:pStyle w:val="0"/>
              <w:jc w:val="center"/>
            </w:pPr>
            <w:r>
              <w:rPr>
                <w:sz w:val="20"/>
              </w:rPr>
              <w:t xml:space="preserve">6 416 016,5</w:t>
            </w:r>
          </w:p>
        </w:tc>
        <w:tc>
          <w:tcPr>
            <w:tcW w:w="1264" w:type="dxa"/>
          </w:tcPr>
          <w:p>
            <w:pPr>
              <w:pStyle w:val="0"/>
              <w:jc w:val="center"/>
            </w:pPr>
            <w:r>
              <w:rPr>
                <w:sz w:val="20"/>
              </w:rPr>
              <w:t xml:space="preserve">1 255 871,7</w:t>
            </w:r>
          </w:p>
        </w:tc>
        <w:tc>
          <w:tcPr>
            <w:tcW w:w="1361" w:type="dxa"/>
          </w:tcPr>
          <w:p>
            <w:pPr>
              <w:pStyle w:val="0"/>
            </w:pPr>
            <w:r>
              <w:rPr>
                <w:sz w:val="20"/>
              </w:rPr>
            </w:r>
          </w:p>
        </w:tc>
      </w:tr>
      <w:tr>
        <w:tc>
          <w:tcPr>
            <w:tcW w:w="2324" w:type="dxa"/>
          </w:tcPr>
          <w:p>
            <w:pPr>
              <w:pStyle w:val="0"/>
            </w:pPr>
            <w:r>
              <w:rPr>
                <w:sz w:val="20"/>
              </w:rPr>
              <w:t xml:space="preserve">федерального бюджета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местных бюджетов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322 320,1</w:t>
            </w:r>
          </w:p>
        </w:tc>
        <w:tc>
          <w:tcPr>
            <w:tcW w:w="1264" w:type="dxa"/>
          </w:tcPr>
          <w:p>
            <w:pPr>
              <w:pStyle w:val="0"/>
              <w:jc w:val="center"/>
            </w:pPr>
            <w:r>
              <w:rPr>
                <w:sz w:val="20"/>
              </w:rPr>
              <w:t xml:space="preserve">12 112,5</w:t>
            </w:r>
          </w:p>
        </w:tc>
        <w:tc>
          <w:tcPr>
            <w:tcW w:w="1264" w:type="dxa"/>
          </w:tcPr>
          <w:p>
            <w:pPr>
              <w:pStyle w:val="0"/>
              <w:jc w:val="center"/>
            </w:pPr>
            <w:r>
              <w:rPr>
                <w:sz w:val="20"/>
              </w:rPr>
              <w:t xml:space="preserve">6 391,8</w:t>
            </w:r>
          </w:p>
        </w:tc>
        <w:tc>
          <w:tcPr>
            <w:tcW w:w="1084" w:type="dxa"/>
          </w:tcPr>
          <w:p>
            <w:pPr>
              <w:pStyle w:val="0"/>
              <w:jc w:val="center"/>
            </w:pPr>
            <w:r>
              <w:rPr>
                <w:sz w:val="20"/>
              </w:rPr>
              <w:t xml:space="preserve">10 450,6</w:t>
            </w:r>
          </w:p>
        </w:tc>
        <w:tc>
          <w:tcPr>
            <w:tcW w:w="1084" w:type="dxa"/>
          </w:tcPr>
          <w:p>
            <w:pPr>
              <w:pStyle w:val="0"/>
              <w:jc w:val="center"/>
            </w:pPr>
            <w:r>
              <w:rPr>
                <w:sz w:val="20"/>
              </w:rPr>
              <w:t xml:space="preserve">10 055,0</w:t>
            </w:r>
          </w:p>
        </w:tc>
        <w:tc>
          <w:tcPr>
            <w:tcW w:w="1084" w:type="dxa"/>
          </w:tcPr>
          <w:p>
            <w:pPr>
              <w:pStyle w:val="0"/>
              <w:jc w:val="center"/>
            </w:pPr>
            <w:r>
              <w:rPr>
                <w:sz w:val="20"/>
              </w:rPr>
              <w:t xml:space="preserve">21 656,5</w:t>
            </w:r>
          </w:p>
        </w:tc>
        <w:tc>
          <w:tcPr>
            <w:tcW w:w="1084" w:type="dxa"/>
          </w:tcPr>
          <w:p>
            <w:pPr>
              <w:pStyle w:val="0"/>
              <w:jc w:val="center"/>
            </w:pPr>
            <w:r>
              <w:rPr>
                <w:sz w:val="20"/>
              </w:rPr>
              <w:t xml:space="preserve">2 661,5</w:t>
            </w:r>
          </w:p>
        </w:tc>
        <w:tc>
          <w:tcPr>
            <w:tcW w:w="1084" w:type="dxa"/>
          </w:tcPr>
          <w:p>
            <w:pPr>
              <w:pStyle w:val="0"/>
              <w:jc w:val="center"/>
            </w:pPr>
            <w:r>
              <w:rPr>
                <w:sz w:val="20"/>
              </w:rPr>
              <w:t xml:space="preserve">14 377,8</w:t>
            </w:r>
          </w:p>
        </w:tc>
        <w:tc>
          <w:tcPr>
            <w:tcW w:w="1264" w:type="dxa"/>
          </w:tcPr>
          <w:p>
            <w:pPr>
              <w:pStyle w:val="0"/>
              <w:jc w:val="center"/>
            </w:pPr>
            <w:r>
              <w:rPr>
                <w:sz w:val="20"/>
              </w:rPr>
              <w:t xml:space="preserve">48 678,1</w:t>
            </w:r>
          </w:p>
        </w:tc>
        <w:tc>
          <w:tcPr>
            <w:tcW w:w="1264" w:type="dxa"/>
          </w:tcPr>
          <w:p>
            <w:pPr>
              <w:pStyle w:val="0"/>
              <w:jc w:val="center"/>
            </w:pPr>
            <w:r>
              <w:rPr>
                <w:sz w:val="20"/>
              </w:rPr>
              <w:t xml:space="preserve">75 619,7</w:t>
            </w:r>
          </w:p>
        </w:tc>
        <w:tc>
          <w:tcPr>
            <w:tcW w:w="1264" w:type="dxa"/>
          </w:tcPr>
          <w:p>
            <w:pPr>
              <w:pStyle w:val="0"/>
              <w:jc w:val="center"/>
            </w:pPr>
            <w:r>
              <w:rPr>
                <w:sz w:val="20"/>
              </w:rPr>
              <w:t xml:space="preserve">60 766,9</w:t>
            </w:r>
          </w:p>
        </w:tc>
        <w:tc>
          <w:tcPr>
            <w:tcW w:w="1264" w:type="dxa"/>
          </w:tcPr>
          <w:p>
            <w:pPr>
              <w:pStyle w:val="0"/>
              <w:jc w:val="center"/>
            </w:pPr>
            <w:r>
              <w:rPr>
                <w:sz w:val="20"/>
              </w:rPr>
              <w:t xml:space="preserve">59 549,8</w:t>
            </w:r>
          </w:p>
        </w:tc>
        <w:tc>
          <w:tcPr>
            <w:tcW w:w="1361" w:type="dxa"/>
          </w:tcPr>
          <w:p>
            <w:pPr>
              <w:pStyle w:val="0"/>
            </w:pPr>
            <w:r>
              <w:rPr>
                <w:sz w:val="20"/>
              </w:rPr>
            </w:r>
          </w:p>
        </w:tc>
      </w:tr>
      <w:tr>
        <w:tc>
          <w:tcPr>
            <w:tcW w:w="2324" w:type="dxa"/>
          </w:tcPr>
          <w:p>
            <w:pPr>
              <w:pStyle w:val="0"/>
            </w:pPr>
            <w:r>
              <w:rPr>
                <w:sz w:val="20"/>
              </w:rPr>
              <w:t xml:space="preserve">внебюджетных источников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1 947 600,0</w:t>
            </w:r>
          </w:p>
        </w:tc>
        <w:tc>
          <w:tcPr>
            <w:tcW w:w="1264" w:type="dxa"/>
          </w:tcPr>
          <w:p>
            <w:pPr>
              <w:pStyle w:val="0"/>
              <w:jc w:val="center"/>
            </w:pPr>
            <w:r>
              <w:rPr>
                <w:sz w:val="20"/>
              </w:rPr>
              <w:t xml:space="preserve">1 947 600,0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jc w:val="center"/>
            </w:pPr>
            <w:r>
              <w:rPr>
                <w:sz w:val="20"/>
              </w:rPr>
              <w:t xml:space="preserve">Капитальные вложения,</w:t>
            </w:r>
          </w:p>
          <w:p>
            <w:pPr>
              <w:pStyle w:val="0"/>
              <w:jc w:val="center"/>
            </w:pPr>
            <w:r>
              <w:rPr>
                <w:sz w:val="20"/>
              </w:rPr>
              <w:t xml:space="preserve">в том числе из:</w:t>
            </w:r>
          </w:p>
        </w:tc>
        <w:tc>
          <w:tcPr>
            <w:tcW w:w="1384" w:type="dxa"/>
          </w:tcPr>
          <w:p>
            <w:pPr>
              <w:pStyle w:val="0"/>
              <w:jc w:val="center"/>
            </w:pPr>
            <w:r>
              <w:rPr>
                <w:sz w:val="20"/>
              </w:rPr>
              <w:t xml:space="preserve">17 127 963,1</w:t>
            </w:r>
          </w:p>
        </w:tc>
        <w:tc>
          <w:tcPr>
            <w:tcW w:w="1264" w:type="dxa"/>
          </w:tcPr>
          <w:p>
            <w:pPr>
              <w:pStyle w:val="0"/>
              <w:jc w:val="center"/>
            </w:pPr>
            <w:r>
              <w:rPr>
                <w:sz w:val="20"/>
              </w:rPr>
              <w:t xml:space="preserve">270 341,5</w:t>
            </w:r>
          </w:p>
        </w:tc>
        <w:tc>
          <w:tcPr>
            <w:tcW w:w="1264" w:type="dxa"/>
          </w:tcPr>
          <w:p>
            <w:pPr>
              <w:pStyle w:val="0"/>
              <w:jc w:val="center"/>
            </w:pPr>
            <w:r>
              <w:rPr>
                <w:sz w:val="20"/>
              </w:rPr>
              <w:t xml:space="preserve">262 185,1</w:t>
            </w:r>
          </w:p>
        </w:tc>
        <w:tc>
          <w:tcPr>
            <w:tcW w:w="1084" w:type="dxa"/>
          </w:tcPr>
          <w:p>
            <w:pPr>
              <w:pStyle w:val="0"/>
              <w:jc w:val="center"/>
            </w:pPr>
            <w:r>
              <w:rPr>
                <w:sz w:val="20"/>
              </w:rPr>
              <w:t xml:space="preserve">65 841,4</w:t>
            </w:r>
          </w:p>
        </w:tc>
        <w:tc>
          <w:tcPr>
            <w:tcW w:w="1084" w:type="dxa"/>
          </w:tcPr>
          <w:p>
            <w:pPr>
              <w:pStyle w:val="0"/>
              <w:jc w:val="center"/>
            </w:pPr>
            <w:r>
              <w:rPr>
                <w:sz w:val="20"/>
              </w:rPr>
              <w:t xml:space="preserve">92 688,9</w:t>
            </w:r>
          </w:p>
        </w:tc>
        <w:tc>
          <w:tcPr>
            <w:tcW w:w="1084" w:type="dxa"/>
          </w:tcPr>
          <w:p>
            <w:pPr>
              <w:pStyle w:val="0"/>
              <w:jc w:val="center"/>
            </w:pPr>
            <w:r>
              <w:rPr>
                <w:sz w:val="20"/>
              </w:rPr>
              <w:t xml:space="preserve">408 833,6</w:t>
            </w:r>
          </w:p>
        </w:tc>
        <w:tc>
          <w:tcPr>
            <w:tcW w:w="1084" w:type="dxa"/>
          </w:tcPr>
          <w:p>
            <w:pPr>
              <w:pStyle w:val="0"/>
              <w:jc w:val="center"/>
            </w:pPr>
            <w:r>
              <w:rPr>
                <w:sz w:val="20"/>
              </w:rPr>
              <w:t xml:space="preserve">41 189,3</w:t>
            </w:r>
          </w:p>
        </w:tc>
        <w:tc>
          <w:tcPr>
            <w:tcW w:w="1084" w:type="dxa"/>
          </w:tcPr>
          <w:p>
            <w:pPr>
              <w:pStyle w:val="0"/>
              <w:jc w:val="center"/>
            </w:pPr>
            <w:r>
              <w:rPr>
                <w:sz w:val="20"/>
              </w:rPr>
              <w:t xml:space="preserve">255 976,5</w:t>
            </w:r>
          </w:p>
        </w:tc>
        <w:tc>
          <w:tcPr>
            <w:tcW w:w="1264" w:type="dxa"/>
          </w:tcPr>
          <w:p>
            <w:pPr>
              <w:pStyle w:val="0"/>
              <w:jc w:val="center"/>
            </w:pPr>
            <w:r>
              <w:rPr>
                <w:sz w:val="20"/>
              </w:rPr>
              <w:t xml:space="preserve">3 581 495,5</w:t>
            </w:r>
          </w:p>
        </w:tc>
        <w:tc>
          <w:tcPr>
            <w:tcW w:w="1264" w:type="dxa"/>
          </w:tcPr>
          <w:p>
            <w:pPr>
              <w:pStyle w:val="0"/>
              <w:jc w:val="center"/>
            </w:pPr>
            <w:r>
              <w:rPr>
                <w:sz w:val="20"/>
              </w:rPr>
              <w:t xml:space="preserve">4 957 259,2</w:t>
            </w:r>
          </w:p>
        </w:tc>
        <w:tc>
          <w:tcPr>
            <w:tcW w:w="1264" w:type="dxa"/>
          </w:tcPr>
          <w:p>
            <w:pPr>
              <w:pStyle w:val="0"/>
              <w:jc w:val="center"/>
            </w:pPr>
            <w:r>
              <w:rPr>
                <w:sz w:val="20"/>
              </w:rPr>
              <w:t xml:space="preserve">6 187 911,7</w:t>
            </w:r>
          </w:p>
        </w:tc>
        <w:tc>
          <w:tcPr>
            <w:tcW w:w="1264" w:type="dxa"/>
          </w:tcPr>
          <w:p>
            <w:pPr>
              <w:pStyle w:val="0"/>
              <w:jc w:val="center"/>
            </w:pPr>
            <w:r>
              <w:rPr>
                <w:sz w:val="20"/>
              </w:rPr>
              <w:t xml:space="preserve">1 004 240,5</w:t>
            </w:r>
          </w:p>
        </w:tc>
        <w:tc>
          <w:tcPr>
            <w:tcW w:w="1361" w:type="dxa"/>
          </w:tcPr>
          <w:p>
            <w:pPr>
              <w:pStyle w:val="0"/>
            </w:pPr>
            <w:r>
              <w:rPr>
                <w:sz w:val="20"/>
              </w:rPr>
            </w:r>
          </w:p>
        </w:tc>
      </w:tr>
      <w:tr>
        <w:tc>
          <w:tcPr>
            <w:tcW w:w="2324" w:type="dxa"/>
          </w:tcPr>
          <w:p>
            <w:pPr>
              <w:pStyle w:val="0"/>
            </w:pPr>
            <w:r>
              <w:rPr>
                <w:sz w:val="20"/>
              </w:rPr>
              <w:t xml:space="preserve">областного бюджета</w:t>
            </w:r>
          </w:p>
        </w:tc>
        <w:tc>
          <w:tcPr>
            <w:tcW w:w="1384" w:type="dxa"/>
          </w:tcPr>
          <w:p>
            <w:pPr>
              <w:pStyle w:val="0"/>
              <w:jc w:val="center"/>
            </w:pPr>
            <w:r>
              <w:rPr>
                <w:sz w:val="20"/>
              </w:rPr>
              <w:t xml:space="preserve">16 836 330,8</w:t>
            </w:r>
          </w:p>
        </w:tc>
        <w:tc>
          <w:tcPr>
            <w:tcW w:w="1264" w:type="dxa"/>
          </w:tcPr>
          <w:p>
            <w:pPr>
              <w:pStyle w:val="0"/>
              <w:jc w:val="center"/>
            </w:pPr>
            <w:r>
              <w:rPr>
                <w:sz w:val="20"/>
              </w:rPr>
              <w:t xml:space="preserve">261 219,4</w:t>
            </w:r>
          </w:p>
        </w:tc>
        <w:tc>
          <w:tcPr>
            <w:tcW w:w="1264" w:type="dxa"/>
          </w:tcPr>
          <w:p>
            <w:pPr>
              <w:pStyle w:val="0"/>
              <w:jc w:val="center"/>
            </w:pPr>
            <w:r>
              <w:rPr>
                <w:sz w:val="20"/>
              </w:rPr>
              <w:t xml:space="preserve">256 494,0</w:t>
            </w:r>
          </w:p>
        </w:tc>
        <w:tc>
          <w:tcPr>
            <w:tcW w:w="1084" w:type="dxa"/>
          </w:tcPr>
          <w:p>
            <w:pPr>
              <w:pStyle w:val="0"/>
              <w:jc w:val="center"/>
            </w:pPr>
            <w:r>
              <w:rPr>
                <w:sz w:val="20"/>
              </w:rPr>
              <w:t xml:space="preserve">59 689,6</w:t>
            </w:r>
          </w:p>
        </w:tc>
        <w:tc>
          <w:tcPr>
            <w:tcW w:w="1084" w:type="dxa"/>
          </w:tcPr>
          <w:p>
            <w:pPr>
              <w:pStyle w:val="0"/>
              <w:jc w:val="center"/>
            </w:pPr>
            <w:r>
              <w:rPr>
                <w:sz w:val="20"/>
              </w:rPr>
              <w:t xml:space="preserve">88 751,8</w:t>
            </w:r>
          </w:p>
        </w:tc>
        <w:tc>
          <w:tcPr>
            <w:tcW w:w="1084" w:type="dxa"/>
          </w:tcPr>
          <w:p>
            <w:pPr>
              <w:pStyle w:val="0"/>
              <w:jc w:val="center"/>
            </w:pPr>
            <w:r>
              <w:rPr>
                <w:sz w:val="20"/>
              </w:rPr>
              <w:t xml:space="preserve">388 928,7</w:t>
            </w:r>
          </w:p>
        </w:tc>
        <w:tc>
          <w:tcPr>
            <w:tcW w:w="1084" w:type="dxa"/>
          </w:tcPr>
          <w:p>
            <w:pPr>
              <w:pStyle w:val="0"/>
              <w:jc w:val="center"/>
            </w:pPr>
            <w:r>
              <w:rPr>
                <w:sz w:val="20"/>
              </w:rPr>
              <w:t xml:space="preserve">39 246,7</w:t>
            </w:r>
          </w:p>
        </w:tc>
        <w:tc>
          <w:tcPr>
            <w:tcW w:w="1084" w:type="dxa"/>
          </w:tcPr>
          <w:p>
            <w:pPr>
              <w:pStyle w:val="0"/>
              <w:jc w:val="center"/>
            </w:pPr>
            <w:r>
              <w:rPr>
                <w:sz w:val="20"/>
              </w:rPr>
              <w:t xml:space="preserve">243 177,6</w:t>
            </w:r>
          </w:p>
        </w:tc>
        <w:tc>
          <w:tcPr>
            <w:tcW w:w="1264" w:type="dxa"/>
          </w:tcPr>
          <w:p>
            <w:pPr>
              <w:pStyle w:val="0"/>
              <w:jc w:val="center"/>
            </w:pPr>
            <w:r>
              <w:rPr>
                <w:sz w:val="20"/>
              </w:rPr>
              <w:t xml:space="preserve">3 540 892,5</w:t>
            </w:r>
          </w:p>
        </w:tc>
        <w:tc>
          <w:tcPr>
            <w:tcW w:w="1264" w:type="dxa"/>
          </w:tcPr>
          <w:p>
            <w:pPr>
              <w:pStyle w:val="0"/>
              <w:jc w:val="center"/>
            </w:pPr>
            <w:r>
              <w:rPr>
                <w:sz w:val="20"/>
              </w:rPr>
              <w:t xml:space="preserve">4 886 018,5</w:t>
            </w:r>
          </w:p>
        </w:tc>
        <w:tc>
          <w:tcPr>
            <w:tcW w:w="1264" w:type="dxa"/>
          </w:tcPr>
          <w:p>
            <w:pPr>
              <w:pStyle w:val="0"/>
              <w:jc w:val="center"/>
            </w:pPr>
            <w:r>
              <w:rPr>
                <w:sz w:val="20"/>
              </w:rPr>
              <w:t xml:space="preserve">6 117 883,6</w:t>
            </w:r>
          </w:p>
        </w:tc>
        <w:tc>
          <w:tcPr>
            <w:tcW w:w="1264" w:type="dxa"/>
          </w:tcPr>
          <w:p>
            <w:pPr>
              <w:pStyle w:val="0"/>
              <w:jc w:val="center"/>
            </w:pPr>
            <w:r>
              <w:rPr>
                <w:sz w:val="20"/>
              </w:rPr>
              <w:t xml:space="preserve">954 028,4</w:t>
            </w:r>
          </w:p>
        </w:tc>
        <w:tc>
          <w:tcPr>
            <w:tcW w:w="1361" w:type="dxa"/>
          </w:tcPr>
          <w:p>
            <w:pPr>
              <w:pStyle w:val="0"/>
            </w:pPr>
            <w:r>
              <w:rPr>
                <w:sz w:val="20"/>
              </w:rPr>
            </w:r>
          </w:p>
        </w:tc>
      </w:tr>
      <w:tr>
        <w:tc>
          <w:tcPr>
            <w:tcW w:w="2324" w:type="dxa"/>
          </w:tcPr>
          <w:p>
            <w:pPr>
              <w:pStyle w:val="0"/>
            </w:pPr>
            <w:r>
              <w:rPr>
                <w:sz w:val="20"/>
              </w:rPr>
              <w:t xml:space="preserve">федерального бюджета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местных бюджетов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291 632,3</w:t>
            </w:r>
          </w:p>
        </w:tc>
        <w:tc>
          <w:tcPr>
            <w:tcW w:w="1264" w:type="dxa"/>
          </w:tcPr>
          <w:p>
            <w:pPr>
              <w:pStyle w:val="0"/>
              <w:jc w:val="center"/>
            </w:pPr>
            <w:r>
              <w:rPr>
                <w:sz w:val="20"/>
              </w:rPr>
              <w:t xml:space="preserve">9 122,1</w:t>
            </w:r>
          </w:p>
        </w:tc>
        <w:tc>
          <w:tcPr>
            <w:tcW w:w="1264" w:type="dxa"/>
          </w:tcPr>
          <w:p>
            <w:pPr>
              <w:pStyle w:val="0"/>
              <w:jc w:val="center"/>
            </w:pPr>
            <w:r>
              <w:rPr>
                <w:sz w:val="20"/>
              </w:rPr>
              <w:t xml:space="preserve">5 691,1</w:t>
            </w:r>
          </w:p>
        </w:tc>
        <w:tc>
          <w:tcPr>
            <w:tcW w:w="1084" w:type="dxa"/>
          </w:tcPr>
          <w:p>
            <w:pPr>
              <w:pStyle w:val="0"/>
              <w:jc w:val="center"/>
            </w:pPr>
            <w:r>
              <w:rPr>
                <w:sz w:val="20"/>
              </w:rPr>
              <w:t xml:space="preserve">6 151,8</w:t>
            </w:r>
          </w:p>
        </w:tc>
        <w:tc>
          <w:tcPr>
            <w:tcW w:w="1084" w:type="dxa"/>
          </w:tcPr>
          <w:p>
            <w:pPr>
              <w:pStyle w:val="0"/>
              <w:jc w:val="center"/>
            </w:pPr>
            <w:r>
              <w:rPr>
                <w:sz w:val="20"/>
              </w:rPr>
              <w:t xml:space="preserve">3 937,1</w:t>
            </w:r>
          </w:p>
        </w:tc>
        <w:tc>
          <w:tcPr>
            <w:tcW w:w="1084" w:type="dxa"/>
          </w:tcPr>
          <w:p>
            <w:pPr>
              <w:pStyle w:val="0"/>
              <w:jc w:val="center"/>
            </w:pPr>
            <w:r>
              <w:rPr>
                <w:sz w:val="20"/>
              </w:rPr>
              <w:t xml:space="preserve">19 904,9</w:t>
            </w:r>
          </w:p>
        </w:tc>
        <w:tc>
          <w:tcPr>
            <w:tcW w:w="1084" w:type="dxa"/>
          </w:tcPr>
          <w:p>
            <w:pPr>
              <w:pStyle w:val="0"/>
              <w:jc w:val="center"/>
            </w:pPr>
            <w:r>
              <w:rPr>
                <w:sz w:val="20"/>
              </w:rPr>
              <w:t xml:space="preserve">1 942,6</w:t>
            </w:r>
          </w:p>
        </w:tc>
        <w:tc>
          <w:tcPr>
            <w:tcW w:w="1084" w:type="dxa"/>
          </w:tcPr>
          <w:p>
            <w:pPr>
              <w:pStyle w:val="0"/>
              <w:jc w:val="center"/>
            </w:pPr>
            <w:r>
              <w:rPr>
                <w:sz w:val="20"/>
              </w:rPr>
              <w:t xml:space="preserve">12 798,9</w:t>
            </w:r>
          </w:p>
        </w:tc>
        <w:tc>
          <w:tcPr>
            <w:tcW w:w="1264" w:type="dxa"/>
          </w:tcPr>
          <w:p>
            <w:pPr>
              <w:pStyle w:val="0"/>
              <w:jc w:val="center"/>
            </w:pPr>
            <w:r>
              <w:rPr>
                <w:sz w:val="20"/>
              </w:rPr>
              <w:t xml:space="preserve">40 603,0</w:t>
            </w:r>
          </w:p>
        </w:tc>
        <w:tc>
          <w:tcPr>
            <w:tcW w:w="1264" w:type="dxa"/>
          </w:tcPr>
          <w:p>
            <w:pPr>
              <w:pStyle w:val="0"/>
              <w:jc w:val="center"/>
            </w:pPr>
            <w:r>
              <w:rPr>
                <w:sz w:val="20"/>
              </w:rPr>
              <w:t xml:space="preserve">71 240,7</w:t>
            </w:r>
          </w:p>
        </w:tc>
        <w:tc>
          <w:tcPr>
            <w:tcW w:w="1264" w:type="dxa"/>
          </w:tcPr>
          <w:p>
            <w:pPr>
              <w:pStyle w:val="0"/>
              <w:jc w:val="center"/>
            </w:pPr>
            <w:r>
              <w:rPr>
                <w:sz w:val="20"/>
              </w:rPr>
              <w:t xml:space="preserve">70 028,1</w:t>
            </w:r>
          </w:p>
        </w:tc>
        <w:tc>
          <w:tcPr>
            <w:tcW w:w="1264" w:type="dxa"/>
          </w:tcPr>
          <w:p>
            <w:pPr>
              <w:pStyle w:val="0"/>
              <w:jc w:val="center"/>
            </w:pPr>
            <w:r>
              <w:rPr>
                <w:sz w:val="20"/>
              </w:rPr>
              <w:t xml:space="preserve">50 212,1</w:t>
            </w:r>
          </w:p>
        </w:tc>
        <w:tc>
          <w:tcPr>
            <w:tcW w:w="1361" w:type="dxa"/>
          </w:tcPr>
          <w:p>
            <w:pPr>
              <w:pStyle w:val="0"/>
            </w:pPr>
            <w:r>
              <w:rPr>
                <w:sz w:val="20"/>
              </w:rPr>
            </w:r>
          </w:p>
        </w:tc>
      </w:tr>
      <w:tr>
        <w:tc>
          <w:tcPr>
            <w:tcW w:w="2324" w:type="dxa"/>
          </w:tcPr>
          <w:p>
            <w:pPr>
              <w:pStyle w:val="0"/>
            </w:pPr>
            <w:r>
              <w:rPr>
                <w:sz w:val="20"/>
              </w:rPr>
              <w:t xml:space="preserve">внебюджетных источников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НИОКР </w:t>
            </w:r>
            <w:hyperlink w:history="0" w:anchor="P5423" w:tooltip="&lt;**&gt; Научно-исследовательские и опытно-конструкторские работы.">
              <w:r>
                <w:rPr>
                  <w:sz w:val="20"/>
                  <w:color w:val="0000ff"/>
                </w:rPr>
                <w:t xml:space="preserve">&lt;**&gt;</w:t>
              </w:r>
            </w:hyperlink>
            <w:r>
              <w:rPr>
                <w:sz w:val="20"/>
              </w:rPr>
              <w:t xml:space="preserve">, в том числе из:</w:t>
            </w:r>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областного бюджета</w:t>
            </w:r>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федерального бюджета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местных бюджетов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внебюджетных источников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jc w:val="center"/>
            </w:pPr>
            <w:r>
              <w:rPr>
                <w:sz w:val="20"/>
              </w:rPr>
              <w:t xml:space="preserve">Прочие расходы,</w:t>
            </w:r>
          </w:p>
          <w:p>
            <w:pPr>
              <w:pStyle w:val="0"/>
              <w:jc w:val="center"/>
            </w:pPr>
            <w:r>
              <w:rPr>
                <w:sz w:val="20"/>
              </w:rPr>
              <w:t xml:space="preserve">в том числе из:</w:t>
            </w:r>
          </w:p>
        </w:tc>
        <w:tc>
          <w:tcPr>
            <w:tcW w:w="1384" w:type="dxa"/>
          </w:tcPr>
          <w:p>
            <w:pPr>
              <w:pStyle w:val="0"/>
              <w:jc w:val="center"/>
            </w:pPr>
            <w:r>
              <w:rPr>
                <w:sz w:val="20"/>
              </w:rPr>
              <w:t xml:space="preserve">5 629 816,5</w:t>
            </w:r>
          </w:p>
        </w:tc>
        <w:tc>
          <w:tcPr>
            <w:tcW w:w="1264" w:type="dxa"/>
          </w:tcPr>
          <w:p>
            <w:pPr>
              <w:pStyle w:val="0"/>
              <w:jc w:val="center"/>
            </w:pPr>
            <w:r>
              <w:rPr>
                <w:sz w:val="20"/>
              </w:rPr>
              <w:t xml:space="preserve">2 865 192,8</w:t>
            </w:r>
          </w:p>
        </w:tc>
        <w:tc>
          <w:tcPr>
            <w:tcW w:w="1264" w:type="dxa"/>
          </w:tcPr>
          <w:p>
            <w:pPr>
              <w:pStyle w:val="0"/>
              <w:jc w:val="center"/>
            </w:pPr>
            <w:r>
              <w:rPr>
                <w:sz w:val="20"/>
              </w:rPr>
              <w:t xml:space="preserve">752 805,3</w:t>
            </w:r>
          </w:p>
        </w:tc>
        <w:tc>
          <w:tcPr>
            <w:tcW w:w="1084" w:type="dxa"/>
          </w:tcPr>
          <w:p>
            <w:pPr>
              <w:pStyle w:val="0"/>
              <w:jc w:val="center"/>
            </w:pPr>
            <w:r>
              <w:rPr>
                <w:sz w:val="20"/>
              </w:rPr>
              <w:t xml:space="preserve">288 892,8</w:t>
            </w:r>
          </w:p>
        </w:tc>
        <w:tc>
          <w:tcPr>
            <w:tcW w:w="1084" w:type="dxa"/>
          </w:tcPr>
          <w:p>
            <w:pPr>
              <w:pStyle w:val="0"/>
              <w:jc w:val="center"/>
            </w:pPr>
            <w:r>
              <w:rPr>
                <w:sz w:val="20"/>
              </w:rPr>
              <w:t xml:space="preserve">206 087,8</w:t>
            </w:r>
          </w:p>
        </w:tc>
        <w:tc>
          <w:tcPr>
            <w:tcW w:w="1084" w:type="dxa"/>
          </w:tcPr>
          <w:p>
            <w:pPr>
              <w:pStyle w:val="0"/>
              <w:jc w:val="center"/>
            </w:pPr>
            <w:r>
              <w:rPr>
                <w:sz w:val="20"/>
              </w:rPr>
              <w:t xml:space="preserve">181 725,1</w:t>
            </w:r>
          </w:p>
        </w:tc>
        <w:tc>
          <w:tcPr>
            <w:tcW w:w="1084" w:type="dxa"/>
          </w:tcPr>
          <w:p>
            <w:pPr>
              <w:pStyle w:val="0"/>
              <w:jc w:val="center"/>
            </w:pPr>
            <w:r>
              <w:rPr>
                <w:sz w:val="20"/>
              </w:rPr>
              <w:t xml:space="preserve">147 856,9</w:t>
            </w:r>
          </w:p>
        </w:tc>
        <w:tc>
          <w:tcPr>
            <w:tcW w:w="1084" w:type="dxa"/>
          </w:tcPr>
          <w:p>
            <w:pPr>
              <w:pStyle w:val="0"/>
              <w:jc w:val="center"/>
            </w:pPr>
            <w:r>
              <w:rPr>
                <w:sz w:val="20"/>
              </w:rPr>
              <w:t xml:space="preserve">130 489,6</w:t>
            </w:r>
          </w:p>
        </w:tc>
        <w:tc>
          <w:tcPr>
            <w:tcW w:w="1264" w:type="dxa"/>
          </w:tcPr>
          <w:p>
            <w:pPr>
              <w:pStyle w:val="0"/>
              <w:jc w:val="center"/>
            </w:pPr>
            <w:r>
              <w:rPr>
                <w:sz w:val="20"/>
              </w:rPr>
              <w:t xml:space="preserve">234 670,2</w:t>
            </w:r>
          </w:p>
        </w:tc>
        <w:tc>
          <w:tcPr>
            <w:tcW w:w="1264" w:type="dxa"/>
          </w:tcPr>
          <w:p>
            <w:pPr>
              <w:pStyle w:val="0"/>
              <w:jc w:val="center"/>
            </w:pPr>
            <w:r>
              <w:rPr>
                <w:sz w:val="20"/>
              </w:rPr>
              <w:t xml:space="preserve">203 443,3</w:t>
            </w:r>
          </w:p>
        </w:tc>
        <w:tc>
          <w:tcPr>
            <w:tcW w:w="1264" w:type="dxa"/>
          </w:tcPr>
          <w:p>
            <w:pPr>
              <w:pStyle w:val="0"/>
              <w:jc w:val="center"/>
            </w:pPr>
            <w:r>
              <w:rPr>
                <w:sz w:val="20"/>
              </w:rPr>
              <w:t xml:space="preserve">307 471,7</w:t>
            </w:r>
          </w:p>
        </w:tc>
        <w:tc>
          <w:tcPr>
            <w:tcW w:w="1264" w:type="dxa"/>
          </w:tcPr>
          <w:p>
            <w:pPr>
              <w:pStyle w:val="0"/>
              <w:jc w:val="center"/>
            </w:pPr>
            <w:r>
              <w:rPr>
                <w:sz w:val="20"/>
              </w:rPr>
              <w:t xml:space="preserve">311 181,0</w:t>
            </w:r>
          </w:p>
        </w:tc>
        <w:tc>
          <w:tcPr>
            <w:tcW w:w="1361" w:type="dxa"/>
          </w:tcPr>
          <w:p>
            <w:pPr>
              <w:pStyle w:val="0"/>
            </w:pPr>
            <w:r>
              <w:rPr>
                <w:sz w:val="20"/>
              </w:rPr>
            </w:r>
          </w:p>
        </w:tc>
      </w:tr>
      <w:tr>
        <w:tc>
          <w:tcPr>
            <w:tcW w:w="2324" w:type="dxa"/>
          </w:tcPr>
          <w:p>
            <w:pPr>
              <w:pStyle w:val="0"/>
            </w:pPr>
            <w:r>
              <w:rPr>
                <w:sz w:val="20"/>
              </w:rPr>
              <w:t xml:space="preserve">областного бюджета</w:t>
            </w:r>
          </w:p>
        </w:tc>
        <w:tc>
          <w:tcPr>
            <w:tcW w:w="1384" w:type="dxa"/>
          </w:tcPr>
          <w:p>
            <w:pPr>
              <w:pStyle w:val="0"/>
              <w:jc w:val="center"/>
            </w:pPr>
            <w:r>
              <w:rPr>
                <w:sz w:val="20"/>
              </w:rPr>
              <w:t xml:space="preserve">3 631 037,3</w:t>
            </w:r>
          </w:p>
        </w:tc>
        <w:tc>
          <w:tcPr>
            <w:tcW w:w="1264" w:type="dxa"/>
          </w:tcPr>
          <w:p>
            <w:pPr>
              <w:pStyle w:val="0"/>
              <w:jc w:val="center"/>
            </w:pPr>
            <w:r>
              <w:rPr>
                <w:sz w:val="20"/>
              </w:rPr>
              <w:t xml:space="preserve">914 602,4</w:t>
            </w:r>
          </w:p>
        </w:tc>
        <w:tc>
          <w:tcPr>
            <w:tcW w:w="1264" w:type="dxa"/>
          </w:tcPr>
          <w:p>
            <w:pPr>
              <w:pStyle w:val="0"/>
              <w:jc w:val="center"/>
            </w:pPr>
            <w:r>
              <w:rPr>
                <w:sz w:val="20"/>
              </w:rPr>
              <w:t xml:space="preserve">752 104,6</w:t>
            </w:r>
          </w:p>
        </w:tc>
        <w:tc>
          <w:tcPr>
            <w:tcW w:w="1084" w:type="dxa"/>
          </w:tcPr>
          <w:p>
            <w:pPr>
              <w:pStyle w:val="0"/>
              <w:jc w:val="center"/>
            </w:pPr>
            <w:r>
              <w:rPr>
                <w:sz w:val="20"/>
              </w:rPr>
              <w:t xml:space="preserve">284 594,0</w:t>
            </w:r>
          </w:p>
        </w:tc>
        <w:tc>
          <w:tcPr>
            <w:tcW w:w="1084" w:type="dxa"/>
          </w:tcPr>
          <w:p>
            <w:pPr>
              <w:pStyle w:val="0"/>
              <w:jc w:val="center"/>
            </w:pPr>
            <w:r>
              <w:rPr>
                <w:sz w:val="20"/>
              </w:rPr>
              <w:t xml:space="preserve">199 969,9</w:t>
            </w:r>
          </w:p>
        </w:tc>
        <w:tc>
          <w:tcPr>
            <w:tcW w:w="1084" w:type="dxa"/>
          </w:tcPr>
          <w:p>
            <w:pPr>
              <w:pStyle w:val="0"/>
              <w:jc w:val="center"/>
            </w:pPr>
            <w:r>
              <w:rPr>
                <w:sz w:val="20"/>
              </w:rPr>
              <w:t xml:space="preserve">179 973,5</w:t>
            </w:r>
          </w:p>
        </w:tc>
        <w:tc>
          <w:tcPr>
            <w:tcW w:w="1084" w:type="dxa"/>
          </w:tcPr>
          <w:p>
            <w:pPr>
              <w:pStyle w:val="0"/>
              <w:jc w:val="center"/>
            </w:pPr>
            <w:r>
              <w:rPr>
                <w:sz w:val="20"/>
              </w:rPr>
              <w:t xml:space="preserve">147 138,0</w:t>
            </w:r>
          </w:p>
        </w:tc>
        <w:tc>
          <w:tcPr>
            <w:tcW w:w="1084" w:type="dxa"/>
          </w:tcPr>
          <w:p>
            <w:pPr>
              <w:pStyle w:val="0"/>
              <w:jc w:val="center"/>
            </w:pPr>
            <w:r>
              <w:rPr>
                <w:sz w:val="20"/>
              </w:rPr>
              <w:t xml:space="preserve">128 910,7</w:t>
            </w:r>
          </w:p>
        </w:tc>
        <w:tc>
          <w:tcPr>
            <w:tcW w:w="1264" w:type="dxa"/>
          </w:tcPr>
          <w:p>
            <w:pPr>
              <w:pStyle w:val="0"/>
              <w:jc w:val="center"/>
            </w:pPr>
            <w:r>
              <w:rPr>
                <w:sz w:val="20"/>
              </w:rPr>
              <w:t xml:space="preserve">226 595,1</w:t>
            </w:r>
          </w:p>
        </w:tc>
        <w:tc>
          <w:tcPr>
            <w:tcW w:w="1264" w:type="dxa"/>
          </w:tcPr>
          <w:p>
            <w:pPr>
              <w:pStyle w:val="0"/>
              <w:jc w:val="center"/>
            </w:pPr>
            <w:r>
              <w:rPr>
                <w:sz w:val="20"/>
              </w:rPr>
              <w:t xml:space="preserve">197 172,9</w:t>
            </w:r>
          </w:p>
        </w:tc>
        <w:tc>
          <w:tcPr>
            <w:tcW w:w="1264" w:type="dxa"/>
          </w:tcPr>
          <w:p>
            <w:pPr>
              <w:pStyle w:val="0"/>
              <w:jc w:val="center"/>
            </w:pPr>
            <w:r>
              <w:rPr>
                <w:sz w:val="20"/>
              </w:rPr>
              <w:t xml:space="preserve">298 132,9</w:t>
            </w:r>
          </w:p>
        </w:tc>
        <w:tc>
          <w:tcPr>
            <w:tcW w:w="1264" w:type="dxa"/>
          </w:tcPr>
          <w:p>
            <w:pPr>
              <w:pStyle w:val="0"/>
              <w:jc w:val="center"/>
            </w:pPr>
            <w:r>
              <w:rPr>
                <w:sz w:val="20"/>
              </w:rPr>
              <w:t xml:space="preserve">301 843,3</w:t>
            </w:r>
          </w:p>
        </w:tc>
        <w:tc>
          <w:tcPr>
            <w:tcW w:w="1361" w:type="dxa"/>
          </w:tcPr>
          <w:p>
            <w:pPr>
              <w:pStyle w:val="0"/>
            </w:pPr>
            <w:r>
              <w:rPr>
                <w:sz w:val="20"/>
              </w:rPr>
            </w:r>
          </w:p>
        </w:tc>
      </w:tr>
      <w:tr>
        <w:tc>
          <w:tcPr>
            <w:tcW w:w="2324" w:type="dxa"/>
          </w:tcPr>
          <w:p>
            <w:pPr>
              <w:pStyle w:val="0"/>
            </w:pPr>
            <w:r>
              <w:rPr>
                <w:sz w:val="20"/>
              </w:rPr>
              <w:t xml:space="preserve">федерального бюджета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местных бюджетов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51 179,2</w:t>
            </w:r>
          </w:p>
        </w:tc>
        <w:tc>
          <w:tcPr>
            <w:tcW w:w="1264" w:type="dxa"/>
          </w:tcPr>
          <w:p>
            <w:pPr>
              <w:pStyle w:val="0"/>
              <w:jc w:val="center"/>
            </w:pPr>
            <w:r>
              <w:rPr>
                <w:sz w:val="20"/>
              </w:rPr>
              <w:t xml:space="preserve">2 990,4</w:t>
            </w:r>
          </w:p>
        </w:tc>
        <w:tc>
          <w:tcPr>
            <w:tcW w:w="1264" w:type="dxa"/>
          </w:tcPr>
          <w:p>
            <w:pPr>
              <w:pStyle w:val="0"/>
              <w:jc w:val="center"/>
            </w:pPr>
            <w:r>
              <w:rPr>
                <w:sz w:val="20"/>
              </w:rPr>
              <w:t xml:space="preserve">700,7</w:t>
            </w:r>
          </w:p>
        </w:tc>
        <w:tc>
          <w:tcPr>
            <w:tcW w:w="1084" w:type="dxa"/>
          </w:tcPr>
          <w:p>
            <w:pPr>
              <w:pStyle w:val="0"/>
              <w:jc w:val="center"/>
            </w:pPr>
            <w:r>
              <w:rPr>
                <w:sz w:val="20"/>
              </w:rPr>
              <w:t xml:space="preserve">4 298,8</w:t>
            </w:r>
          </w:p>
        </w:tc>
        <w:tc>
          <w:tcPr>
            <w:tcW w:w="1084" w:type="dxa"/>
          </w:tcPr>
          <w:p>
            <w:pPr>
              <w:pStyle w:val="0"/>
              <w:jc w:val="center"/>
            </w:pPr>
            <w:r>
              <w:rPr>
                <w:sz w:val="20"/>
              </w:rPr>
              <w:t xml:space="preserve">6 117,9</w:t>
            </w:r>
          </w:p>
        </w:tc>
        <w:tc>
          <w:tcPr>
            <w:tcW w:w="1084" w:type="dxa"/>
          </w:tcPr>
          <w:p>
            <w:pPr>
              <w:pStyle w:val="0"/>
              <w:jc w:val="center"/>
            </w:pPr>
            <w:r>
              <w:rPr>
                <w:sz w:val="20"/>
              </w:rPr>
              <w:t xml:space="preserve">1 751,6</w:t>
            </w:r>
          </w:p>
        </w:tc>
        <w:tc>
          <w:tcPr>
            <w:tcW w:w="1084" w:type="dxa"/>
          </w:tcPr>
          <w:p>
            <w:pPr>
              <w:pStyle w:val="0"/>
              <w:jc w:val="center"/>
            </w:pPr>
            <w:r>
              <w:rPr>
                <w:sz w:val="20"/>
              </w:rPr>
              <w:t xml:space="preserve">718,9</w:t>
            </w:r>
          </w:p>
        </w:tc>
        <w:tc>
          <w:tcPr>
            <w:tcW w:w="1084" w:type="dxa"/>
          </w:tcPr>
          <w:p>
            <w:pPr>
              <w:pStyle w:val="0"/>
              <w:jc w:val="center"/>
            </w:pPr>
            <w:r>
              <w:rPr>
                <w:sz w:val="20"/>
              </w:rPr>
              <w:t xml:space="preserve">1 578,9</w:t>
            </w:r>
          </w:p>
        </w:tc>
        <w:tc>
          <w:tcPr>
            <w:tcW w:w="1264" w:type="dxa"/>
          </w:tcPr>
          <w:p>
            <w:pPr>
              <w:pStyle w:val="0"/>
              <w:jc w:val="center"/>
            </w:pPr>
            <w:r>
              <w:rPr>
                <w:sz w:val="20"/>
              </w:rPr>
              <w:t xml:space="preserve">8 075,1</w:t>
            </w:r>
          </w:p>
        </w:tc>
        <w:tc>
          <w:tcPr>
            <w:tcW w:w="1264" w:type="dxa"/>
          </w:tcPr>
          <w:p>
            <w:pPr>
              <w:pStyle w:val="0"/>
              <w:jc w:val="center"/>
            </w:pPr>
            <w:r>
              <w:rPr>
                <w:sz w:val="20"/>
              </w:rPr>
              <w:t xml:space="preserve">6 270,4</w:t>
            </w:r>
          </w:p>
        </w:tc>
        <w:tc>
          <w:tcPr>
            <w:tcW w:w="1264" w:type="dxa"/>
          </w:tcPr>
          <w:p>
            <w:pPr>
              <w:pStyle w:val="0"/>
              <w:jc w:val="center"/>
            </w:pPr>
            <w:r>
              <w:rPr>
                <w:sz w:val="20"/>
              </w:rPr>
              <w:t xml:space="preserve">9 338,8</w:t>
            </w:r>
          </w:p>
        </w:tc>
        <w:tc>
          <w:tcPr>
            <w:tcW w:w="1264" w:type="dxa"/>
          </w:tcPr>
          <w:p>
            <w:pPr>
              <w:pStyle w:val="0"/>
              <w:jc w:val="center"/>
            </w:pPr>
            <w:r>
              <w:rPr>
                <w:sz w:val="20"/>
              </w:rPr>
              <w:t xml:space="preserve">9 337,7</w:t>
            </w:r>
          </w:p>
        </w:tc>
        <w:tc>
          <w:tcPr>
            <w:tcW w:w="1361" w:type="dxa"/>
          </w:tcPr>
          <w:p>
            <w:pPr>
              <w:pStyle w:val="0"/>
            </w:pPr>
            <w:r>
              <w:rPr>
                <w:sz w:val="20"/>
              </w:rPr>
            </w:r>
          </w:p>
        </w:tc>
      </w:tr>
      <w:tr>
        <w:tc>
          <w:tcPr>
            <w:tcW w:w="2324" w:type="dxa"/>
          </w:tcPr>
          <w:p>
            <w:pPr>
              <w:pStyle w:val="0"/>
            </w:pPr>
            <w:r>
              <w:rPr>
                <w:sz w:val="20"/>
              </w:rPr>
              <w:t xml:space="preserve">внебюджетных источников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1 947 600,0</w:t>
            </w:r>
          </w:p>
        </w:tc>
        <w:tc>
          <w:tcPr>
            <w:tcW w:w="1264" w:type="dxa"/>
          </w:tcPr>
          <w:p>
            <w:pPr>
              <w:pStyle w:val="0"/>
              <w:jc w:val="center"/>
            </w:pPr>
            <w:r>
              <w:rPr>
                <w:sz w:val="20"/>
              </w:rPr>
              <w:t xml:space="preserve">1 947 600,0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Всего налоговых расходов</w:t>
            </w:r>
          </w:p>
        </w:tc>
        <w:tc>
          <w:tcPr>
            <w:tcW w:w="1384" w:type="dxa"/>
          </w:tcPr>
          <w:p>
            <w:pPr>
              <w:pStyle w:val="0"/>
              <w:jc w:val="center"/>
            </w:pPr>
            <w:r>
              <w:rPr>
                <w:sz w:val="20"/>
              </w:rPr>
              <w:t xml:space="preserve">16 500,0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8 300,0</w:t>
            </w:r>
          </w:p>
        </w:tc>
        <w:tc>
          <w:tcPr>
            <w:tcW w:w="1084" w:type="dxa"/>
          </w:tcPr>
          <w:p>
            <w:pPr>
              <w:pStyle w:val="0"/>
              <w:jc w:val="center"/>
            </w:pPr>
            <w:r>
              <w:rPr>
                <w:sz w:val="20"/>
              </w:rPr>
              <w:t xml:space="preserve">8 200,0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gridSpan w:val="14"/>
            <w:tcW w:w="18073" w:type="dxa"/>
          </w:tcPr>
          <w:p>
            <w:pPr>
              <w:pStyle w:val="0"/>
              <w:outlineLvl w:val="2"/>
              <w:jc w:val="center"/>
            </w:pPr>
            <w:r>
              <w:rPr>
                <w:sz w:val="20"/>
              </w:rPr>
              <w:t xml:space="preserve">Министерство жилищно-коммунального хозяйства и энергетики Новосибирской области</w:t>
            </w:r>
          </w:p>
        </w:tc>
      </w:tr>
      <w:tr>
        <w:tc>
          <w:tcPr>
            <w:tcW w:w="2324" w:type="dxa"/>
          </w:tcPr>
          <w:p>
            <w:pPr>
              <w:pStyle w:val="0"/>
              <w:jc w:val="center"/>
            </w:pPr>
            <w:r>
              <w:rPr>
                <w:sz w:val="20"/>
              </w:rPr>
              <w:t xml:space="preserve">Всего финансовых затрат,</w:t>
            </w:r>
          </w:p>
          <w:p>
            <w:pPr>
              <w:pStyle w:val="0"/>
              <w:jc w:val="center"/>
            </w:pPr>
            <w:r>
              <w:rPr>
                <w:sz w:val="20"/>
              </w:rPr>
              <w:t xml:space="preserve">в том числе из:</w:t>
            </w:r>
          </w:p>
        </w:tc>
        <w:tc>
          <w:tcPr>
            <w:tcW w:w="1384" w:type="dxa"/>
          </w:tcPr>
          <w:p>
            <w:pPr>
              <w:pStyle w:val="0"/>
              <w:jc w:val="center"/>
            </w:pPr>
            <w:r>
              <w:rPr>
                <w:sz w:val="20"/>
              </w:rPr>
              <w:t xml:space="preserve">612 956,3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100 670,9</w:t>
            </w:r>
          </w:p>
        </w:tc>
        <w:tc>
          <w:tcPr>
            <w:tcW w:w="1264" w:type="dxa"/>
          </w:tcPr>
          <w:p>
            <w:pPr>
              <w:pStyle w:val="0"/>
              <w:jc w:val="center"/>
            </w:pPr>
            <w:r>
              <w:rPr>
                <w:sz w:val="20"/>
              </w:rPr>
              <w:t xml:space="preserve">47 285,4</w:t>
            </w:r>
          </w:p>
        </w:tc>
        <w:tc>
          <w:tcPr>
            <w:tcW w:w="1264" w:type="dxa"/>
          </w:tcPr>
          <w:p>
            <w:pPr>
              <w:pStyle w:val="0"/>
              <w:jc w:val="center"/>
            </w:pPr>
            <w:r>
              <w:rPr>
                <w:sz w:val="20"/>
              </w:rPr>
              <w:t xml:space="preserve">465 000,0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областного бюджета</w:t>
            </w:r>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федерального бюджета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588 438,0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96 644,0</w:t>
            </w:r>
          </w:p>
        </w:tc>
        <w:tc>
          <w:tcPr>
            <w:tcW w:w="1264" w:type="dxa"/>
          </w:tcPr>
          <w:p>
            <w:pPr>
              <w:pStyle w:val="0"/>
              <w:jc w:val="center"/>
            </w:pPr>
            <w:r>
              <w:rPr>
                <w:sz w:val="20"/>
              </w:rPr>
              <w:t xml:space="preserve">45 394,0</w:t>
            </w:r>
          </w:p>
        </w:tc>
        <w:tc>
          <w:tcPr>
            <w:tcW w:w="1264" w:type="dxa"/>
          </w:tcPr>
          <w:p>
            <w:pPr>
              <w:pStyle w:val="0"/>
              <w:jc w:val="center"/>
            </w:pPr>
            <w:r>
              <w:rPr>
                <w:sz w:val="20"/>
              </w:rPr>
              <w:t xml:space="preserve">446 400,0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местных бюджетов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24 518,3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4 026,9</w:t>
            </w:r>
          </w:p>
        </w:tc>
        <w:tc>
          <w:tcPr>
            <w:tcW w:w="1264" w:type="dxa"/>
          </w:tcPr>
          <w:p>
            <w:pPr>
              <w:pStyle w:val="0"/>
              <w:jc w:val="center"/>
            </w:pPr>
            <w:r>
              <w:rPr>
                <w:sz w:val="20"/>
              </w:rPr>
              <w:t xml:space="preserve">1 891,4</w:t>
            </w:r>
          </w:p>
        </w:tc>
        <w:tc>
          <w:tcPr>
            <w:tcW w:w="1264" w:type="dxa"/>
          </w:tcPr>
          <w:p>
            <w:pPr>
              <w:pStyle w:val="0"/>
              <w:jc w:val="center"/>
            </w:pPr>
            <w:r>
              <w:rPr>
                <w:sz w:val="20"/>
              </w:rPr>
              <w:t xml:space="preserve">18 600,0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внебюджетных источников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jc w:val="center"/>
            </w:pPr>
            <w:r>
              <w:rPr>
                <w:sz w:val="20"/>
              </w:rPr>
              <w:t xml:space="preserve">Капитальные вложения,</w:t>
            </w:r>
          </w:p>
          <w:p>
            <w:pPr>
              <w:pStyle w:val="0"/>
              <w:jc w:val="center"/>
            </w:pPr>
            <w:r>
              <w:rPr>
                <w:sz w:val="20"/>
              </w:rPr>
              <w:t xml:space="preserve">в том числе из:</w:t>
            </w:r>
          </w:p>
        </w:tc>
        <w:tc>
          <w:tcPr>
            <w:tcW w:w="1384" w:type="dxa"/>
          </w:tcPr>
          <w:p>
            <w:pPr>
              <w:pStyle w:val="0"/>
              <w:jc w:val="center"/>
            </w:pPr>
            <w:r>
              <w:rPr>
                <w:sz w:val="20"/>
              </w:rPr>
              <w:t xml:space="preserve">612 956,3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100 670,9</w:t>
            </w:r>
          </w:p>
        </w:tc>
        <w:tc>
          <w:tcPr>
            <w:tcW w:w="1264" w:type="dxa"/>
          </w:tcPr>
          <w:p>
            <w:pPr>
              <w:pStyle w:val="0"/>
              <w:jc w:val="center"/>
            </w:pPr>
            <w:r>
              <w:rPr>
                <w:sz w:val="20"/>
              </w:rPr>
              <w:t xml:space="preserve">47 285,4</w:t>
            </w:r>
          </w:p>
        </w:tc>
        <w:tc>
          <w:tcPr>
            <w:tcW w:w="1264" w:type="dxa"/>
          </w:tcPr>
          <w:p>
            <w:pPr>
              <w:pStyle w:val="0"/>
              <w:jc w:val="center"/>
            </w:pPr>
            <w:r>
              <w:rPr>
                <w:sz w:val="20"/>
              </w:rPr>
              <w:t xml:space="preserve">465 000,0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областного бюджета</w:t>
            </w:r>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федерального бюджета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588 438,0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96 644,0</w:t>
            </w:r>
          </w:p>
        </w:tc>
        <w:tc>
          <w:tcPr>
            <w:tcW w:w="1264" w:type="dxa"/>
          </w:tcPr>
          <w:p>
            <w:pPr>
              <w:pStyle w:val="0"/>
              <w:jc w:val="center"/>
            </w:pPr>
            <w:r>
              <w:rPr>
                <w:sz w:val="20"/>
              </w:rPr>
              <w:t xml:space="preserve">45 394,0</w:t>
            </w:r>
          </w:p>
        </w:tc>
        <w:tc>
          <w:tcPr>
            <w:tcW w:w="1264" w:type="dxa"/>
          </w:tcPr>
          <w:p>
            <w:pPr>
              <w:pStyle w:val="0"/>
              <w:jc w:val="center"/>
            </w:pPr>
            <w:r>
              <w:rPr>
                <w:sz w:val="20"/>
              </w:rPr>
              <w:t xml:space="preserve">446 400,0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местных бюджетов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24 518,3</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4 026,9</w:t>
            </w:r>
          </w:p>
        </w:tc>
        <w:tc>
          <w:tcPr>
            <w:tcW w:w="1264" w:type="dxa"/>
          </w:tcPr>
          <w:p>
            <w:pPr>
              <w:pStyle w:val="0"/>
              <w:jc w:val="center"/>
            </w:pPr>
            <w:r>
              <w:rPr>
                <w:sz w:val="20"/>
              </w:rPr>
              <w:t xml:space="preserve">1 891,4</w:t>
            </w:r>
          </w:p>
        </w:tc>
        <w:tc>
          <w:tcPr>
            <w:tcW w:w="1264" w:type="dxa"/>
          </w:tcPr>
          <w:p>
            <w:pPr>
              <w:pStyle w:val="0"/>
              <w:jc w:val="center"/>
            </w:pPr>
            <w:r>
              <w:rPr>
                <w:sz w:val="20"/>
              </w:rPr>
              <w:t xml:space="preserve">18 600,0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внебюджетных источников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НИОКР </w:t>
            </w:r>
            <w:hyperlink w:history="0" w:anchor="P5422" w:tooltip="&lt;*&gt; Указаны прогнозные объемы.">
              <w:r>
                <w:rPr>
                  <w:sz w:val="20"/>
                  <w:color w:val="0000ff"/>
                </w:rPr>
                <w:t xml:space="preserve">&lt;*&gt;</w:t>
              </w:r>
            </w:hyperlink>
            <w:r>
              <w:rPr>
                <w:sz w:val="20"/>
              </w:rPr>
              <w:t xml:space="preserve">, в том числе из:</w:t>
            </w:r>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областного бюджета</w:t>
            </w:r>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федерального бюджета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местных бюджетов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внебюджетных источников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jc w:val="center"/>
            </w:pPr>
            <w:r>
              <w:rPr>
                <w:sz w:val="20"/>
              </w:rPr>
              <w:t xml:space="preserve">Прочие расходы,</w:t>
            </w:r>
          </w:p>
          <w:p>
            <w:pPr>
              <w:pStyle w:val="0"/>
              <w:jc w:val="center"/>
            </w:pPr>
            <w:r>
              <w:rPr>
                <w:sz w:val="20"/>
              </w:rPr>
              <w:t xml:space="preserve">в том числе из:</w:t>
            </w:r>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федерального бюджета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областного бюджета</w:t>
            </w:r>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местных бюджетов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внебюджетных источников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blPrEx>
          <w:tblBorders>
            <w:right w:val="nil"/>
          </w:tblBorders>
        </w:tblPrEx>
        <w:tc>
          <w:tcPr>
            <w:tcW w:w="2324" w:type="dxa"/>
          </w:tcPr>
          <w:p>
            <w:pPr>
              <w:pStyle w:val="0"/>
              <w:jc w:val="center"/>
            </w:pPr>
            <w:r>
              <w:rPr>
                <w:sz w:val="20"/>
              </w:rPr>
              <w:t xml:space="preserve">ВСЕГО ПО ПРОГРАММЕ:</w:t>
            </w:r>
          </w:p>
        </w:tc>
        <w:tc>
          <w:tcPr>
            <w:gridSpan w:val="13"/>
            <w:tcW w:w="15749" w:type="dxa"/>
            <w:tcBorders>
              <w:right w:val="nil"/>
            </w:tcBorders>
          </w:tcPr>
          <w:p>
            <w:pPr>
              <w:pStyle w:val="0"/>
            </w:pPr>
            <w:r>
              <w:rPr>
                <w:sz w:val="20"/>
              </w:rPr>
            </w:r>
          </w:p>
        </w:tc>
      </w:tr>
      <w:tr>
        <w:tc>
          <w:tcPr>
            <w:tcW w:w="2324" w:type="dxa"/>
          </w:tcPr>
          <w:p>
            <w:pPr>
              <w:pStyle w:val="0"/>
              <w:jc w:val="center"/>
            </w:pPr>
            <w:r>
              <w:rPr>
                <w:sz w:val="20"/>
              </w:rPr>
              <w:t xml:space="preserve">Всего финансовых затрат, в том числе из:</w:t>
            </w:r>
          </w:p>
        </w:tc>
        <w:tc>
          <w:tcPr>
            <w:tcW w:w="1384" w:type="dxa"/>
          </w:tcPr>
          <w:p>
            <w:pPr>
              <w:pStyle w:val="0"/>
              <w:jc w:val="center"/>
            </w:pPr>
            <w:r>
              <w:rPr>
                <w:sz w:val="20"/>
              </w:rPr>
              <w:t xml:space="preserve">23 350 244,5</w:t>
            </w:r>
          </w:p>
        </w:tc>
        <w:tc>
          <w:tcPr>
            <w:tcW w:w="1264" w:type="dxa"/>
          </w:tcPr>
          <w:p>
            <w:pPr>
              <w:pStyle w:val="0"/>
              <w:jc w:val="center"/>
            </w:pPr>
            <w:r>
              <w:rPr>
                <w:sz w:val="20"/>
              </w:rPr>
              <w:t xml:space="preserve">3 135 534,3</w:t>
            </w:r>
          </w:p>
        </w:tc>
        <w:tc>
          <w:tcPr>
            <w:tcW w:w="1264" w:type="dxa"/>
          </w:tcPr>
          <w:p>
            <w:pPr>
              <w:pStyle w:val="0"/>
              <w:jc w:val="center"/>
            </w:pPr>
            <w:r>
              <w:rPr>
                <w:sz w:val="20"/>
              </w:rPr>
              <w:t xml:space="preserve">1 014 990,4</w:t>
            </w:r>
          </w:p>
        </w:tc>
        <w:tc>
          <w:tcPr>
            <w:tcW w:w="1084" w:type="dxa"/>
          </w:tcPr>
          <w:p>
            <w:pPr>
              <w:pStyle w:val="0"/>
              <w:jc w:val="center"/>
            </w:pPr>
            <w:r>
              <w:rPr>
                <w:sz w:val="20"/>
              </w:rPr>
              <w:t xml:space="preserve">354 734,2</w:t>
            </w:r>
          </w:p>
        </w:tc>
        <w:tc>
          <w:tcPr>
            <w:tcW w:w="1084" w:type="dxa"/>
          </w:tcPr>
          <w:p>
            <w:pPr>
              <w:pStyle w:val="0"/>
              <w:jc w:val="center"/>
            </w:pPr>
            <w:r>
              <w:rPr>
                <w:sz w:val="20"/>
              </w:rPr>
              <w:t xml:space="preserve">298 776,7</w:t>
            </w:r>
          </w:p>
        </w:tc>
        <w:tc>
          <w:tcPr>
            <w:tcW w:w="1084" w:type="dxa"/>
          </w:tcPr>
          <w:p>
            <w:pPr>
              <w:pStyle w:val="0"/>
              <w:jc w:val="center"/>
            </w:pPr>
            <w:r>
              <w:rPr>
                <w:sz w:val="20"/>
              </w:rPr>
              <w:t xml:space="preserve">590 558,7</w:t>
            </w:r>
          </w:p>
        </w:tc>
        <w:tc>
          <w:tcPr>
            <w:tcW w:w="1084" w:type="dxa"/>
          </w:tcPr>
          <w:p>
            <w:pPr>
              <w:pStyle w:val="0"/>
              <w:jc w:val="center"/>
            </w:pPr>
            <w:r>
              <w:rPr>
                <w:sz w:val="20"/>
              </w:rPr>
              <w:t xml:space="preserve">189 046,2</w:t>
            </w:r>
          </w:p>
        </w:tc>
        <w:tc>
          <w:tcPr>
            <w:tcW w:w="1084" w:type="dxa"/>
          </w:tcPr>
          <w:p>
            <w:pPr>
              <w:pStyle w:val="0"/>
              <w:jc w:val="center"/>
            </w:pPr>
            <w:r>
              <w:rPr>
                <w:sz w:val="20"/>
              </w:rPr>
              <w:t xml:space="preserve">386 466,1</w:t>
            </w:r>
          </w:p>
        </w:tc>
        <w:tc>
          <w:tcPr>
            <w:tcW w:w="1264" w:type="dxa"/>
          </w:tcPr>
          <w:p>
            <w:pPr>
              <w:pStyle w:val="0"/>
              <w:jc w:val="center"/>
            </w:pPr>
            <w:r>
              <w:rPr>
                <w:sz w:val="20"/>
              </w:rPr>
              <w:t xml:space="preserve">3 916 836,6</w:t>
            </w:r>
          </w:p>
        </w:tc>
        <w:tc>
          <w:tcPr>
            <w:tcW w:w="1264" w:type="dxa"/>
          </w:tcPr>
          <w:p>
            <w:pPr>
              <w:pStyle w:val="0"/>
              <w:jc w:val="center"/>
            </w:pPr>
            <w:r>
              <w:rPr>
                <w:sz w:val="20"/>
              </w:rPr>
              <w:t xml:space="preserve">5 206 096,5</w:t>
            </w:r>
          </w:p>
        </w:tc>
        <w:tc>
          <w:tcPr>
            <w:tcW w:w="1264" w:type="dxa"/>
          </w:tcPr>
          <w:p>
            <w:pPr>
              <w:pStyle w:val="0"/>
              <w:jc w:val="center"/>
            </w:pPr>
            <w:r>
              <w:rPr>
                <w:sz w:val="20"/>
              </w:rPr>
              <w:t xml:space="preserve">6 941 783,4</w:t>
            </w:r>
          </w:p>
        </w:tc>
        <w:tc>
          <w:tcPr>
            <w:tcW w:w="1264" w:type="dxa"/>
          </w:tcPr>
          <w:p>
            <w:pPr>
              <w:pStyle w:val="0"/>
              <w:jc w:val="center"/>
            </w:pPr>
            <w:r>
              <w:rPr>
                <w:sz w:val="20"/>
              </w:rPr>
              <w:t xml:space="preserve">1 315 421,5</w:t>
            </w:r>
          </w:p>
        </w:tc>
        <w:tc>
          <w:tcPr>
            <w:tcW w:w="1361" w:type="dxa"/>
          </w:tcPr>
          <w:p>
            <w:pPr>
              <w:pStyle w:val="0"/>
            </w:pPr>
            <w:r>
              <w:rPr>
                <w:sz w:val="20"/>
              </w:rPr>
            </w:r>
          </w:p>
        </w:tc>
      </w:tr>
      <w:tr>
        <w:tc>
          <w:tcPr>
            <w:tcW w:w="2324" w:type="dxa"/>
          </w:tcPr>
          <w:p>
            <w:pPr>
              <w:pStyle w:val="0"/>
            </w:pPr>
            <w:r>
              <w:rPr>
                <w:sz w:val="20"/>
              </w:rPr>
              <w:t xml:space="preserve">областного бюджета</w:t>
            </w:r>
          </w:p>
        </w:tc>
        <w:tc>
          <w:tcPr>
            <w:tcW w:w="1384" w:type="dxa"/>
          </w:tcPr>
          <w:p>
            <w:pPr>
              <w:pStyle w:val="0"/>
              <w:jc w:val="center"/>
            </w:pPr>
            <w:r>
              <w:rPr>
                <w:sz w:val="20"/>
              </w:rPr>
              <w:t xml:space="preserve">20 467 368,1</w:t>
            </w:r>
          </w:p>
        </w:tc>
        <w:tc>
          <w:tcPr>
            <w:tcW w:w="1264" w:type="dxa"/>
          </w:tcPr>
          <w:p>
            <w:pPr>
              <w:pStyle w:val="0"/>
              <w:jc w:val="center"/>
            </w:pPr>
            <w:r>
              <w:rPr>
                <w:sz w:val="20"/>
              </w:rPr>
              <w:t xml:space="preserve">1 175 821,8</w:t>
            </w:r>
          </w:p>
        </w:tc>
        <w:tc>
          <w:tcPr>
            <w:tcW w:w="1264" w:type="dxa"/>
          </w:tcPr>
          <w:p>
            <w:pPr>
              <w:pStyle w:val="0"/>
              <w:jc w:val="center"/>
            </w:pPr>
            <w:r>
              <w:rPr>
                <w:sz w:val="20"/>
              </w:rPr>
              <w:t xml:space="preserve">1 008 598,6</w:t>
            </w:r>
          </w:p>
        </w:tc>
        <w:tc>
          <w:tcPr>
            <w:tcW w:w="1084" w:type="dxa"/>
          </w:tcPr>
          <w:p>
            <w:pPr>
              <w:pStyle w:val="0"/>
              <w:jc w:val="center"/>
            </w:pPr>
            <w:r>
              <w:rPr>
                <w:sz w:val="20"/>
              </w:rPr>
              <w:t xml:space="preserve">344 283,6</w:t>
            </w:r>
          </w:p>
        </w:tc>
        <w:tc>
          <w:tcPr>
            <w:tcW w:w="1084" w:type="dxa"/>
          </w:tcPr>
          <w:p>
            <w:pPr>
              <w:pStyle w:val="0"/>
              <w:jc w:val="center"/>
            </w:pPr>
            <w:r>
              <w:rPr>
                <w:sz w:val="20"/>
              </w:rPr>
              <w:t xml:space="preserve">288 721,7</w:t>
            </w:r>
          </w:p>
        </w:tc>
        <w:tc>
          <w:tcPr>
            <w:tcW w:w="1084" w:type="dxa"/>
          </w:tcPr>
          <w:p>
            <w:pPr>
              <w:pStyle w:val="0"/>
              <w:jc w:val="center"/>
            </w:pPr>
            <w:r>
              <w:rPr>
                <w:sz w:val="20"/>
              </w:rPr>
              <w:t xml:space="preserve">568 902,2</w:t>
            </w:r>
          </w:p>
        </w:tc>
        <w:tc>
          <w:tcPr>
            <w:tcW w:w="1084" w:type="dxa"/>
          </w:tcPr>
          <w:p>
            <w:pPr>
              <w:pStyle w:val="0"/>
              <w:jc w:val="center"/>
            </w:pPr>
            <w:r>
              <w:rPr>
                <w:sz w:val="20"/>
              </w:rPr>
              <w:t xml:space="preserve">186 384,7</w:t>
            </w:r>
          </w:p>
        </w:tc>
        <w:tc>
          <w:tcPr>
            <w:tcW w:w="1084" w:type="dxa"/>
          </w:tcPr>
          <w:p>
            <w:pPr>
              <w:pStyle w:val="0"/>
              <w:jc w:val="center"/>
            </w:pPr>
            <w:r>
              <w:rPr>
                <w:sz w:val="20"/>
              </w:rPr>
              <w:t xml:space="preserve">372 088,3</w:t>
            </w:r>
          </w:p>
        </w:tc>
        <w:tc>
          <w:tcPr>
            <w:tcW w:w="1264" w:type="dxa"/>
          </w:tcPr>
          <w:p>
            <w:pPr>
              <w:pStyle w:val="0"/>
              <w:jc w:val="center"/>
            </w:pPr>
            <w:r>
              <w:rPr>
                <w:sz w:val="20"/>
              </w:rPr>
              <w:t xml:space="preserve">3 767 487,6</w:t>
            </w:r>
          </w:p>
        </w:tc>
        <w:tc>
          <w:tcPr>
            <w:tcW w:w="1264" w:type="dxa"/>
          </w:tcPr>
          <w:p>
            <w:pPr>
              <w:pStyle w:val="0"/>
              <w:jc w:val="center"/>
            </w:pPr>
            <w:r>
              <w:rPr>
                <w:sz w:val="20"/>
              </w:rPr>
              <w:t xml:space="preserve">5 083 191,4</w:t>
            </w:r>
          </w:p>
        </w:tc>
        <w:tc>
          <w:tcPr>
            <w:tcW w:w="1264" w:type="dxa"/>
          </w:tcPr>
          <w:p>
            <w:pPr>
              <w:pStyle w:val="0"/>
              <w:jc w:val="center"/>
            </w:pPr>
            <w:r>
              <w:rPr>
                <w:sz w:val="20"/>
              </w:rPr>
              <w:t xml:space="preserve">6 416 016,5</w:t>
            </w:r>
          </w:p>
        </w:tc>
        <w:tc>
          <w:tcPr>
            <w:tcW w:w="1264" w:type="dxa"/>
          </w:tcPr>
          <w:p>
            <w:pPr>
              <w:pStyle w:val="0"/>
              <w:jc w:val="center"/>
            </w:pPr>
            <w:r>
              <w:rPr>
                <w:sz w:val="20"/>
              </w:rPr>
              <w:t xml:space="preserve">1 255 871,7</w:t>
            </w:r>
          </w:p>
        </w:tc>
        <w:tc>
          <w:tcPr>
            <w:tcW w:w="1361" w:type="dxa"/>
          </w:tcPr>
          <w:p>
            <w:pPr>
              <w:pStyle w:val="0"/>
            </w:pPr>
            <w:r>
              <w:rPr>
                <w:sz w:val="20"/>
              </w:rPr>
            </w:r>
          </w:p>
        </w:tc>
      </w:tr>
      <w:tr>
        <w:tc>
          <w:tcPr>
            <w:tcW w:w="2324" w:type="dxa"/>
          </w:tcPr>
          <w:p>
            <w:pPr>
              <w:pStyle w:val="0"/>
            </w:pPr>
            <w:r>
              <w:rPr>
                <w:sz w:val="20"/>
              </w:rPr>
              <w:t xml:space="preserve">федерального бюджета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588 438,0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96 644,0</w:t>
            </w:r>
          </w:p>
        </w:tc>
        <w:tc>
          <w:tcPr>
            <w:tcW w:w="1264" w:type="dxa"/>
          </w:tcPr>
          <w:p>
            <w:pPr>
              <w:pStyle w:val="0"/>
              <w:jc w:val="center"/>
            </w:pPr>
            <w:r>
              <w:rPr>
                <w:sz w:val="20"/>
              </w:rPr>
              <w:t xml:space="preserve">45 394,0</w:t>
            </w:r>
          </w:p>
        </w:tc>
        <w:tc>
          <w:tcPr>
            <w:tcW w:w="1264" w:type="dxa"/>
          </w:tcPr>
          <w:p>
            <w:pPr>
              <w:pStyle w:val="0"/>
              <w:jc w:val="center"/>
            </w:pPr>
            <w:r>
              <w:rPr>
                <w:sz w:val="20"/>
              </w:rPr>
              <w:t xml:space="preserve">446 400,0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местных бюджетов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346 838,4</w:t>
            </w:r>
          </w:p>
        </w:tc>
        <w:tc>
          <w:tcPr>
            <w:tcW w:w="1264" w:type="dxa"/>
          </w:tcPr>
          <w:p>
            <w:pPr>
              <w:pStyle w:val="0"/>
              <w:jc w:val="center"/>
            </w:pPr>
            <w:r>
              <w:rPr>
                <w:sz w:val="20"/>
              </w:rPr>
              <w:t xml:space="preserve">12 112,5</w:t>
            </w:r>
          </w:p>
        </w:tc>
        <w:tc>
          <w:tcPr>
            <w:tcW w:w="1264" w:type="dxa"/>
          </w:tcPr>
          <w:p>
            <w:pPr>
              <w:pStyle w:val="0"/>
              <w:jc w:val="center"/>
            </w:pPr>
            <w:r>
              <w:rPr>
                <w:sz w:val="20"/>
              </w:rPr>
              <w:t xml:space="preserve">6 391,8</w:t>
            </w:r>
          </w:p>
        </w:tc>
        <w:tc>
          <w:tcPr>
            <w:tcW w:w="1084" w:type="dxa"/>
          </w:tcPr>
          <w:p>
            <w:pPr>
              <w:pStyle w:val="0"/>
              <w:jc w:val="center"/>
            </w:pPr>
            <w:r>
              <w:rPr>
                <w:sz w:val="20"/>
              </w:rPr>
              <w:t xml:space="preserve">10 450,6</w:t>
            </w:r>
          </w:p>
        </w:tc>
        <w:tc>
          <w:tcPr>
            <w:tcW w:w="1084" w:type="dxa"/>
          </w:tcPr>
          <w:p>
            <w:pPr>
              <w:pStyle w:val="0"/>
              <w:jc w:val="center"/>
            </w:pPr>
            <w:r>
              <w:rPr>
                <w:sz w:val="20"/>
              </w:rPr>
              <w:t xml:space="preserve">10 055,0</w:t>
            </w:r>
          </w:p>
        </w:tc>
        <w:tc>
          <w:tcPr>
            <w:tcW w:w="1084" w:type="dxa"/>
          </w:tcPr>
          <w:p>
            <w:pPr>
              <w:pStyle w:val="0"/>
              <w:jc w:val="center"/>
            </w:pPr>
            <w:r>
              <w:rPr>
                <w:sz w:val="20"/>
              </w:rPr>
              <w:t xml:space="preserve">21 656,5</w:t>
            </w:r>
          </w:p>
        </w:tc>
        <w:tc>
          <w:tcPr>
            <w:tcW w:w="1084" w:type="dxa"/>
          </w:tcPr>
          <w:p>
            <w:pPr>
              <w:pStyle w:val="0"/>
              <w:jc w:val="center"/>
            </w:pPr>
            <w:r>
              <w:rPr>
                <w:sz w:val="20"/>
              </w:rPr>
              <w:t xml:space="preserve">2 661,5</w:t>
            </w:r>
          </w:p>
        </w:tc>
        <w:tc>
          <w:tcPr>
            <w:tcW w:w="1084" w:type="dxa"/>
          </w:tcPr>
          <w:p>
            <w:pPr>
              <w:pStyle w:val="0"/>
              <w:jc w:val="center"/>
            </w:pPr>
            <w:r>
              <w:rPr>
                <w:sz w:val="20"/>
              </w:rPr>
              <w:t xml:space="preserve">14 377,8</w:t>
            </w:r>
          </w:p>
        </w:tc>
        <w:tc>
          <w:tcPr>
            <w:tcW w:w="1264" w:type="dxa"/>
          </w:tcPr>
          <w:p>
            <w:pPr>
              <w:pStyle w:val="0"/>
              <w:jc w:val="center"/>
            </w:pPr>
            <w:r>
              <w:rPr>
                <w:sz w:val="20"/>
              </w:rPr>
              <w:t xml:space="preserve">52 705,0</w:t>
            </w:r>
          </w:p>
        </w:tc>
        <w:tc>
          <w:tcPr>
            <w:tcW w:w="1264" w:type="dxa"/>
          </w:tcPr>
          <w:p>
            <w:pPr>
              <w:pStyle w:val="0"/>
              <w:jc w:val="center"/>
            </w:pPr>
            <w:r>
              <w:rPr>
                <w:sz w:val="20"/>
              </w:rPr>
              <w:t xml:space="preserve">77 511,1</w:t>
            </w:r>
          </w:p>
        </w:tc>
        <w:tc>
          <w:tcPr>
            <w:tcW w:w="1264" w:type="dxa"/>
          </w:tcPr>
          <w:p>
            <w:pPr>
              <w:pStyle w:val="0"/>
              <w:jc w:val="center"/>
            </w:pPr>
            <w:r>
              <w:rPr>
                <w:sz w:val="20"/>
              </w:rPr>
              <w:t xml:space="preserve">79 366,9</w:t>
            </w:r>
          </w:p>
        </w:tc>
        <w:tc>
          <w:tcPr>
            <w:tcW w:w="1264" w:type="dxa"/>
          </w:tcPr>
          <w:p>
            <w:pPr>
              <w:pStyle w:val="0"/>
              <w:jc w:val="center"/>
            </w:pPr>
            <w:r>
              <w:rPr>
                <w:sz w:val="20"/>
              </w:rPr>
              <w:t xml:space="preserve">59 549,8</w:t>
            </w:r>
          </w:p>
        </w:tc>
        <w:tc>
          <w:tcPr>
            <w:tcW w:w="1361" w:type="dxa"/>
          </w:tcPr>
          <w:p>
            <w:pPr>
              <w:pStyle w:val="0"/>
            </w:pPr>
            <w:r>
              <w:rPr>
                <w:sz w:val="20"/>
              </w:rPr>
            </w:r>
          </w:p>
        </w:tc>
      </w:tr>
      <w:tr>
        <w:tc>
          <w:tcPr>
            <w:tcW w:w="2324" w:type="dxa"/>
          </w:tcPr>
          <w:p>
            <w:pPr>
              <w:pStyle w:val="0"/>
            </w:pPr>
            <w:r>
              <w:rPr>
                <w:sz w:val="20"/>
              </w:rPr>
              <w:t xml:space="preserve">внебюджетных источников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1 947 600,0</w:t>
            </w:r>
          </w:p>
        </w:tc>
        <w:tc>
          <w:tcPr>
            <w:tcW w:w="1264" w:type="dxa"/>
          </w:tcPr>
          <w:p>
            <w:pPr>
              <w:pStyle w:val="0"/>
              <w:jc w:val="center"/>
            </w:pPr>
            <w:r>
              <w:rPr>
                <w:sz w:val="20"/>
              </w:rPr>
              <w:t xml:space="preserve">1 947 600,0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jc w:val="center"/>
            </w:pPr>
            <w:r>
              <w:rPr>
                <w:sz w:val="20"/>
              </w:rPr>
              <w:t xml:space="preserve">Капитальные вложения,</w:t>
            </w:r>
          </w:p>
          <w:p>
            <w:pPr>
              <w:pStyle w:val="0"/>
              <w:jc w:val="center"/>
            </w:pPr>
            <w:r>
              <w:rPr>
                <w:sz w:val="20"/>
              </w:rPr>
              <w:t xml:space="preserve">в том числе из:</w:t>
            </w:r>
          </w:p>
        </w:tc>
        <w:tc>
          <w:tcPr>
            <w:tcW w:w="1384" w:type="dxa"/>
          </w:tcPr>
          <w:p>
            <w:pPr>
              <w:pStyle w:val="0"/>
              <w:jc w:val="center"/>
            </w:pPr>
            <w:r>
              <w:rPr>
                <w:sz w:val="20"/>
              </w:rPr>
              <w:t xml:space="preserve">17 740 919,4</w:t>
            </w:r>
          </w:p>
        </w:tc>
        <w:tc>
          <w:tcPr>
            <w:tcW w:w="1264" w:type="dxa"/>
          </w:tcPr>
          <w:p>
            <w:pPr>
              <w:pStyle w:val="0"/>
              <w:jc w:val="center"/>
            </w:pPr>
            <w:r>
              <w:rPr>
                <w:sz w:val="20"/>
              </w:rPr>
              <w:t xml:space="preserve">270 341,5</w:t>
            </w:r>
          </w:p>
        </w:tc>
        <w:tc>
          <w:tcPr>
            <w:tcW w:w="1264" w:type="dxa"/>
          </w:tcPr>
          <w:p>
            <w:pPr>
              <w:pStyle w:val="0"/>
              <w:jc w:val="center"/>
            </w:pPr>
            <w:r>
              <w:rPr>
                <w:sz w:val="20"/>
              </w:rPr>
              <w:t xml:space="preserve">262 185,1</w:t>
            </w:r>
          </w:p>
        </w:tc>
        <w:tc>
          <w:tcPr>
            <w:tcW w:w="1084" w:type="dxa"/>
          </w:tcPr>
          <w:p>
            <w:pPr>
              <w:pStyle w:val="0"/>
              <w:jc w:val="center"/>
            </w:pPr>
            <w:r>
              <w:rPr>
                <w:sz w:val="20"/>
              </w:rPr>
              <w:t xml:space="preserve">65 841,4</w:t>
            </w:r>
          </w:p>
        </w:tc>
        <w:tc>
          <w:tcPr>
            <w:tcW w:w="1084" w:type="dxa"/>
          </w:tcPr>
          <w:p>
            <w:pPr>
              <w:pStyle w:val="0"/>
              <w:jc w:val="center"/>
            </w:pPr>
            <w:r>
              <w:rPr>
                <w:sz w:val="20"/>
              </w:rPr>
              <w:t xml:space="preserve">92 688,9</w:t>
            </w:r>
          </w:p>
        </w:tc>
        <w:tc>
          <w:tcPr>
            <w:tcW w:w="1084" w:type="dxa"/>
          </w:tcPr>
          <w:p>
            <w:pPr>
              <w:pStyle w:val="0"/>
              <w:jc w:val="center"/>
            </w:pPr>
            <w:r>
              <w:rPr>
                <w:sz w:val="20"/>
              </w:rPr>
              <w:t xml:space="preserve">408 833,6</w:t>
            </w:r>
          </w:p>
        </w:tc>
        <w:tc>
          <w:tcPr>
            <w:tcW w:w="1084" w:type="dxa"/>
          </w:tcPr>
          <w:p>
            <w:pPr>
              <w:pStyle w:val="0"/>
              <w:jc w:val="center"/>
            </w:pPr>
            <w:r>
              <w:rPr>
                <w:sz w:val="20"/>
              </w:rPr>
              <w:t xml:space="preserve">41 189,3</w:t>
            </w:r>
          </w:p>
        </w:tc>
        <w:tc>
          <w:tcPr>
            <w:tcW w:w="1084" w:type="dxa"/>
          </w:tcPr>
          <w:p>
            <w:pPr>
              <w:pStyle w:val="0"/>
              <w:jc w:val="center"/>
            </w:pPr>
            <w:r>
              <w:rPr>
                <w:sz w:val="20"/>
              </w:rPr>
              <w:t xml:space="preserve">255 976,5</w:t>
            </w:r>
          </w:p>
        </w:tc>
        <w:tc>
          <w:tcPr>
            <w:tcW w:w="1264" w:type="dxa"/>
          </w:tcPr>
          <w:p>
            <w:pPr>
              <w:pStyle w:val="0"/>
              <w:jc w:val="center"/>
            </w:pPr>
            <w:r>
              <w:rPr>
                <w:sz w:val="20"/>
              </w:rPr>
              <w:t xml:space="preserve">3 682 166,4</w:t>
            </w:r>
          </w:p>
        </w:tc>
        <w:tc>
          <w:tcPr>
            <w:tcW w:w="1264" w:type="dxa"/>
          </w:tcPr>
          <w:p>
            <w:pPr>
              <w:pStyle w:val="0"/>
              <w:jc w:val="center"/>
            </w:pPr>
            <w:r>
              <w:rPr>
                <w:sz w:val="20"/>
              </w:rPr>
              <w:t xml:space="preserve">5 004 544,6</w:t>
            </w:r>
          </w:p>
        </w:tc>
        <w:tc>
          <w:tcPr>
            <w:tcW w:w="1264" w:type="dxa"/>
          </w:tcPr>
          <w:p>
            <w:pPr>
              <w:pStyle w:val="0"/>
              <w:jc w:val="center"/>
            </w:pPr>
            <w:r>
              <w:rPr>
                <w:sz w:val="20"/>
              </w:rPr>
              <w:t xml:space="preserve">6 652 911,7</w:t>
            </w:r>
          </w:p>
        </w:tc>
        <w:tc>
          <w:tcPr>
            <w:tcW w:w="1264" w:type="dxa"/>
          </w:tcPr>
          <w:p>
            <w:pPr>
              <w:pStyle w:val="0"/>
              <w:jc w:val="center"/>
            </w:pPr>
            <w:r>
              <w:rPr>
                <w:sz w:val="20"/>
              </w:rPr>
              <w:t xml:space="preserve">1 004 240,5</w:t>
            </w:r>
          </w:p>
        </w:tc>
        <w:tc>
          <w:tcPr>
            <w:tcW w:w="1361" w:type="dxa"/>
          </w:tcPr>
          <w:p>
            <w:pPr>
              <w:pStyle w:val="0"/>
            </w:pPr>
            <w:r>
              <w:rPr>
                <w:sz w:val="20"/>
              </w:rPr>
            </w:r>
          </w:p>
        </w:tc>
      </w:tr>
      <w:tr>
        <w:tc>
          <w:tcPr>
            <w:tcW w:w="2324" w:type="dxa"/>
          </w:tcPr>
          <w:p>
            <w:pPr>
              <w:pStyle w:val="0"/>
            </w:pPr>
            <w:r>
              <w:rPr>
                <w:sz w:val="20"/>
              </w:rPr>
              <w:t xml:space="preserve">областного бюджета</w:t>
            </w:r>
          </w:p>
        </w:tc>
        <w:tc>
          <w:tcPr>
            <w:tcW w:w="1384" w:type="dxa"/>
          </w:tcPr>
          <w:p>
            <w:pPr>
              <w:pStyle w:val="0"/>
              <w:jc w:val="center"/>
            </w:pPr>
            <w:r>
              <w:rPr>
                <w:sz w:val="20"/>
              </w:rPr>
              <w:t xml:space="preserve">16 836 330,8</w:t>
            </w:r>
          </w:p>
        </w:tc>
        <w:tc>
          <w:tcPr>
            <w:tcW w:w="1264" w:type="dxa"/>
          </w:tcPr>
          <w:p>
            <w:pPr>
              <w:pStyle w:val="0"/>
              <w:jc w:val="center"/>
            </w:pPr>
            <w:r>
              <w:rPr>
                <w:sz w:val="20"/>
              </w:rPr>
              <w:t xml:space="preserve">261 219,4</w:t>
            </w:r>
          </w:p>
        </w:tc>
        <w:tc>
          <w:tcPr>
            <w:tcW w:w="1264" w:type="dxa"/>
          </w:tcPr>
          <w:p>
            <w:pPr>
              <w:pStyle w:val="0"/>
              <w:jc w:val="center"/>
            </w:pPr>
            <w:r>
              <w:rPr>
                <w:sz w:val="20"/>
              </w:rPr>
              <w:t xml:space="preserve">256 494,0</w:t>
            </w:r>
          </w:p>
        </w:tc>
        <w:tc>
          <w:tcPr>
            <w:tcW w:w="1084" w:type="dxa"/>
          </w:tcPr>
          <w:p>
            <w:pPr>
              <w:pStyle w:val="0"/>
              <w:jc w:val="center"/>
            </w:pPr>
            <w:r>
              <w:rPr>
                <w:sz w:val="20"/>
              </w:rPr>
              <w:t xml:space="preserve">59 689,6</w:t>
            </w:r>
          </w:p>
        </w:tc>
        <w:tc>
          <w:tcPr>
            <w:tcW w:w="1084" w:type="dxa"/>
          </w:tcPr>
          <w:p>
            <w:pPr>
              <w:pStyle w:val="0"/>
              <w:jc w:val="center"/>
            </w:pPr>
            <w:r>
              <w:rPr>
                <w:sz w:val="20"/>
              </w:rPr>
              <w:t xml:space="preserve">88 751,8</w:t>
            </w:r>
          </w:p>
        </w:tc>
        <w:tc>
          <w:tcPr>
            <w:tcW w:w="1084" w:type="dxa"/>
          </w:tcPr>
          <w:p>
            <w:pPr>
              <w:pStyle w:val="0"/>
              <w:jc w:val="center"/>
            </w:pPr>
            <w:r>
              <w:rPr>
                <w:sz w:val="20"/>
              </w:rPr>
              <w:t xml:space="preserve">388 928,7</w:t>
            </w:r>
          </w:p>
        </w:tc>
        <w:tc>
          <w:tcPr>
            <w:tcW w:w="1084" w:type="dxa"/>
          </w:tcPr>
          <w:p>
            <w:pPr>
              <w:pStyle w:val="0"/>
              <w:jc w:val="center"/>
            </w:pPr>
            <w:r>
              <w:rPr>
                <w:sz w:val="20"/>
              </w:rPr>
              <w:t xml:space="preserve">39 246,7</w:t>
            </w:r>
          </w:p>
        </w:tc>
        <w:tc>
          <w:tcPr>
            <w:tcW w:w="1084" w:type="dxa"/>
          </w:tcPr>
          <w:p>
            <w:pPr>
              <w:pStyle w:val="0"/>
              <w:jc w:val="center"/>
            </w:pPr>
            <w:r>
              <w:rPr>
                <w:sz w:val="20"/>
              </w:rPr>
              <w:t xml:space="preserve">243 177,6</w:t>
            </w:r>
          </w:p>
        </w:tc>
        <w:tc>
          <w:tcPr>
            <w:tcW w:w="1264" w:type="dxa"/>
          </w:tcPr>
          <w:p>
            <w:pPr>
              <w:pStyle w:val="0"/>
              <w:jc w:val="center"/>
            </w:pPr>
            <w:r>
              <w:rPr>
                <w:sz w:val="20"/>
              </w:rPr>
              <w:t xml:space="preserve">3 540 892,5</w:t>
            </w:r>
          </w:p>
        </w:tc>
        <w:tc>
          <w:tcPr>
            <w:tcW w:w="1264" w:type="dxa"/>
          </w:tcPr>
          <w:p>
            <w:pPr>
              <w:pStyle w:val="0"/>
              <w:jc w:val="center"/>
            </w:pPr>
            <w:r>
              <w:rPr>
                <w:sz w:val="20"/>
              </w:rPr>
              <w:t xml:space="preserve">4 886 018,5</w:t>
            </w:r>
          </w:p>
        </w:tc>
        <w:tc>
          <w:tcPr>
            <w:tcW w:w="1264" w:type="dxa"/>
          </w:tcPr>
          <w:p>
            <w:pPr>
              <w:pStyle w:val="0"/>
              <w:jc w:val="center"/>
            </w:pPr>
            <w:r>
              <w:rPr>
                <w:sz w:val="20"/>
              </w:rPr>
              <w:t xml:space="preserve">6 117 883,6</w:t>
            </w:r>
          </w:p>
        </w:tc>
        <w:tc>
          <w:tcPr>
            <w:tcW w:w="1264" w:type="dxa"/>
          </w:tcPr>
          <w:p>
            <w:pPr>
              <w:pStyle w:val="0"/>
              <w:jc w:val="center"/>
            </w:pPr>
            <w:r>
              <w:rPr>
                <w:sz w:val="20"/>
              </w:rPr>
              <w:t xml:space="preserve">954 028,4</w:t>
            </w:r>
          </w:p>
        </w:tc>
        <w:tc>
          <w:tcPr>
            <w:tcW w:w="1361" w:type="dxa"/>
          </w:tcPr>
          <w:p>
            <w:pPr>
              <w:pStyle w:val="0"/>
            </w:pPr>
            <w:r>
              <w:rPr>
                <w:sz w:val="20"/>
              </w:rPr>
            </w:r>
          </w:p>
        </w:tc>
      </w:tr>
      <w:tr>
        <w:tc>
          <w:tcPr>
            <w:tcW w:w="2324" w:type="dxa"/>
          </w:tcPr>
          <w:p>
            <w:pPr>
              <w:pStyle w:val="0"/>
            </w:pPr>
            <w:r>
              <w:rPr>
                <w:sz w:val="20"/>
              </w:rPr>
              <w:t xml:space="preserve">федерального бюджета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588 438,0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96 644,0</w:t>
            </w:r>
          </w:p>
        </w:tc>
        <w:tc>
          <w:tcPr>
            <w:tcW w:w="1264" w:type="dxa"/>
          </w:tcPr>
          <w:p>
            <w:pPr>
              <w:pStyle w:val="0"/>
              <w:jc w:val="center"/>
            </w:pPr>
            <w:r>
              <w:rPr>
                <w:sz w:val="20"/>
              </w:rPr>
              <w:t xml:space="preserve">45 394,0</w:t>
            </w:r>
          </w:p>
        </w:tc>
        <w:tc>
          <w:tcPr>
            <w:tcW w:w="1264" w:type="dxa"/>
          </w:tcPr>
          <w:p>
            <w:pPr>
              <w:pStyle w:val="0"/>
              <w:jc w:val="center"/>
            </w:pPr>
            <w:r>
              <w:rPr>
                <w:sz w:val="20"/>
              </w:rPr>
              <w:t xml:space="preserve">446 400,0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местных бюджетов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316 150,6</w:t>
            </w:r>
          </w:p>
        </w:tc>
        <w:tc>
          <w:tcPr>
            <w:tcW w:w="1264" w:type="dxa"/>
          </w:tcPr>
          <w:p>
            <w:pPr>
              <w:pStyle w:val="0"/>
              <w:jc w:val="center"/>
            </w:pPr>
            <w:r>
              <w:rPr>
                <w:sz w:val="20"/>
              </w:rPr>
              <w:t xml:space="preserve">9 122,1</w:t>
            </w:r>
          </w:p>
        </w:tc>
        <w:tc>
          <w:tcPr>
            <w:tcW w:w="1264" w:type="dxa"/>
          </w:tcPr>
          <w:p>
            <w:pPr>
              <w:pStyle w:val="0"/>
              <w:jc w:val="center"/>
            </w:pPr>
            <w:r>
              <w:rPr>
                <w:sz w:val="20"/>
              </w:rPr>
              <w:t xml:space="preserve">5 691,1</w:t>
            </w:r>
          </w:p>
        </w:tc>
        <w:tc>
          <w:tcPr>
            <w:tcW w:w="1084" w:type="dxa"/>
          </w:tcPr>
          <w:p>
            <w:pPr>
              <w:pStyle w:val="0"/>
              <w:jc w:val="center"/>
            </w:pPr>
            <w:r>
              <w:rPr>
                <w:sz w:val="20"/>
              </w:rPr>
              <w:t xml:space="preserve">6 151,8</w:t>
            </w:r>
          </w:p>
        </w:tc>
        <w:tc>
          <w:tcPr>
            <w:tcW w:w="1084" w:type="dxa"/>
          </w:tcPr>
          <w:p>
            <w:pPr>
              <w:pStyle w:val="0"/>
              <w:jc w:val="center"/>
            </w:pPr>
            <w:r>
              <w:rPr>
                <w:sz w:val="20"/>
              </w:rPr>
              <w:t xml:space="preserve">3 937,1</w:t>
            </w:r>
          </w:p>
        </w:tc>
        <w:tc>
          <w:tcPr>
            <w:tcW w:w="1084" w:type="dxa"/>
          </w:tcPr>
          <w:p>
            <w:pPr>
              <w:pStyle w:val="0"/>
              <w:jc w:val="center"/>
            </w:pPr>
            <w:r>
              <w:rPr>
                <w:sz w:val="20"/>
              </w:rPr>
              <w:t xml:space="preserve">19 904,9</w:t>
            </w:r>
          </w:p>
        </w:tc>
        <w:tc>
          <w:tcPr>
            <w:tcW w:w="1084" w:type="dxa"/>
          </w:tcPr>
          <w:p>
            <w:pPr>
              <w:pStyle w:val="0"/>
              <w:jc w:val="center"/>
            </w:pPr>
            <w:r>
              <w:rPr>
                <w:sz w:val="20"/>
              </w:rPr>
              <w:t xml:space="preserve">1 942,6</w:t>
            </w:r>
          </w:p>
        </w:tc>
        <w:tc>
          <w:tcPr>
            <w:tcW w:w="1084" w:type="dxa"/>
          </w:tcPr>
          <w:p>
            <w:pPr>
              <w:pStyle w:val="0"/>
              <w:jc w:val="center"/>
            </w:pPr>
            <w:r>
              <w:rPr>
                <w:sz w:val="20"/>
              </w:rPr>
              <w:t xml:space="preserve">12 798,9</w:t>
            </w:r>
          </w:p>
        </w:tc>
        <w:tc>
          <w:tcPr>
            <w:tcW w:w="1264" w:type="dxa"/>
          </w:tcPr>
          <w:p>
            <w:pPr>
              <w:pStyle w:val="0"/>
              <w:jc w:val="center"/>
            </w:pPr>
            <w:r>
              <w:rPr>
                <w:sz w:val="20"/>
              </w:rPr>
              <w:t xml:space="preserve">44 629,9</w:t>
            </w:r>
          </w:p>
        </w:tc>
        <w:tc>
          <w:tcPr>
            <w:tcW w:w="1264" w:type="dxa"/>
          </w:tcPr>
          <w:p>
            <w:pPr>
              <w:pStyle w:val="0"/>
              <w:jc w:val="center"/>
            </w:pPr>
            <w:r>
              <w:rPr>
                <w:sz w:val="20"/>
              </w:rPr>
              <w:t xml:space="preserve">73 132,1</w:t>
            </w:r>
          </w:p>
        </w:tc>
        <w:tc>
          <w:tcPr>
            <w:tcW w:w="1264" w:type="dxa"/>
          </w:tcPr>
          <w:p>
            <w:pPr>
              <w:pStyle w:val="0"/>
              <w:jc w:val="center"/>
            </w:pPr>
            <w:r>
              <w:rPr>
                <w:sz w:val="20"/>
              </w:rPr>
              <w:t xml:space="preserve">88 628,1</w:t>
            </w:r>
          </w:p>
        </w:tc>
        <w:tc>
          <w:tcPr>
            <w:tcW w:w="1264" w:type="dxa"/>
          </w:tcPr>
          <w:p>
            <w:pPr>
              <w:pStyle w:val="0"/>
              <w:jc w:val="center"/>
            </w:pPr>
            <w:r>
              <w:rPr>
                <w:sz w:val="20"/>
              </w:rPr>
              <w:t xml:space="preserve">50 212,1</w:t>
            </w:r>
          </w:p>
        </w:tc>
        <w:tc>
          <w:tcPr>
            <w:tcW w:w="1361" w:type="dxa"/>
          </w:tcPr>
          <w:p>
            <w:pPr>
              <w:pStyle w:val="0"/>
            </w:pPr>
            <w:r>
              <w:rPr>
                <w:sz w:val="20"/>
              </w:rPr>
            </w:r>
          </w:p>
        </w:tc>
      </w:tr>
      <w:tr>
        <w:tc>
          <w:tcPr>
            <w:tcW w:w="2324" w:type="dxa"/>
          </w:tcPr>
          <w:p>
            <w:pPr>
              <w:pStyle w:val="0"/>
            </w:pPr>
            <w:r>
              <w:rPr>
                <w:sz w:val="20"/>
              </w:rPr>
              <w:t xml:space="preserve">внебюджетных источников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НИОКР </w:t>
            </w:r>
            <w:hyperlink w:history="0" w:anchor="P5423" w:tooltip="&lt;**&gt; Научно-исследовательские и опытно-конструкторские работы.">
              <w:r>
                <w:rPr>
                  <w:sz w:val="20"/>
                  <w:color w:val="0000ff"/>
                </w:rPr>
                <w:t xml:space="preserve">&lt;**&gt;</w:t>
              </w:r>
            </w:hyperlink>
            <w:r>
              <w:rPr>
                <w:sz w:val="20"/>
              </w:rPr>
              <w:t xml:space="preserve">, в том числе из:</w:t>
            </w:r>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областного бюджета</w:t>
            </w:r>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федерального бюджета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местных бюджетов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внебюджетных источников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jc w:val="center"/>
            </w:pPr>
            <w:r>
              <w:rPr>
                <w:sz w:val="20"/>
              </w:rPr>
              <w:t xml:space="preserve">Прочие расходы,</w:t>
            </w:r>
          </w:p>
          <w:p>
            <w:pPr>
              <w:pStyle w:val="0"/>
              <w:jc w:val="center"/>
            </w:pPr>
            <w:r>
              <w:rPr>
                <w:sz w:val="20"/>
              </w:rPr>
              <w:t xml:space="preserve">в том числе из:</w:t>
            </w:r>
          </w:p>
        </w:tc>
        <w:tc>
          <w:tcPr>
            <w:tcW w:w="1384" w:type="dxa"/>
          </w:tcPr>
          <w:p>
            <w:pPr>
              <w:pStyle w:val="0"/>
              <w:jc w:val="center"/>
            </w:pPr>
            <w:r>
              <w:rPr>
                <w:sz w:val="20"/>
              </w:rPr>
              <w:t xml:space="preserve">5 629 816,5</w:t>
            </w:r>
          </w:p>
        </w:tc>
        <w:tc>
          <w:tcPr>
            <w:tcW w:w="1264" w:type="dxa"/>
          </w:tcPr>
          <w:p>
            <w:pPr>
              <w:pStyle w:val="0"/>
              <w:jc w:val="center"/>
            </w:pPr>
            <w:r>
              <w:rPr>
                <w:sz w:val="20"/>
              </w:rPr>
              <w:t xml:space="preserve">2 865 192,8</w:t>
            </w:r>
          </w:p>
        </w:tc>
        <w:tc>
          <w:tcPr>
            <w:tcW w:w="1264" w:type="dxa"/>
          </w:tcPr>
          <w:p>
            <w:pPr>
              <w:pStyle w:val="0"/>
              <w:jc w:val="center"/>
            </w:pPr>
            <w:r>
              <w:rPr>
                <w:sz w:val="20"/>
              </w:rPr>
              <w:t xml:space="preserve">752 805,3</w:t>
            </w:r>
          </w:p>
        </w:tc>
        <w:tc>
          <w:tcPr>
            <w:tcW w:w="1084" w:type="dxa"/>
          </w:tcPr>
          <w:p>
            <w:pPr>
              <w:pStyle w:val="0"/>
              <w:jc w:val="center"/>
            </w:pPr>
            <w:r>
              <w:rPr>
                <w:sz w:val="20"/>
              </w:rPr>
              <w:t xml:space="preserve">288 892,8</w:t>
            </w:r>
          </w:p>
        </w:tc>
        <w:tc>
          <w:tcPr>
            <w:tcW w:w="1084" w:type="dxa"/>
          </w:tcPr>
          <w:p>
            <w:pPr>
              <w:pStyle w:val="0"/>
              <w:jc w:val="center"/>
            </w:pPr>
            <w:r>
              <w:rPr>
                <w:sz w:val="20"/>
              </w:rPr>
              <w:t xml:space="preserve">206 087,8</w:t>
            </w:r>
          </w:p>
        </w:tc>
        <w:tc>
          <w:tcPr>
            <w:tcW w:w="1084" w:type="dxa"/>
          </w:tcPr>
          <w:p>
            <w:pPr>
              <w:pStyle w:val="0"/>
              <w:jc w:val="center"/>
            </w:pPr>
            <w:r>
              <w:rPr>
                <w:sz w:val="20"/>
              </w:rPr>
              <w:t xml:space="preserve">181 725,1</w:t>
            </w:r>
          </w:p>
        </w:tc>
        <w:tc>
          <w:tcPr>
            <w:tcW w:w="1084" w:type="dxa"/>
          </w:tcPr>
          <w:p>
            <w:pPr>
              <w:pStyle w:val="0"/>
              <w:jc w:val="center"/>
            </w:pPr>
            <w:r>
              <w:rPr>
                <w:sz w:val="20"/>
              </w:rPr>
              <w:t xml:space="preserve">147 856,9</w:t>
            </w:r>
          </w:p>
        </w:tc>
        <w:tc>
          <w:tcPr>
            <w:tcW w:w="1084" w:type="dxa"/>
          </w:tcPr>
          <w:p>
            <w:pPr>
              <w:pStyle w:val="0"/>
              <w:jc w:val="center"/>
            </w:pPr>
            <w:r>
              <w:rPr>
                <w:sz w:val="20"/>
              </w:rPr>
              <w:t xml:space="preserve">130 489,6</w:t>
            </w:r>
          </w:p>
        </w:tc>
        <w:tc>
          <w:tcPr>
            <w:tcW w:w="1264" w:type="dxa"/>
          </w:tcPr>
          <w:p>
            <w:pPr>
              <w:pStyle w:val="0"/>
              <w:jc w:val="center"/>
            </w:pPr>
            <w:r>
              <w:rPr>
                <w:sz w:val="20"/>
              </w:rPr>
              <w:t xml:space="preserve">234 670,2</w:t>
            </w:r>
          </w:p>
        </w:tc>
        <w:tc>
          <w:tcPr>
            <w:tcW w:w="1264" w:type="dxa"/>
          </w:tcPr>
          <w:p>
            <w:pPr>
              <w:pStyle w:val="0"/>
              <w:jc w:val="center"/>
            </w:pPr>
            <w:r>
              <w:rPr>
                <w:sz w:val="20"/>
              </w:rPr>
              <w:t xml:space="preserve">203 443,3</w:t>
            </w:r>
          </w:p>
        </w:tc>
        <w:tc>
          <w:tcPr>
            <w:tcW w:w="1264" w:type="dxa"/>
          </w:tcPr>
          <w:p>
            <w:pPr>
              <w:pStyle w:val="0"/>
              <w:jc w:val="center"/>
            </w:pPr>
            <w:r>
              <w:rPr>
                <w:sz w:val="20"/>
              </w:rPr>
              <w:t xml:space="preserve">307 471,7</w:t>
            </w:r>
          </w:p>
        </w:tc>
        <w:tc>
          <w:tcPr>
            <w:tcW w:w="1264" w:type="dxa"/>
          </w:tcPr>
          <w:p>
            <w:pPr>
              <w:pStyle w:val="0"/>
              <w:jc w:val="center"/>
            </w:pPr>
            <w:r>
              <w:rPr>
                <w:sz w:val="20"/>
              </w:rPr>
              <w:t xml:space="preserve">311 181,0</w:t>
            </w:r>
          </w:p>
        </w:tc>
        <w:tc>
          <w:tcPr>
            <w:tcW w:w="1361" w:type="dxa"/>
          </w:tcPr>
          <w:p>
            <w:pPr>
              <w:pStyle w:val="0"/>
            </w:pPr>
            <w:r>
              <w:rPr>
                <w:sz w:val="20"/>
              </w:rPr>
            </w:r>
          </w:p>
        </w:tc>
      </w:tr>
      <w:tr>
        <w:tc>
          <w:tcPr>
            <w:tcW w:w="2324" w:type="dxa"/>
          </w:tcPr>
          <w:p>
            <w:pPr>
              <w:pStyle w:val="0"/>
            </w:pPr>
            <w:r>
              <w:rPr>
                <w:sz w:val="20"/>
              </w:rPr>
              <w:t xml:space="preserve">областного бюджета</w:t>
            </w:r>
          </w:p>
        </w:tc>
        <w:tc>
          <w:tcPr>
            <w:tcW w:w="1384" w:type="dxa"/>
          </w:tcPr>
          <w:p>
            <w:pPr>
              <w:pStyle w:val="0"/>
              <w:jc w:val="center"/>
            </w:pPr>
            <w:r>
              <w:rPr>
                <w:sz w:val="20"/>
              </w:rPr>
              <w:t xml:space="preserve">3 631 037,3</w:t>
            </w:r>
          </w:p>
        </w:tc>
        <w:tc>
          <w:tcPr>
            <w:tcW w:w="1264" w:type="dxa"/>
          </w:tcPr>
          <w:p>
            <w:pPr>
              <w:pStyle w:val="0"/>
              <w:jc w:val="center"/>
            </w:pPr>
            <w:r>
              <w:rPr>
                <w:sz w:val="20"/>
              </w:rPr>
              <w:t xml:space="preserve">914 602,4</w:t>
            </w:r>
          </w:p>
        </w:tc>
        <w:tc>
          <w:tcPr>
            <w:tcW w:w="1264" w:type="dxa"/>
          </w:tcPr>
          <w:p>
            <w:pPr>
              <w:pStyle w:val="0"/>
              <w:jc w:val="center"/>
            </w:pPr>
            <w:r>
              <w:rPr>
                <w:sz w:val="20"/>
              </w:rPr>
              <w:t xml:space="preserve">752 104,6</w:t>
            </w:r>
          </w:p>
        </w:tc>
        <w:tc>
          <w:tcPr>
            <w:tcW w:w="1084" w:type="dxa"/>
          </w:tcPr>
          <w:p>
            <w:pPr>
              <w:pStyle w:val="0"/>
              <w:jc w:val="center"/>
            </w:pPr>
            <w:r>
              <w:rPr>
                <w:sz w:val="20"/>
              </w:rPr>
              <w:t xml:space="preserve">284 594,0</w:t>
            </w:r>
          </w:p>
        </w:tc>
        <w:tc>
          <w:tcPr>
            <w:tcW w:w="1084" w:type="dxa"/>
          </w:tcPr>
          <w:p>
            <w:pPr>
              <w:pStyle w:val="0"/>
              <w:jc w:val="center"/>
            </w:pPr>
            <w:r>
              <w:rPr>
                <w:sz w:val="20"/>
              </w:rPr>
              <w:t xml:space="preserve">199 969,9</w:t>
            </w:r>
          </w:p>
        </w:tc>
        <w:tc>
          <w:tcPr>
            <w:tcW w:w="1084" w:type="dxa"/>
          </w:tcPr>
          <w:p>
            <w:pPr>
              <w:pStyle w:val="0"/>
              <w:jc w:val="center"/>
            </w:pPr>
            <w:r>
              <w:rPr>
                <w:sz w:val="20"/>
              </w:rPr>
              <w:t xml:space="preserve">179 973,5</w:t>
            </w:r>
          </w:p>
        </w:tc>
        <w:tc>
          <w:tcPr>
            <w:tcW w:w="1084" w:type="dxa"/>
          </w:tcPr>
          <w:p>
            <w:pPr>
              <w:pStyle w:val="0"/>
              <w:jc w:val="center"/>
            </w:pPr>
            <w:r>
              <w:rPr>
                <w:sz w:val="20"/>
              </w:rPr>
              <w:t xml:space="preserve">147 138,0</w:t>
            </w:r>
          </w:p>
        </w:tc>
        <w:tc>
          <w:tcPr>
            <w:tcW w:w="1084" w:type="dxa"/>
          </w:tcPr>
          <w:p>
            <w:pPr>
              <w:pStyle w:val="0"/>
              <w:jc w:val="center"/>
            </w:pPr>
            <w:r>
              <w:rPr>
                <w:sz w:val="20"/>
              </w:rPr>
              <w:t xml:space="preserve">128 910,7</w:t>
            </w:r>
          </w:p>
        </w:tc>
        <w:tc>
          <w:tcPr>
            <w:tcW w:w="1264" w:type="dxa"/>
          </w:tcPr>
          <w:p>
            <w:pPr>
              <w:pStyle w:val="0"/>
              <w:jc w:val="center"/>
            </w:pPr>
            <w:r>
              <w:rPr>
                <w:sz w:val="20"/>
              </w:rPr>
              <w:t xml:space="preserve">226 595,1</w:t>
            </w:r>
          </w:p>
        </w:tc>
        <w:tc>
          <w:tcPr>
            <w:tcW w:w="1264" w:type="dxa"/>
          </w:tcPr>
          <w:p>
            <w:pPr>
              <w:pStyle w:val="0"/>
              <w:jc w:val="center"/>
            </w:pPr>
            <w:r>
              <w:rPr>
                <w:sz w:val="20"/>
              </w:rPr>
              <w:t xml:space="preserve">197 172,9</w:t>
            </w:r>
          </w:p>
        </w:tc>
        <w:tc>
          <w:tcPr>
            <w:tcW w:w="1264" w:type="dxa"/>
          </w:tcPr>
          <w:p>
            <w:pPr>
              <w:pStyle w:val="0"/>
              <w:jc w:val="center"/>
            </w:pPr>
            <w:r>
              <w:rPr>
                <w:sz w:val="20"/>
              </w:rPr>
              <w:t xml:space="preserve">298 132,9</w:t>
            </w:r>
          </w:p>
        </w:tc>
        <w:tc>
          <w:tcPr>
            <w:tcW w:w="1264" w:type="dxa"/>
          </w:tcPr>
          <w:p>
            <w:pPr>
              <w:pStyle w:val="0"/>
              <w:jc w:val="center"/>
            </w:pPr>
            <w:r>
              <w:rPr>
                <w:sz w:val="20"/>
              </w:rPr>
              <w:t xml:space="preserve">301 843,3</w:t>
            </w:r>
          </w:p>
        </w:tc>
        <w:tc>
          <w:tcPr>
            <w:tcW w:w="1361" w:type="dxa"/>
          </w:tcPr>
          <w:p>
            <w:pPr>
              <w:pStyle w:val="0"/>
            </w:pPr>
            <w:r>
              <w:rPr>
                <w:sz w:val="20"/>
              </w:rPr>
            </w:r>
          </w:p>
        </w:tc>
      </w:tr>
      <w:tr>
        <w:tc>
          <w:tcPr>
            <w:tcW w:w="2324" w:type="dxa"/>
          </w:tcPr>
          <w:p>
            <w:pPr>
              <w:pStyle w:val="0"/>
            </w:pPr>
            <w:r>
              <w:rPr>
                <w:sz w:val="20"/>
              </w:rPr>
              <w:t xml:space="preserve">федерального бюджета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местных бюджетов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51 179,2</w:t>
            </w:r>
          </w:p>
        </w:tc>
        <w:tc>
          <w:tcPr>
            <w:tcW w:w="1264" w:type="dxa"/>
          </w:tcPr>
          <w:p>
            <w:pPr>
              <w:pStyle w:val="0"/>
              <w:jc w:val="center"/>
            </w:pPr>
            <w:r>
              <w:rPr>
                <w:sz w:val="20"/>
              </w:rPr>
              <w:t xml:space="preserve">2 990,4</w:t>
            </w:r>
          </w:p>
        </w:tc>
        <w:tc>
          <w:tcPr>
            <w:tcW w:w="1264" w:type="dxa"/>
          </w:tcPr>
          <w:p>
            <w:pPr>
              <w:pStyle w:val="0"/>
              <w:jc w:val="center"/>
            </w:pPr>
            <w:r>
              <w:rPr>
                <w:sz w:val="20"/>
              </w:rPr>
              <w:t xml:space="preserve">700,7</w:t>
            </w:r>
          </w:p>
        </w:tc>
        <w:tc>
          <w:tcPr>
            <w:tcW w:w="1084" w:type="dxa"/>
          </w:tcPr>
          <w:p>
            <w:pPr>
              <w:pStyle w:val="0"/>
              <w:jc w:val="center"/>
            </w:pPr>
            <w:r>
              <w:rPr>
                <w:sz w:val="20"/>
              </w:rPr>
              <w:t xml:space="preserve">4 298,8</w:t>
            </w:r>
          </w:p>
        </w:tc>
        <w:tc>
          <w:tcPr>
            <w:tcW w:w="1084" w:type="dxa"/>
          </w:tcPr>
          <w:p>
            <w:pPr>
              <w:pStyle w:val="0"/>
              <w:jc w:val="center"/>
            </w:pPr>
            <w:r>
              <w:rPr>
                <w:sz w:val="20"/>
              </w:rPr>
              <w:t xml:space="preserve">6 117,9</w:t>
            </w:r>
          </w:p>
        </w:tc>
        <w:tc>
          <w:tcPr>
            <w:tcW w:w="1084" w:type="dxa"/>
          </w:tcPr>
          <w:p>
            <w:pPr>
              <w:pStyle w:val="0"/>
              <w:jc w:val="center"/>
            </w:pPr>
            <w:r>
              <w:rPr>
                <w:sz w:val="20"/>
              </w:rPr>
              <w:t xml:space="preserve">1 751,6</w:t>
            </w:r>
          </w:p>
        </w:tc>
        <w:tc>
          <w:tcPr>
            <w:tcW w:w="1084" w:type="dxa"/>
          </w:tcPr>
          <w:p>
            <w:pPr>
              <w:pStyle w:val="0"/>
              <w:jc w:val="center"/>
            </w:pPr>
            <w:r>
              <w:rPr>
                <w:sz w:val="20"/>
              </w:rPr>
              <w:t xml:space="preserve">718,9</w:t>
            </w:r>
          </w:p>
        </w:tc>
        <w:tc>
          <w:tcPr>
            <w:tcW w:w="1084" w:type="dxa"/>
          </w:tcPr>
          <w:p>
            <w:pPr>
              <w:pStyle w:val="0"/>
              <w:jc w:val="center"/>
            </w:pPr>
            <w:r>
              <w:rPr>
                <w:sz w:val="20"/>
              </w:rPr>
              <w:t xml:space="preserve">1 578,9</w:t>
            </w:r>
          </w:p>
        </w:tc>
        <w:tc>
          <w:tcPr>
            <w:tcW w:w="1264" w:type="dxa"/>
          </w:tcPr>
          <w:p>
            <w:pPr>
              <w:pStyle w:val="0"/>
              <w:jc w:val="center"/>
            </w:pPr>
            <w:r>
              <w:rPr>
                <w:sz w:val="20"/>
              </w:rPr>
              <w:t xml:space="preserve">8 075,1</w:t>
            </w:r>
          </w:p>
        </w:tc>
        <w:tc>
          <w:tcPr>
            <w:tcW w:w="1264" w:type="dxa"/>
          </w:tcPr>
          <w:p>
            <w:pPr>
              <w:pStyle w:val="0"/>
              <w:jc w:val="center"/>
            </w:pPr>
            <w:r>
              <w:rPr>
                <w:sz w:val="20"/>
              </w:rPr>
              <w:t xml:space="preserve">6 270,4</w:t>
            </w:r>
          </w:p>
        </w:tc>
        <w:tc>
          <w:tcPr>
            <w:tcW w:w="1264" w:type="dxa"/>
          </w:tcPr>
          <w:p>
            <w:pPr>
              <w:pStyle w:val="0"/>
              <w:jc w:val="center"/>
            </w:pPr>
            <w:r>
              <w:rPr>
                <w:sz w:val="20"/>
              </w:rPr>
              <w:t xml:space="preserve">9 338,8</w:t>
            </w:r>
          </w:p>
        </w:tc>
        <w:tc>
          <w:tcPr>
            <w:tcW w:w="1264" w:type="dxa"/>
          </w:tcPr>
          <w:p>
            <w:pPr>
              <w:pStyle w:val="0"/>
              <w:jc w:val="center"/>
            </w:pPr>
            <w:r>
              <w:rPr>
                <w:sz w:val="20"/>
              </w:rPr>
              <w:t xml:space="preserve">9 337,7</w:t>
            </w:r>
          </w:p>
        </w:tc>
        <w:tc>
          <w:tcPr>
            <w:tcW w:w="1361" w:type="dxa"/>
          </w:tcPr>
          <w:p>
            <w:pPr>
              <w:pStyle w:val="0"/>
            </w:pPr>
            <w:r>
              <w:rPr>
                <w:sz w:val="20"/>
              </w:rPr>
            </w:r>
          </w:p>
        </w:tc>
      </w:tr>
      <w:tr>
        <w:tc>
          <w:tcPr>
            <w:tcW w:w="2324" w:type="dxa"/>
          </w:tcPr>
          <w:p>
            <w:pPr>
              <w:pStyle w:val="0"/>
            </w:pPr>
            <w:r>
              <w:rPr>
                <w:sz w:val="20"/>
              </w:rPr>
              <w:t xml:space="preserve">внебюджетных источников </w:t>
            </w:r>
            <w:hyperlink w:history="0" w:anchor="P5422" w:tooltip="&lt;*&gt; Указаны прогнозные объемы.">
              <w:r>
                <w:rPr>
                  <w:sz w:val="20"/>
                  <w:color w:val="0000ff"/>
                </w:rPr>
                <w:t xml:space="preserve">&lt;*&gt;</w:t>
              </w:r>
            </w:hyperlink>
          </w:p>
        </w:tc>
        <w:tc>
          <w:tcPr>
            <w:tcW w:w="1384" w:type="dxa"/>
          </w:tcPr>
          <w:p>
            <w:pPr>
              <w:pStyle w:val="0"/>
              <w:jc w:val="center"/>
            </w:pPr>
            <w:r>
              <w:rPr>
                <w:sz w:val="20"/>
              </w:rPr>
              <w:t xml:space="preserve">1 947 600,0</w:t>
            </w:r>
          </w:p>
        </w:tc>
        <w:tc>
          <w:tcPr>
            <w:tcW w:w="1264" w:type="dxa"/>
          </w:tcPr>
          <w:p>
            <w:pPr>
              <w:pStyle w:val="0"/>
              <w:jc w:val="center"/>
            </w:pPr>
            <w:r>
              <w:rPr>
                <w:sz w:val="20"/>
              </w:rPr>
              <w:t xml:space="preserve">1 947 600,0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r>
        <w:tc>
          <w:tcPr>
            <w:tcW w:w="2324" w:type="dxa"/>
          </w:tcPr>
          <w:p>
            <w:pPr>
              <w:pStyle w:val="0"/>
            </w:pPr>
            <w:r>
              <w:rPr>
                <w:sz w:val="20"/>
              </w:rPr>
              <w:t xml:space="preserve">Всего налоговых расходов</w:t>
            </w:r>
          </w:p>
        </w:tc>
        <w:tc>
          <w:tcPr>
            <w:tcW w:w="1384" w:type="dxa"/>
          </w:tcPr>
          <w:p>
            <w:pPr>
              <w:pStyle w:val="0"/>
              <w:jc w:val="center"/>
            </w:pPr>
            <w:r>
              <w:rPr>
                <w:sz w:val="20"/>
              </w:rPr>
              <w:t xml:space="preserve">16 500,0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0,0</w:t>
            </w:r>
          </w:p>
        </w:tc>
        <w:tc>
          <w:tcPr>
            <w:tcW w:w="1084" w:type="dxa"/>
          </w:tcPr>
          <w:p>
            <w:pPr>
              <w:pStyle w:val="0"/>
              <w:jc w:val="center"/>
            </w:pPr>
            <w:r>
              <w:rPr>
                <w:sz w:val="20"/>
              </w:rPr>
              <w:t xml:space="preserve">8 300,0</w:t>
            </w:r>
          </w:p>
        </w:tc>
        <w:tc>
          <w:tcPr>
            <w:tcW w:w="1084" w:type="dxa"/>
          </w:tcPr>
          <w:p>
            <w:pPr>
              <w:pStyle w:val="0"/>
              <w:jc w:val="center"/>
            </w:pPr>
            <w:r>
              <w:rPr>
                <w:sz w:val="20"/>
              </w:rPr>
              <w:t xml:space="preserve">8 200,0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264" w:type="dxa"/>
          </w:tcPr>
          <w:p>
            <w:pPr>
              <w:pStyle w:val="0"/>
              <w:jc w:val="center"/>
            </w:pPr>
            <w:r>
              <w:rPr>
                <w:sz w:val="20"/>
              </w:rPr>
              <w:t xml:space="preserve">0,0</w:t>
            </w:r>
          </w:p>
        </w:tc>
        <w:tc>
          <w:tcPr>
            <w:tcW w:w="1361" w:type="dxa"/>
          </w:tcPr>
          <w:p>
            <w:pPr>
              <w:pStyle w:val="0"/>
            </w:pPr>
            <w:r>
              <w:rPr>
                <w:sz w:val="20"/>
              </w:rPr>
            </w:r>
          </w:p>
        </w:tc>
      </w:tr>
    </w:tbl>
    <w:p>
      <w:pPr>
        <w:sectPr>
          <w:headerReference w:type="default" r:id="rId167"/>
          <w:headerReference w:type="first" r:id="rId167"/>
          <w:footerReference w:type="default" r:id="rId168"/>
          <w:footerReference w:type="first" r:id="rId168"/>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5422" w:name="P5422"/>
    <w:bookmarkEnd w:id="5422"/>
    <w:p>
      <w:pPr>
        <w:pStyle w:val="0"/>
        <w:spacing w:before="200" w:line-rule="auto"/>
        <w:ind w:firstLine="540"/>
        <w:jc w:val="both"/>
      </w:pPr>
      <w:r>
        <w:rPr>
          <w:sz w:val="20"/>
        </w:rPr>
        <w:t xml:space="preserve">&lt;*&gt; Указаны прогнозные объемы.</w:t>
      </w:r>
    </w:p>
    <w:bookmarkStart w:id="5423" w:name="P5423"/>
    <w:bookmarkEnd w:id="5423"/>
    <w:p>
      <w:pPr>
        <w:pStyle w:val="0"/>
        <w:spacing w:before="200" w:line-rule="auto"/>
        <w:ind w:firstLine="540"/>
        <w:jc w:val="both"/>
      </w:pPr>
      <w:r>
        <w:rPr>
          <w:sz w:val="20"/>
        </w:rPr>
        <w:t xml:space="preserve">&lt;**&gt; Научно-исследовательские и опытно-конструкторские работы.</w:t>
      </w:r>
    </w:p>
    <w:p>
      <w:pPr>
        <w:pStyle w:val="0"/>
        <w:ind w:firstLine="540"/>
        <w:jc w:val="both"/>
      </w:pPr>
      <w:r>
        <w:rPr>
          <w:sz w:val="20"/>
        </w:rPr>
      </w:r>
    </w:p>
    <w:p>
      <w:pPr>
        <w:pStyle w:val="0"/>
        <w:ind w:firstLine="540"/>
        <w:jc w:val="both"/>
      </w:pPr>
      <w:r>
        <w:rPr>
          <w:sz w:val="20"/>
        </w:rPr>
        <w:t xml:space="preserve">Применяемое сокращение:</w:t>
      </w:r>
    </w:p>
    <w:p>
      <w:pPr>
        <w:pStyle w:val="0"/>
        <w:spacing w:before="200" w:line-rule="auto"/>
        <w:ind w:firstLine="540"/>
        <w:jc w:val="both"/>
      </w:pPr>
      <w:r>
        <w:rPr>
          <w:sz w:val="20"/>
        </w:rPr>
        <w:t xml:space="preserve">Областной бюджет - областной бюджет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5438" w:name="P5438"/>
    <w:bookmarkEnd w:id="5438"/>
    <w:p>
      <w:pPr>
        <w:pStyle w:val="2"/>
        <w:jc w:val="center"/>
      </w:pPr>
      <w:r>
        <w:rPr>
          <w:sz w:val="20"/>
        </w:rPr>
        <w:t xml:space="preserve">Подпрограмма</w:t>
      </w:r>
    </w:p>
    <w:p>
      <w:pPr>
        <w:pStyle w:val="2"/>
        <w:jc w:val="center"/>
      </w:pPr>
      <w:r>
        <w:rPr>
          <w:sz w:val="20"/>
        </w:rPr>
        <w:t xml:space="preserve">"Градостроительная подготовка территорий Новосибирской</w:t>
      </w:r>
    </w:p>
    <w:p>
      <w:pPr>
        <w:pStyle w:val="2"/>
        <w:jc w:val="center"/>
      </w:pPr>
      <w:r>
        <w:rPr>
          <w:sz w:val="20"/>
        </w:rPr>
        <w:t xml:space="preserve">области" государственной программы Новосибирской области</w:t>
      </w:r>
    </w:p>
    <w:p>
      <w:pPr>
        <w:pStyle w:val="2"/>
        <w:jc w:val="center"/>
      </w:pPr>
      <w:r>
        <w:rPr>
          <w:sz w:val="20"/>
        </w:rPr>
        <w:t xml:space="preserve">"Стимулирование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15.02.2017 </w:t>
            </w:r>
            <w:hyperlink w:history="0" r:id="rId188"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color w:val="392c69"/>
              </w:rPr>
              <w:t xml:space="preserve">, от 23.10.2017 </w:t>
            </w:r>
            <w:hyperlink w:history="0" r:id="rId189"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color w:val="392c69"/>
              </w:rPr>
              <w:t xml:space="preserve">, от 27.12.2017 </w:t>
            </w:r>
            <w:hyperlink w:history="0" r:id="rId190" w:tooltip="Постановление Правительства Новосибирской области от 27.12.2017 N 474-п &quot;О внесении изменений в постановление Правительства Новосибирской области от 20.02.2015 N 68-п&quot; {КонсультантПлюс}">
              <w:r>
                <w:rPr>
                  <w:sz w:val="20"/>
                  <w:color w:val="0000ff"/>
                </w:rPr>
                <w:t xml:space="preserve">N 474-п</w:t>
              </w:r>
            </w:hyperlink>
            <w:r>
              <w:rPr>
                <w:sz w:val="20"/>
                <w:color w:val="392c69"/>
              </w:rPr>
              <w:t xml:space="preserve">,</w:t>
            </w:r>
          </w:p>
          <w:p>
            <w:pPr>
              <w:pStyle w:val="0"/>
              <w:jc w:val="center"/>
            </w:pPr>
            <w:r>
              <w:rPr>
                <w:sz w:val="20"/>
                <w:color w:val="392c69"/>
              </w:rPr>
              <w:t xml:space="preserve">от 06.07.2018 </w:t>
            </w:r>
            <w:hyperlink w:history="0" r:id="rId191"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 от 19.11.2018 </w:t>
            </w:r>
            <w:hyperlink w:history="0" r:id="rId192"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 от 05.02.2019 </w:t>
            </w:r>
            <w:hyperlink w:history="0" r:id="rId193"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color w:val="392c69"/>
              </w:rPr>
              <w:t xml:space="preserve">,</w:t>
            </w:r>
          </w:p>
          <w:p>
            <w:pPr>
              <w:pStyle w:val="0"/>
              <w:jc w:val="center"/>
            </w:pPr>
            <w:r>
              <w:rPr>
                <w:sz w:val="20"/>
                <w:color w:val="392c69"/>
              </w:rPr>
              <w:t xml:space="preserve">от 19.03.2019 </w:t>
            </w:r>
            <w:hyperlink w:history="0" r:id="rId19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 от 28.10.2019 </w:t>
            </w:r>
            <w:hyperlink w:history="0" r:id="rId195"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color w:val="392c69"/>
              </w:rPr>
              <w:t xml:space="preserve">, от 02.06.2020 </w:t>
            </w:r>
            <w:hyperlink w:history="0" r:id="rId196"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143"/>
      </w:tblGrid>
      <w:tr>
        <w:tblPrEx>
          <w:tblBorders>
            <w:insideH w:val="nil"/>
          </w:tblBorders>
        </w:tblPrEx>
        <w:tc>
          <w:tcPr>
            <w:tcW w:w="1928"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9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8"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"Градостроительная подготовка территорий Новосибирской области" государственной программы (далее - подпрограмма)</w:t>
            </w:r>
          </w:p>
        </w:tc>
      </w:tr>
      <w:tr>
        <w:tblPrEx>
          <w:tblBorders>
            <w:insideH w:val="nil"/>
          </w:tblBorders>
        </w:tblPrEx>
        <w:tc>
          <w:tcPr>
            <w:tcW w:w="1928" w:type="dxa"/>
            <w:tcBorders>
              <w:bottom w:val="nil"/>
            </w:tcBorders>
          </w:tcPr>
          <w:p>
            <w:pPr>
              <w:pStyle w:val="0"/>
            </w:pPr>
            <w:r>
              <w:rPr>
                <w:sz w:val="20"/>
              </w:rPr>
              <w:t xml:space="preserve">Разработчики подпрограммы</w:t>
            </w:r>
          </w:p>
        </w:tc>
        <w:tc>
          <w:tcPr>
            <w:tcW w:w="7143" w:type="dxa"/>
            <w:tcBorders>
              <w:bottom w:val="nil"/>
            </w:tcBorders>
          </w:tcPr>
          <w:p>
            <w:pPr>
              <w:pStyle w:val="0"/>
              <w:jc w:val="both"/>
            </w:pPr>
            <w:r>
              <w:rPr>
                <w:sz w:val="20"/>
              </w:rPr>
              <w:t xml:space="preserve">Министерство строительства Новосибирской области (далее - 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19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199"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Государственный заказчик (государственный заказчик-координатор) подпрограммы</w:t>
            </w:r>
          </w:p>
        </w:tc>
        <w:tc>
          <w:tcPr>
            <w:tcW w:w="7143" w:type="dxa"/>
            <w:tcBorders>
              <w:bottom w:val="nil"/>
            </w:tcBorders>
          </w:tcPr>
          <w:p>
            <w:pPr>
              <w:pStyle w:val="0"/>
              <w:jc w:val="both"/>
            </w:pPr>
            <w:r>
              <w:rPr>
                <w:sz w:val="20"/>
              </w:rPr>
              <w:t xml:space="preserve">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20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201"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Руководитель подпрограммы</w:t>
            </w:r>
          </w:p>
        </w:tc>
        <w:tc>
          <w:tcPr>
            <w:tcW w:w="7143" w:type="dxa"/>
            <w:tcBorders>
              <w:bottom w:val="nil"/>
            </w:tcBorders>
          </w:tcPr>
          <w:p>
            <w:pPr>
              <w:pStyle w:val="0"/>
              <w:jc w:val="both"/>
            </w:pPr>
            <w:r>
              <w:rPr>
                <w:sz w:val="20"/>
              </w:rPr>
              <w:t xml:space="preserve">Министр строительства Новосибирской области - Шмидт И.И.</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20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203"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Цели и задачи подпрограммы</w:t>
            </w:r>
          </w:p>
        </w:tc>
        <w:tc>
          <w:tcPr>
            <w:tcW w:w="7143" w:type="dxa"/>
            <w:tcBorders>
              <w:bottom w:val="nil"/>
            </w:tcBorders>
          </w:tcPr>
          <w:p>
            <w:pPr>
              <w:pStyle w:val="0"/>
              <w:jc w:val="both"/>
            </w:pPr>
            <w:r>
              <w:rPr>
                <w:sz w:val="20"/>
              </w:rPr>
              <w:t xml:space="preserve">Цель подпрограммы: обеспечение муниципальных образований Новосибирской области актуальной градостроительной документацией, предусмотренной Градостроительным </w:t>
            </w:r>
            <w:hyperlink w:history="0" r:id="rId204"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Задачи подпрограммы, решаемые до 2018 года включительно:</w:t>
            </w:r>
          </w:p>
          <w:p>
            <w:pPr>
              <w:pStyle w:val="0"/>
              <w:jc w:val="both"/>
            </w:pPr>
            <w:r>
              <w:rPr>
                <w:sz w:val="20"/>
              </w:rPr>
              <w:t xml:space="preserve">1. Актуализация документов территориального планирования на основании результатов мониторинга их реализации.</w:t>
            </w:r>
          </w:p>
          <w:p>
            <w:pPr>
              <w:pStyle w:val="0"/>
              <w:jc w:val="both"/>
            </w:pPr>
            <w:r>
              <w:rPr>
                <w:sz w:val="20"/>
              </w:rPr>
              <w:t xml:space="preserve">2. Подготовка документации по планировке территории в целях размещения объектов регионального и местного значения, а также обеспечения развития Новосибирской агломерации. Задача подпрограммы, решаемая с 2019 года:</w:t>
            </w:r>
          </w:p>
          <w:p>
            <w:pPr>
              <w:pStyle w:val="0"/>
              <w:jc w:val="both"/>
            </w:pPr>
            <w:r>
              <w:rPr>
                <w:sz w:val="20"/>
              </w:rPr>
              <w:t xml:space="preserve">актуализация градостроительной документации в Новосибирской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0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blPrEx>
          <w:tblBorders>
            <w:insideH w:val="nil"/>
          </w:tblBorders>
        </w:tblPrEx>
        <w:tc>
          <w:tcPr>
            <w:tcW w:w="1928"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2015 - 2019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19.03.2019 </w:t>
            </w:r>
            <w:hyperlink w:history="0" r:id="rId20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207"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tc>
      </w:tr>
      <w:tr>
        <w:tblPrEx>
          <w:tblBorders>
            <w:insideH w:val="nil"/>
          </w:tblBorders>
        </w:tblPrEx>
        <w:tc>
          <w:tcPr>
            <w:tcW w:w="1928" w:type="dxa"/>
            <w:tcBorders>
              <w:bottom w:val="nil"/>
            </w:tcBorders>
          </w:tcPr>
          <w:p>
            <w:pPr>
              <w:pStyle w:val="0"/>
              <w:jc w:val="both"/>
            </w:pPr>
            <w:r>
              <w:rPr>
                <w:sz w:val="20"/>
              </w:rPr>
              <w:t xml:space="preserve">Объемы финансирования подпрограммы (с расшифровкой по источникам и годам финансирования)</w:t>
            </w:r>
          </w:p>
        </w:tc>
        <w:tc>
          <w:tcPr>
            <w:tcW w:w="7143" w:type="dxa"/>
            <w:tcBorders>
              <w:bottom w:val="nil"/>
            </w:tcBorders>
          </w:tcPr>
          <w:p>
            <w:pPr>
              <w:pStyle w:val="0"/>
              <w:jc w:val="both"/>
            </w:pPr>
            <w:r>
              <w:rPr>
                <w:sz w:val="20"/>
              </w:rPr>
              <w:t xml:space="preserve">Общий объем ассигнований на реализацию подпрограммы составляет</w:t>
            </w:r>
          </w:p>
          <w:p>
            <w:pPr>
              <w:pStyle w:val="0"/>
              <w:jc w:val="both"/>
            </w:pPr>
            <w:r>
              <w:rPr>
                <w:sz w:val="20"/>
              </w:rPr>
              <w:t xml:space="preserve">85 492,3 тыс. рублей, в том числе по годам:</w:t>
            </w:r>
          </w:p>
          <w:p>
            <w:pPr>
              <w:pStyle w:val="0"/>
              <w:jc w:val="both"/>
            </w:pPr>
            <w:r>
              <w:rPr>
                <w:sz w:val="20"/>
              </w:rPr>
              <w:t xml:space="preserve">2015 год - 1 000,0 тыс. рублей;</w:t>
            </w:r>
          </w:p>
          <w:p>
            <w:pPr>
              <w:pStyle w:val="0"/>
              <w:jc w:val="both"/>
            </w:pPr>
            <w:r>
              <w:rPr>
                <w:sz w:val="20"/>
              </w:rPr>
              <w:t xml:space="preserve">2016 год - 16 336,8 тыс. рублей;</w:t>
            </w:r>
          </w:p>
          <w:p>
            <w:pPr>
              <w:pStyle w:val="0"/>
              <w:jc w:val="both"/>
            </w:pPr>
            <w:r>
              <w:rPr>
                <w:sz w:val="20"/>
              </w:rPr>
              <w:t xml:space="preserve">2017 год - 23 900,0 тыс. рублей;</w:t>
            </w:r>
          </w:p>
          <w:p>
            <w:pPr>
              <w:pStyle w:val="0"/>
              <w:jc w:val="both"/>
            </w:pPr>
            <w:r>
              <w:rPr>
                <w:sz w:val="20"/>
              </w:rPr>
              <w:t xml:space="preserve">2018 год - 29 587,1 тыс. рублей;</w:t>
            </w:r>
          </w:p>
          <w:p>
            <w:pPr>
              <w:pStyle w:val="0"/>
              <w:jc w:val="both"/>
            </w:pPr>
            <w:r>
              <w:rPr>
                <w:sz w:val="20"/>
              </w:rPr>
              <w:t xml:space="preserve">2019 год - 14 668,4 тыс. рублей;</w:t>
            </w:r>
          </w:p>
          <w:p>
            <w:pPr>
              <w:pStyle w:val="0"/>
              <w:jc w:val="both"/>
            </w:pPr>
            <w:r>
              <w:rPr>
                <w:sz w:val="20"/>
              </w:rPr>
              <w:t xml:space="preserve">по источникам финансирования:</w:t>
            </w:r>
          </w:p>
          <w:p>
            <w:pPr>
              <w:pStyle w:val="0"/>
              <w:jc w:val="both"/>
            </w:pPr>
            <w:r>
              <w:rPr>
                <w:sz w:val="20"/>
              </w:rPr>
              <w:t xml:space="preserve">областной бюджет - 83 229,4 тыс. рублей, в том числе по годам:</w:t>
            </w:r>
          </w:p>
          <w:p>
            <w:pPr>
              <w:pStyle w:val="0"/>
              <w:jc w:val="both"/>
            </w:pPr>
            <w:r>
              <w:rPr>
                <w:sz w:val="20"/>
              </w:rPr>
              <w:t xml:space="preserve">2015 год - 1 000,0 тыс. рублей;</w:t>
            </w:r>
          </w:p>
          <w:p>
            <w:pPr>
              <w:pStyle w:val="0"/>
              <w:jc w:val="both"/>
            </w:pPr>
            <w:r>
              <w:rPr>
                <w:sz w:val="20"/>
              </w:rPr>
              <w:t xml:space="preserve">2016 год - 16 336,8 тыс. рублей;</w:t>
            </w:r>
          </w:p>
          <w:p>
            <w:pPr>
              <w:pStyle w:val="0"/>
              <w:jc w:val="both"/>
            </w:pPr>
            <w:r>
              <w:rPr>
                <w:sz w:val="20"/>
              </w:rPr>
              <w:t xml:space="preserve">2017 год - 23 900,0 тыс. рублей;</w:t>
            </w:r>
          </w:p>
          <w:p>
            <w:pPr>
              <w:pStyle w:val="0"/>
              <w:jc w:val="both"/>
            </w:pPr>
            <w:r>
              <w:rPr>
                <w:sz w:val="20"/>
              </w:rPr>
              <w:t xml:space="preserve">2018 год - 27 324,2 тыс. рублей;</w:t>
            </w:r>
          </w:p>
          <w:p>
            <w:pPr>
              <w:pStyle w:val="0"/>
              <w:jc w:val="both"/>
            </w:pPr>
            <w:r>
              <w:rPr>
                <w:sz w:val="20"/>
              </w:rPr>
              <w:t xml:space="preserve">2019 год - 14 668,4 тыс. рублей;</w:t>
            </w:r>
          </w:p>
          <w:p>
            <w:pPr>
              <w:pStyle w:val="0"/>
              <w:jc w:val="both"/>
            </w:pPr>
            <w:r>
              <w:rPr>
                <w:sz w:val="20"/>
              </w:rPr>
              <w:t xml:space="preserve">средства местных бюджетов -</w:t>
            </w:r>
          </w:p>
          <w:p>
            <w:pPr>
              <w:pStyle w:val="0"/>
              <w:jc w:val="both"/>
            </w:pPr>
            <w:r>
              <w:rPr>
                <w:sz w:val="20"/>
              </w:rPr>
              <w:t xml:space="preserve">2 262,9 тыс. рублей, в том числе по годам:</w:t>
            </w:r>
          </w:p>
          <w:p>
            <w:pPr>
              <w:pStyle w:val="0"/>
              <w:jc w:val="both"/>
            </w:pPr>
            <w:r>
              <w:rPr>
                <w:sz w:val="20"/>
              </w:rPr>
              <w:t xml:space="preserve">2015 год - 0,0 тыс. рублей;</w:t>
            </w:r>
          </w:p>
          <w:p>
            <w:pPr>
              <w:pStyle w:val="0"/>
              <w:jc w:val="both"/>
            </w:pPr>
            <w:r>
              <w:rPr>
                <w:sz w:val="20"/>
              </w:rPr>
              <w:t xml:space="preserve">2016 год - 0,0 тыс. рублей;</w:t>
            </w:r>
          </w:p>
          <w:p>
            <w:pPr>
              <w:pStyle w:val="0"/>
              <w:jc w:val="both"/>
            </w:pPr>
            <w:r>
              <w:rPr>
                <w:sz w:val="20"/>
              </w:rPr>
              <w:t xml:space="preserve">2017 год - 0,0 тыс. рублей;</w:t>
            </w:r>
          </w:p>
          <w:p>
            <w:pPr>
              <w:pStyle w:val="0"/>
              <w:jc w:val="both"/>
            </w:pPr>
            <w:r>
              <w:rPr>
                <w:sz w:val="20"/>
              </w:rPr>
              <w:t xml:space="preserve">2018 год - 2 262,9 тыс. рублей;</w:t>
            </w:r>
          </w:p>
          <w:p>
            <w:pPr>
              <w:pStyle w:val="0"/>
              <w:jc w:val="both"/>
            </w:pPr>
            <w:r>
              <w:rPr>
                <w:sz w:val="20"/>
              </w:rPr>
              <w:t xml:space="preserve">2019 год - 0,0 тыс. рублей</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08"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02.06.2020 N 215-п)</w:t>
            </w:r>
          </w:p>
        </w:tc>
      </w:tr>
      <w:tr>
        <w:tblPrEx>
          <w:tblBorders>
            <w:insideH w:val="nil"/>
          </w:tblBorders>
        </w:tblPrEx>
        <w:tc>
          <w:tcPr>
            <w:tcW w:w="1928" w:type="dxa"/>
            <w:tcBorders>
              <w:bottom w:val="nil"/>
            </w:tcBorders>
          </w:tcPr>
          <w:p>
            <w:pPr>
              <w:pStyle w:val="0"/>
            </w:pPr>
            <w:r>
              <w:rPr>
                <w:sz w:val="20"/>
              </w:rPr>
              <w:t xml:space="preserve">Основные целевые индикаторы подпрограммы</w:t>
            </w:r>
          </w:p>
        </w:tc>
        <w:tc>
          <w:tcPr>
            <w:tcW w:w="7143" w:type="dxa"/>
            <w:tcBorders>
              <w:bottom w:val="nil"/>
            </w:tcBorders>
          </w:tcPr>
          <w:p>
            <w:pPr>
              <w:pStyle w:val="0"/>
              <w:jc w:val="both"/>
            </w:pPr>
            <w:r>
              <w:rPr>
                <w:sz w:val="20"/>
              </w:rPr>
              <w:t xml:space="preserve">Доля муниципальных образований Новосибирской агломерации, в которых подготовлены и утверждены документы территориального планирования, %;</w:t>
            </w:r>
          </w:p>
          <w:p>
            <w:pPr>
              <w:pStyle w:val="0"/>
              <w:jc w:val="both"/>
            </w:pPr>
            <w:r>
              <w:rPr>
                <w:sz w:val="20"/>
              </w:rPr>
              <w:t xml:space="preserve">доля муниципальных образований Новосибирской агломерации, в которых утверждены документы градостроительного зонирования, %;</w:t>
            </w:r>
          </w:p>
          <w:p>
            <w:pPr>
              <w:pStyle w:val="0"/>
              <w:jc w:val="both"/>
            </w:pPr>
            <w:r>
              <w:rPr>
                <w:sz w:val="20"/>
              </w:rPr>
              <w:t xml:space="preserve">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планирования либо внесены изменения в документы территориального планирования, шт.;</w:t>
            </w:r>
          </w:p>
          <w:p>
            <w:pPr>
              <w:pStyle w:val="0"/>
              <w:jc w:val="both"/>
            </w:pPr>
            <w:r>
              <w:rPr>
                <w:sz w:val="20"/>
              </w:rPr>
              <w:t xml:space="preserve">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 шт.;</w:t>
            </w:r>
          </w:p>
          <w:p>
            <w:pPr>
              <w:pStyle w:val="0"/>
              <w:jc w:val="both"/>
            </w:pPr>
            <w:r>
              <w:rPr>
                <w:sz w:val="20"/>
              </w:rPr>
              <w:t xml:space="preserve">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 шт.;</w:t>
            </w:r>
          </w:p>
          <w:p>
            <w:pPr>
              <w:pStyle w:val="0"/>
              <w:jc w:val="both"/>
            </w:pPr>
            <w:r>
              <w:rPr>
                <w:sz w:val="20"/>
              </w:rPr>
              <w:t xml:space="preserve">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 шт.;</w:t>
            </w:r>
          </w:p>
          <w:p>
            <w:pPr>
              <w:pStyle w:val="0"/>
              <w:jc w:val="both"/>
            </w:pPr>
            <w:r>
              <w:rPr>
                <w:sz w:val="20"/>
              </w:rPr>
              <w:t xml:space="preserve">абзацы седьмой - девятый исключены. - </w:t>
            </w:r>
            <w:hyperlink w:history="0" r:id="rId209"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02.06.2020 N 215-п</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23.10.2017 </w:t>
            </w:r>
            <w:hyperlink w:history="0" r:id="rId210"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rPr>
              <w:t xml:space="preserve">, от 28.10.2019 </w:t>
            </w:r>
            <w:hyperlink w:history="0" r:id="rId211"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02.06.2020 </w:t>
            </w:r>
            <w:hyperlink w:history="0" r:id="rId212"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tc>
      </w:tr>
      <w:tr>
        <w:tblPrEx>
          <w:tblBorders>
            <w:insideH w:val="nil"/>
          </w:tblBorders>
        </w:tblPrEx>
        <w:tc>
          <w:tcPr>
            <w:tcW w:w="1928" w:type="dxa"/>
            <w:tcBorders>
              <w:bottom w:val="nil"/>
            </w:tcBorders>
          </w:tcPr>
          <w:p>
            <w:pPr>
              <w:pStyle w:val="0"/>
              <w:jc w:val="both"/>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За счет реализации подпрограммы к концу 2019 года будут достигнуты следующие результаты:</w:t>
            </w:r>
          </w:p>
          <w:p>
            <w:pPr>
              <w:pStyle w:val="0"/>
              <w:jc w:val="both"/>
            </w:pPr>
            <w:r>
              <w:rPr>
                <w:sz w:val="20"/>
              </w:rPr>
              <w:t xml:space="preserve">в 27,07% муниципальных образований Новосибирской агломерации будут подготовлены и утверждены документы территориального планирования;</w:t>
            </w:r>
          </w:p>
          <w:p>
            <w:pPr>
              <w:pStyle w:val="0"/>
              <w:jc w:val="both"/>
            </w:pPr>
            <w:r>
              <w:rPr>
                <w:sz w:val="20"/>
              </w:rPr>
              <w:t xml:space="preserve">в 85,45% муниципальных образований Новосибирской агломерации будут утверждены документы градостроительного зонирования;</w:t>
            </w:r>
          </w:p>
          <w:p>
            <w:pPr>
              <w:pStyle w:val="0"/>
              <w:jc w:val="both"/>
            </w:pPr>
            <w:r>
              <w:rPr>
                <w:sz w:val="20"/>
              </w:rPr>
              <w:t xml:space="preserve">в 20 муниципальных районах, городских округах, городских и сельских поселениях Новосибирской области (за исключением Новосибирской агломерации) будут утверждены документы территориального планирования либо внесены в них изменения, что составит 4,6% от общего количества муниципальных образований Новосибирской области (за исключением Новосибирской агломерации);</w:t>
            </w:r>
          </w:p>
          <w:p>
            <w:pPr>
              <w:pStyle w:val="0"/>
              <w:jc w:val="both"/>
            </w:pPr>
            <w:r>
              <w:rPr>
                <w:sz w:val="20"/>
              </w:rPr>
              <w:t xml:space="preserve">в 85% муниципальных образований Новосибирской области (за исключением Новосибирской агломерации) в рамках реализации государственной программы будут утверждены документы градостроительного зонирования либо внесены изменения в документы градостроительного зонирования;</w:t>
            </w:r>
          </w:p>
          <w:p>
            <w:pPr>
              <w:pStyle w:val="0"/>
              <w:jc w:val="both"/>
            </w:pPr>
            <w:r>
              <w:rPr>
                <w:sz w:val="20"/>
              </w:rPr>
              <w:t xml:space="preserve">будет утверждена документация по планировке территории для размещения 83 объектов регионального значения, предусмотренных документами территориального планирования Новосибирской области, а также будут утверждены 60 документов по планировке территории, предусмотренных документами территориального планирования муниципальных образований Новосибирской агломерации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13"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02.06.2020 N 215-п)</w:t>
            </w:r>
          </w:p>
        </w:tc>
      </w:tr>
    </w:tbl>
    <w:p>
      <w:pPr>
        <w:pStyle w:val="0"/>
        <w:ind w:firstLine="540"/>
        <w:jc w:val="both"/>
      </w:pPr>
      <w:r>
        <w:rPr>
          <w:sz w:val="20"/>
        </w:rPr>
      </w:r>
    </w:p>
    <w:p>
      <w:pPr>
        <w:pStyle w:val="2"/>
        <w:outlineLvl w:val="2"/>
        <w:jc w:val="center"/>
      </w:pPr>
      <w:r>
        <w:rPr>
          <w:sz w:val="20"/>
        </w:rPr>
        <w:t xml:space="preserve">II.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В рамках долгосрочной целевой </w:t>
      </w:r>
      <w:hyperlink w:history="0" r:id="rId214" w:tooltip="Постановление Правительства Новосибирской области от 31.01.2011 N 31-п (ред. от 20.01.2015) &quot;Об утверждении долгосрочной целевой программы &quot;Стимулирование развития жилищного строительства в Новосибирской области на 2011 - 2015 годы&quot; ------------ Утратил силу или отменен {КонсультантПлюс}">
        <w:r>
          <w:rPr>
            <w:sz w:val="20"/>
            <w:color w:val="0000ff"/>
          </w:rPr>
          <w:t xml:space="preserve">программы</w:t>
        </w:r>
      </w:hyperlink>
      <w:r>
        <w:rPr>
          <w:sz w:val="20"/>
        </w:rPr>
        <w:t xml:space="preserve"> "Стимулирование развития жилищного строительства в Новосибирской области на 2011 - 2015 годы", утвержденной постановлением Правительства Новосибирской области от 31.01.2011 N 31-п "Об утверждении долгосрочной целевой программы "Стимулирование развития жилищного строительства Новосибирской области на 2011 - 2015 годы", </w:t>
      </w:r>
      <w:hyperlink w:history="0" r:id="rId215" w:tooltip="Постановление Правительства Новосибирской области от 31.01.2011 N 31-п (ред. от 20.01.2015) &quot;Об утверждении долгосрочной целевой программы &quot;Стимулирование развития жилищного строительства в Новосибирской области на 2011 - 2015 годы&quot; ------------ Утратил силу или отменен {КонсультантПлюс}">
        <w:r>
          <w:rPr>
            <w:sz w:val="20"/>
            <w:color w:val="0000ff"/>
          </w:rPr>
          <w:t xml:space="preserve">подпрограммы</w:t>
        </w:r>
      </w:hyperlink>
      <w:r>
        <w:rPr>
          <w:sz w:val="20"/>
        </w:rPr>
        <w:t xml:space="preserve"> "Территориальное планирование Новосибирской области" в период с 2011 по 2014 год из областного бюджета Новосибирской области выделялись субсидии бюджетам муниципальных районов Новосибирской области на подготовку документов территориального планирования и градостроительного зонирования муниципальных районов и поселений, соответствующих требованиям Градостроительного </w:t>
      </w:r>
      <w:hyperlink w:history="0" r:id="rId216" w:tooltip="&quot;Градостроительный кодекс Российской Федерации&quot; от 29.12.2004 N 190-ФЗ (ред. от 29.12.2022) {КонсультантПлюс}">
        <w:r>
          <w:rPr>
            <w:sz w:val="20"/>
            <w:color w:val="0000ff"/>
          </w:rPr>
          <w:t xml:space="preserve">кодекса</w:t>
        </w:r>
      </w:hyperlink>
      <w:r>
        <w:rPr>
          <w:sz w:val="20"/>
        </w:rPr>
        <w:t xml:space="preserve"> Российской Федерации от 29.12.2004, на условиях софинансирования в объеме 95% от суммы контрактов, заключенных на реализацию мероприятий подпрограммы "Территориальное планирование Новосибирской области".</w:t>
      </w:r>
    </w:p>
    <w:p>
      <w:pPr>
        <w:pStyle w:val="0"/>
        <w:spacing w:before="200" w:line-rule="auto"/>
        <w:ind w:firstLine="540"/>
        <w:jc w:val="both"/>
      </w:pPr>
      <w:r>
        <w:rPr>
          <w:sz w:val="20"/>
        </w:rPr>
        <w:t xml:space="preserve">В 2013 году из областного бюджета Новосибирской области на эти цели направлено 151,6 млн. рублей - на предоставление муниципальным образованиям области государственной поддержки в целях обеспечения их актуальной градостроительной документацией. На конец 2013 года документы территориального планирования утвердили 444 муниципальных образования Новосибирской области: схемы территориального планирования - 28 муниципальных районов; генеральные планы - 5 городских округов, 24 городских поселения, 387 сельских поселений; документы градостроительного зонирования - 5 городских округов, 26 городских поселений, 325 сельских поселений. На 01.01.2015 документы территориального планирования утвердили 478 муниципальных образований Новосибирской области: схемы территориального планирования - 29 муниципальных районов, генеральные планы - 5 городских округов, 26 городских поселений и 418 сельских поселений (4 сельских поселения приняли решения об отсутствии необходимости подготовки генерального плана).</w:t>
      </w:r>
    </w:p>
    <w:p>
      <w:pPr>
        <w:pStyle w:val="0"/>
        <w:spacing w:before="200" w:line-rule="auto"/>
        <w:ind w:firstLine="540"/>
        <w:jc w:val="both"/>
      </w:pPr>
      <w:r>
        <w:rPr>
          <w:sz w:val="20"/>
        </w:rPr>
        <w:t xml:space="preserve">Обновленные документы территориального планирования запустили механизм градостроительной реализации государственных программ Новосибирской области, муниципальных программ на территории муниципальных образований Новосибирской области, обеспечили реализацию первоочередных принципов градостроительного законодательства, а именно: устойчивого развития территорий на основе территориального планирования и градостроительного зонирования, сбалансированный учет экологических, экономических, социальных и иных факторов при осуществлении градостроительной деятельности.</w:t>
      </w:r>
    </w:p>
    <w:p>
      <w:pPr>
        <w:pStyle w:val="0"/>
        <w:spacing w:before="200" w:line-rule="auto"/>
        <w:ind w:firstLine="540"/>
        <w:jc w:val="both"/>
      </w:pPr>
      <w:r>
        <w:rPr>
          <w:sz w:val="20"/>
        </w:rPr>
        <w:t xml:space="preserve">Законодательным Собранием Новосибирской области принят </w:t>
      </w:r>
      <w:hyperlink w:history="0" r:id="rId217" w:tooltip="Закон Новосибирской области от 18.12.2015 N 27-ОЗ (ред. от 27.12.2021) &quot;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quot;Об отдельных вопросах организации местного самоуправления в Новосибирской области&quot; (принят постановлением Законодательного Собрания Новосибирской области от 17.12.2015 N 27-ЗС) {КонсультантПлюс}">
        <w:r>
          <w:rPr>
            <w:sz w:val="20"/>
            <w:color w:val="0000ff"/>
          </w:rPr>
          <w:t xml:space="preserve">Закон</w:t>
        </w:r>
      </w:hyperlink>
      <w:r>
        <w:rPr>
          <w:sz w:val="20"/>
        </w:rPr>
        <w:t xml:space="preserve">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(далее - Закон), в соответствии с которым областному исполнительному органу, уполномоченному в сфере строительства, архитектуры и градостроительства, переданы полномочия по подготовке и утверждению документов территориального планирования поселений, в том числе внесению в них изменений; утверждению правил землепользования и застройки поселений; утверждению подготовленной на основании документов территориального планирования поселений документации по планировке территории (проектов планировки территории, проектов межевания территории) поселений, входящих в состав Новосибирской агломерации (55 муниципальных образований).</w:t>
      </w:r>
    </w:p>
    <w:p>
      <w:pPr>
        <w:pStyle w:val="0"/>
        <w:spacing w:before="200" w:line-rule="auto"/>
        <w:ind w:firstLine="540"/>
        <w:jc w:val="both"/>
      </w:pPr>
      <w:r>
        <w:rPr>
          <w:sz w:val="20"/>
        </w:rPr>
        <w:t xml:space="preserve">Передача полномочий в сфере градостроительства позволит принимать рациональные управленческие решения, направленные на комплексное развитие Новосибирской агломерации, с учетом взаимоувязанных документов территориального планирования и планировки территории всех муниципальных образований.</w:t>
      </w:r>
    </w:p>
    <w:p>
      <w:pPr>
        <w:pStyle w:val="0"/>
        <w:spacing w:before="200" w:line-rule="auto"/>
        <w:ind w:firstLine="540"/>
        <w:jc w:val="both"/>
      </w:pPr>
      <w:r>
        <w:rPr>
          <w:sz w:val="20"/>
        </w:rPr>
        <w:t xml:space="preserve">Полномочия в области градостроительной деятельности иных сельских поселений Новосибирской области </w:t>
      </w:r>
      <w:hyperlink w:history="0" r:id="rId218" w:tooltip="Закон Новосибирской области от 24.11.2014 N 484-ОЗ (ред. от 27.02.2023) &quot;Об отдельных вопросах организации местного самоуправления в Новосибирской области&quot; (принят постановлением Законодательного Собрания Новосибирской области от 19.11.2014 N 484-ЗС) {КонсультантПлюс}">
        <w:r>
          <w:rPr>
            <w:sz w:val="20"/>
            <w:color w:val="0000ff"/>
          </w:rPr>
          <w:t xml:space="preserve">Законом</w:t>
        </w:r>
      </w:hyperlink>
      <w:r>
        <w:rPr>
          <w:sz w:val="20"/>
        </w:rPr>
        <w:t xml:space="preserve"> в результате перераспределения переданы на уровень муниципальных районов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w:history="0" r:id="rId219"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220"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w:t>
      </w:r>
    </w:p>
    <w:p>
      <w:pPr>
        <w:pStyle w:val="0"/>
        <w:spacing w:before="200" w:line-rule="auto"/>
        <w:ind w:firstLine="540"/>
        <w:jc w:val="both"/>
      </w:pPr>
      <w:r>
        <w:rPr>
          <w:sz w:val="20"/>
        </w:rPr>
        <w:t xml:space="preserve">Для реализации мероприятий документов территориального планирования необходимо подготовить документацию по планировке территорий для размещения объектов регионального, местного значения, предоставления земельных участков для строительства физическим, юридическим лицам, упорядочения существующего землепользования. Это трудоемкая и длительная работа, которая потребует поддержки муниципальных образований Правительством Новосибирской области.</w:t>
      </w:r>
    </w:p>
    <w:p>
      <w:pPr>
        <w:pStyle w:val="0"/>
        <w:spacing w:before="200" w:line-rule="auto"/>
        <w:ind w:firstLine="540"/>
        <w:jc w:val="both"/>
      </w:pPr>
      <w:r>
        <w:rPr>
          <w:sz w:val="20"/>
        </w:rPr>
        <w:t xml:space="preserve">Подготовка градостроительной документации всех уровней создает условия для возможности реализации строительных программ, создания объектов инженерной, транспортной, социальной инфраструктур, жилищного строительства, а также создания объектов промышленности, наукоемких производств, научно-исследовательских, административных, бизнес-центров. То есть комплексного развития территорий с обеспечением населения жильем, рабочими местами, возможностью обучения, развития, отдыха и оздоровления - создания полноценной комфортной среды проживания.</w:t>
      </w:r>
    </w:p>
    <w:p>
      <w:pPr>
        <w:pStyle w:val="0"/>
        <w:spacing w:before="200" w:line-rule="auto"/>
        <w:ind w:firstLine="540"/>
        <w:jc w:val="both"/>
      </w:pPr>
      <w:r>
        <w:rPr>
          <w:sz w:val="20"/>
        </w:rPr>
        <w:t xml:space="preserve">Достижение цели затруднено следующими проблемами:</w:t>
      </w:r>
    </w:p>
    <w:p>
      <w:pPr>
        <w:pStyle w:val="0"/>
        <w:spacing w:before="200" w:line-rule="auto"/>
        <w:ind w:firstLine="540"/>
        <w:jc w:val="both"/>
      </w:pPr>
      <w:r>
        <w:rPr>
          <w:sz w:val="20"/>
        </w:rPr>
        <w:t xml:space="preserve">1. Документы территориального планирования не всегда соответствуют документам планирования социально-экономического развития Новосибирской области и муниципальных образований Новосибирской области. В схемах территориального планирования Новосибирской области и муниципальных районов Новосибирской области, а также в генеральных планах поселений предусмотрены не все объекты капитального строительства регионального или местного значения, создание и размещение которых предполагается указанными документами планирования социально-экономического развития Новосибирской области и муниципальных образований Новосибирской области, а также в генеральных планах поселений предусмотрены не все объекты капитального строительства регионального или местного значения, создание и размещение которых предполагается указанными стратегиями или целевыми программами, документами территориального планирования Новосибирской области.</w:t>
      </w:r>
    </w:p>
    <w:p>
      <w:pPr>
        <w:pStyle w:val="0"/>
        <w:spacing w:before="200" w:line-rule="auto"/>
        <w:ind w:firstLine="540"/>
        <w:jc w:val="both"/>
      </w:pPr>
      <w:r>
        <w:rPr>
          <w:sz w:val="20"/>
        </w:rPr>
        <w:t xml:space="preserve">В соответствии с Градостроительным </w:t>
      </w:r>
      <w:hyperlink w:history="0" r:id="rId221"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 не допускается размещение объектов регионального и местного значения, которые не отображены в документах территориального планирования.</w:t>
      </w:r>
    </w:p>
    <w:p>
      <w:pPr>
        <w:pStyle w:val="0"/>
        <w:spacing w:before="200" w:line-rule="auto"/>
        <w:ind w:firstLine="540"/>
        <w:jc w:val="both"/>
      </w:pPr>
      <w:r>
        <w:rPr>
          <w:sz w:val="20"/>
        </w:rPr>
        <w:t xml:space="preserve">Достаточно длительный срок реализации мероприятий, утвержденных документами территориального планирования, вызывает необходимость периодической актуализации таких документов в целях координации деятельности всех субъектов градостроительной деятельности. Массовая подготовка и утверждение схем муниципальных районов Новосибирской области и генеральных планов поселений Новосибирской области в 2012 - 2013 годах затрудняла проведение последовательной градостроительной политики в Новосибирской области.</w:t>
      </w:r>
    </w:p>
    <w:p>
      <w:pPr>
        <w:pStyle w:val="0"/>
        <w:spacing w:before="200" w:line-rule="auto"/>
        <w:ind w:firstLine="540"/>
        <w:jc w:val="both"/>
      </w:pPr>
      <w:r>
        <w:rPr>
          <w:sz w:val="20"/>
        </w:rPr>
        <w:t xml:space="preserve">Внесение изменений в документы территориального планирования муниципальных образований Новосибирской области с учетом градостроительных решений вышестоящих документов и программ комплексного развития инженерной, транспортной и социальной инфраструктуры снизит ограничения их градостроительного развития.</w:t>
      </w:r>
    </w:p>
    <w:p>
      <w:pPr>
        <w:pStyle w:val="0"/>
        <w:spacing w:before="200" w:line-rule="auto"/>
        <w:ind w:firstLine="540"/>
        <w:jc w:val="both"/>
      </w:pPr>
      <w:r>
        <w:rPr>
          <w:sz w:val="20"/>
        </w:rPr>
        <w:t xml:space="preserve">2. Документами территориального планирования муниципальных образований Новосибирской области определены зоны нового строительства, в том числе жилищного, зоны размещения объектов регионального и местного значения, но не разработана документация по планировке территорий, что приводит к несогласованности решений инвестиционных программ естественных монополий и планов органов местного самоуправления по развитию территорий.</w:t>
      </w:r>
    </w:p>
    <w:p>
      <w:pPr>
        <w:pStyle w:val="0"/>
        <w:spacing w:before="200" w:line-rule="auto"/>
        <w:ind w:firstLine="540"/>
        <w:jc w:val="both"/>
      </w:pPr>
      <w:r>
        <w:rPr>
          <w:sz w:val="20"/>
        </w:rPr>
        <w:t xml:space="preserve">Кроме того, большинство объектов капитального строительства в кварталах сложившейся застройки не имеют земельных участков, сформированных в соответствии с требованиями законодательства, что в свою очередь служит причиной недополучения доходов от земельного налога в бюджеты всех уровней.</w:t>
      </w:r>
    </w:p>
    <w:p>
      <w:pPr>
        <w:pStyle w:val="0"/>
        <w:spacing w:before="200" w:line-rule="auto"/>
        <w:ind w:firstLine="540"/>
        <w:jc w:val="both"/>
      </w:pPr>
      <w:r>
        <w:rPr>
          <w:sz w:val="20"/>
        </w:rPr>
        <w:t xml:space="preserve">Важным аспектом формирования подпрограммы является создание возможности реализации мероприятий </w:t>
      </w:r>
      <w:hyperlink w:history="0" r:id="rId222" w:tooltip="Постановление Правительства Новосибирской области от 28.04.2014 N 186-п (ред. от 14.04.2020) &quot;Об утверждении схемы территориального планирования Новосибирской агломерации Новосибирской области&quot; ------------ Утратил силу или отменен {КонсультантПлюс}">
        <w:r>
          <w:rPr>
            <w:sz w:val="20"/>
            <w:color w:val="0000ff"/>
          </w:rPr>
          <w:t xml:space="preserve">схемы</w:t>
        </w:r>
      </w:hyperlink>
      <w:r>
        <w:rPr>
          <w:sz w:val="20"/>
        </w:rPr>
        <w:t xml:space="preserve"> территориального планирования Новосибирской агломерации Новосибирской области (далее - схема Новосибирской агломерации), утвержденной постановлением Правительства Новосибирской области от 28.04.2014 N 186-п "Об утверждении схемы территориального планирования Новосибирской агломерации Новосибирской области".</w:t>
      </w:r>
    </w:p>
    <w:p>
      <w:pPr>
        <w:pStyle w:val="0"/>
        <w:spacing w:before="200" w:line-rule="auto"/>
        <w:ind w:firstLine="540"/>
        <w:jc w:val="both"/>
      </w:pPr>
      <w:r>
        <w:rPr>
          <w:sz w:val="20"/>
        </w:rPr>
        <w:t xml:space="preserve">В целях реализации данных мероприятий требуется подготовка документации по планировке территории для формирования земельных участков и последующего размещения объектов регионального значения на территориях муниципальных образований Новосибирской области.</w:t>
      </w:r>
    </w:p>
    <w:p>
      <w:pPr>
        <w:pStyle w:val="0"/>
        <w:spacing w:before="200" w:line-rule="auto"/>
        <w:ind w:firstLine="540"/>
        <w:jc w:val="both"/>
      </w:pPr>
      <w:hyperlink w:history="0" r:id="rId223" w:tooltip="Постановление Правительства Новосибирской области от 28.04.2014 N 186-п (ред. от 14.04.2020) &quot;Об утверждении схемы территориального планирования Новосибирской агломерации Новосибирской области&quot; ------------ Утратил силу или отменен {КонсультантПлюс}">
        <w:r>
          <w:rPr>
            <w:sz w:val="20"/>
            <w:color w:val="0000ff"/>
          </w:rPr>
          <w:t xml:space="preserve">Схемой</w:t>
        </w:r>
      </w:hyperlink>
      <w:r>
        <w:rPr>
          <w:sz w:val="20"/>
        </w:rPr>
        <w:t xml:space="preserve"> Новосибирской агломерации предусмотрено до 100 вновь возводимых объектов, в том числе на территориях двух и более муниципальных районов Новосибирской области. С учетом расчетного срока документа - 20 лет и установки на планомерную реализацию утвержденных мероприятий на период действия государственной программы - 6 лет отведена реализация 25 объектов регионального значения.</w:t>
      </w:r>
    </w:p>
    <w:p>
      <w:pPr>
        <w:pStyle w:val="0"/>
        <w:spacing w:before="200" w:line-rule="auto"/>
        <w:ind w:firstLine="540"/>
        <w:jc w:val="both"/>
      </w:pPr>
      <w:r>
        <w:rPr>
          <w:sz w:val="20"/>
        </w:rPr>
        <w:t xml:space="preserve">Соответственно в мероприятия подпрограммы включена разработка документации по планировке территорий для размещения 25 объектов регионального значения, предусмотренных документами территориального планирования Новосибирской области, способствующих социально-экономическому развитию региона в целом и каждого муниципального образования в составе Новосибирской агломерации, формированию площадок нового градостроительного освоения под промышленное производство, развитию транспортной, инженерной, социальной инфраструктур, жилищного строительства.</w:t>
      </w:r>
    </w:p>
    <w:p>
      <w:pPr>
        <w:pStyle w:val="0"/>
        <w:spacing w:before="200" w:line-rule="auto"/>
        <w:ind w:firstLine="540"/>
        <w:jc w:val="both"/>
      </w:pPr>
      <w:r>
        <w:rPr>
          <w:sz w:val="20"/>
        </w:rPr>
        <w:t xml:space="preserve">Постановлением Правительства Новосибирской области от 28.04.2014 N 186-п "Об утверждении схемы территориального планирования Новосибирской агломерации Новосибирской области" утверждена </w:t>
      </w:r>
      <w:hyperlink w:history="0" r:id="rId224" w:tooltip="Постановление Правительства Новосибирской области от 28.04.2014 N 186-п (ред. от 14.04.2020) &quot;Об утверждении схемы территориального планирования Новосибирской агломерации Новосибирской области&quot; ------------ Утратил силу или отменен {КонсультантПлюс}">
        <w:r>
          <w:rPr>
            <w:sz w:val="20"/>
            <w:color w:val="0000ff"/>
          </w:rPr>
          <w:t xml:space="preserve">Схема</w:t>
        </w:r>
      </w:hyperlink>
      <w:r>
        <w:rPr>
          <w:sz w:val="20"/>
        </w:rPr>
        <w:t xml:space="preserve"> территориального планирования Новосибирской агломерации Новосибирской области.</w:t>
      </w:r>
    </w:p>
    <w:p>
      <w:pPr>
        <w:pStyle w:val="0"/>
        <w:spacing w:before="200" w:line-rule="auto"/>
        <w:ind w:firstLine="540"/>
        <w:jc w:val="both"/>
      </w:pPr>
      <w:r>
        <w:rPr>
          <w:sz w:val="20"/>
        </w:rPr>
        <w:t xml:space="preserve">В рамках Новосибирской агломерации активное развитие получат следующие пять зон опережающего развития:</w:t>
      </w:r>
    </w:p>
    <w:p>
      <w:pPr>
        <w:pStyle w:val="0"/>
        <w:spacing w:before="200" w:line-rule="auto"/>
        <w:ind w:firstLine="540"/>
        <w:jc w:val="both"/>
      </w:pPr>
      <w:r>
        <w:rPr>
          <w:sz w:val="20"/>
        </w:rPr>
        <w:t xml:space="preserve">1. Строительно-производственная зона (Искитимский район Новосибирской области), где расположен комплекс крупнейших предприятий региона, станет центром развития промышленности и производства строительных материалов.</w:t>
      </w:r>
    </w:p>
    <w:p>
      <w:pPr>
        <w:pStyle w:val="0"/>
        <w:spacing w:before="200" w:line-rule="auto"/>
        <w:ind w:firstLine="540"/>
        <w:jc w:val="both"/>
      </w:pPr>
      <w:r>
        <w:rPr>
          <w:sz w:val="20"/>
        </w:rPr>
        <w:t xml:space="preserve">2. Транспортно-логистическая зона Аэросити объединит г. Обь, аэропортовый комплекс "Толмачево", Новосибирский промышленно-логистический парк и промышленную зону в районе с. Марусино Новосибирского района Новосибирской области.</w:t>
      </w:r>
    </w:p>
    <w:p>
      <w:pPr>
        <w:pStyle w:val="0"/>
        <w:spacing w:before="200" w:line-rule="auto"/>
        <w:ind w:firstLine="540"/>
        <w:jc w:val="both"/>
      </w:pPr>
      <w:r>
        <w:rPr>
          <w:sz w:val="20"/>
        </w:rPr>
        <w:t xml:space="preserve">3. Зоной развития образования, науки и инноваций станет Наукополис, который объединит наукоград Кольцово, Новосибирский Академгородок, создаваемый Новосибирский агротехнопарк в р.п. Краснообске Новосибирского района Новосибирской области и Новосибирский медтехнопарк.</w:t>
      </w:r>
    </w:p>
    <w:p>
      <w:pPr>
        <w:pStyle w:val="0"/>
        <w:spacing w:before="200" w:line-rule="auto"/>
        <w:ind w:firstLine="540"/>
        <w:jc w:val="both"/>
      </w:pPr>
      <w:r>
        <w:rPr>
          <w:sz w:val="20"/>
        </w:rPr>
        <w:t xml:space="preserve">4. Восточная транспортно-логистическая зона позволит ускорить транспортировки грузов, следующих транзитом через Новосибирск, разгрузить улично-дорожную сеть города Новосибирска и позволит аккумулировать грузоперевозки вне городской черты.</w:t>
      </w:r>
    </w:p>
    <w:p>
      <w:pPr>
        <w:pStyle w:val="0"/>
        <w:spacing w:before="200" w:line-rule="auto"/>
        <w:ind w:firstLine="540"/>
        <w:jc w:val="both"/>
      </w:pPr>
      <w:r>
        <w:rPr>
          <w:sz w:val="20"/>
        </w:rPr>
        <w:t xml:space="preserve">5. Зона опережающего развития Новосибирской агломерации "Порт Ташара" (Новомошковский, Дубровинский и Ташаринский сельсоветы Мошковского района Новосибирской области) обеспечит стыковку железнодорожного и речного транспорта, а также рост перевозок грузов по реке.</w:t>
      </w:r>
    </w:p>
    <w:p>
      <w:pPr>
        <w:pStyle w:val="0"/>
        <w:spacing w:before="200" w:line-rule="auto"/>
        <w:ind w:firstLine="540"/>
        <w:jc w:val="both"/>
      </w:pPr>
      <w:r>
        <w:rPr>
          <w:sz w:val="20"/>
        </w:rPr>
        <w:t xml:space="preserve">В отношении каждой из зон опережающего развития Новосибирской агломерации планируется подготовка исследовательской или научно-исследовательской работы для определения потенциала территории с учетом повышения ее инвестиционной привлекательности, а также формирование проектных предложений по ее развитию.</w:t>
      </w:r>
    </w:p>
    <w:p>
      <w:pPr>
        <w:pStyle w:val="0"/>
        <w:jc w:val="both"/>
      </w:pPr>
      <w:r>
        <w:rPr>
          <w:sz w:val="20"/>
        </w:rPr>
        <w:t xml:space="preserve">(в ред. </w:t>
      </w:r>
      <w:hyperlink w:history="0" r:id="rId225"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Каждая из данных территорий обладает исключительной спецификой и потенциалом, в связи с чем подходы по градостроительному планированию развития зон опережающего развития индивидуальны.</w:t>
      </w:r>
    </w:p>
    <w:p>
      <w:pPr>
        <w:pStyle w:val="0"/>
        <w:spacing w:before="200" w:line-rule="auto"/>
        <w:ind w:firstLine="540"/>
        <w:jc w:val="both"/>
      </w:pPr>
      <w:r>
        <w:rPr>
          <w:sz w:val="20"/>
        </w:rPr>
        <w:t xml:space="preserve">Предусмотрено выполнение научно-исследовательской работы по разработке комплексной транспортной схемы Новосибирской агломерации - это развитие территориальной транспортной системы Новосибирской агломерации, ориентированной на стратегические цели развития Новосибирской агломерации Новосибирской области. Разработка комплексной транспортной схемы обеспечит комплексное и сбалансированное развитие территориальной транспортной системы Новосибирской агломерации, определит направления развития магистральной улично-дорожной сети, региональной и федеральной сети автомобильных дорог общего пользования, а также внутриагломерационного и внешнего пассажирского транспорта общего пользования, а также местоположение объектов федерального, регионального и местного значения муниципальных районов в системе транспортной инфраструктуры, обеспечивающих устойчивое социально-экономическое развитие Новосибирской агломерации.</w:t>
      </w:r>
    </w:p>
    <w:p>
      <w:pPr>
        <w:pStyle w:val="0"/>
        <w:spacing w:before="200" w:line-rule="auto"/>
        <w:ind w:firstLine="540"/>
        <w:jc w:val="both"/>
      </w:pPr>
      <w:r>
        <w:rPr>
          <w:sz w:val="20"/>
        </w:rPr>
        <w:t xml:space="preserve">Планируется разработка исследовательской работы "Концепция и экономическое обоснование программы развития агломераций Новосибирской области". Предусматривается определение основных направлений развития Новосибирской агломерации, определение порядка создания и развития Барабинско-Куйбышевской агломерации Новосибирской области, а также анализ иных точек роста на территории Новосибирской области.</w:t>
      </w:r>
    </w:p>
    <w:p>
      <w:pPr>
        <w:pStyle w:val="0"/>
        <w:jc w:val="both"/>
      </w:pPr>
      <w:r>
        <w:rPr>
          <w:sz w:val="20"/>
        </w:rPr>
        <w:t xml:space="preserve">(абзац введен </w:t>
      </w:r>
      <w:hyperlink w:history="0" r:id="rId226"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В рамках реализации соглашения "О создании и совместном развитии Барабинско-Куйбышевской агломерации Новосибирской области" от 31.05.2018 N 24 планируется подготовка исследовательских работ в целях развития Барабинско-Куйбышевской агломерации Новосибирской области.</w:t>
      </w:r>
    </w:p>
    <w:p>
      <w:pPr>
        <w:pStyle w:val="0"/>
        <w:jc w:val="both"/>
      </w:pPr>
      <w:r>
        <w:rPr>
          <w:sz w:val="20"/>
        </w:rPr>
        <w:t xml:space="preserve">(абзац введен </w:t>
      </w:r>
      <w:hyperlink w:history="0" r:id="rId227"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19.11.2018 N 481-п)</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Цель подпрограммы - обеспечение муниципальных образований Новосибирской области актуальной градостроительной документацией, предусмотренной Градостроительным </w:t>
      </w:r>
      <w:hyperlink w:history="0" r:id="rId228"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Задачи подпрограммы, решаемые до 2018 года включительно:</w:t>
      </w:r>
    </w:p>
    <w:p>
      <w:pPr>
        <w:pStyle w:val="0"/>
        <w:jc w:val="both"/>
      </w:pPr>
      <w:r>
        <w:rPr>
          <w:sz w:val="20"/>
        </w:rPr>
        <w:t xml:space="preserve">(в ред. </w:t>
      </w:r>
      <w:hyperlink w:history="0" r:id="rId22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1. Актуализация документов территориального планирования на основании результатов мониторинга их реализации.</w:t>
      </w:r>
    </w:p>
    <w:p>
      <w:pPr>
        <w:pStyle w:val="0"/>
        <w:spacing w:before="200" w:line-rule="auto"/>
        <w:ind w:firstLine="540"/>
        <w:jc w:val="both"/>
      </w:pPr>
      <w:r>
        <w:rPr>
          <w:sz w:val="20"/>
        </w:rPr>
        <w:t xml:space="preserve">2. Подготовка документации по планировке территории в целях размещения объектов регионального и местного значения, а также обеспечения развития Новосибирской агломерации.</w:t>
      </w:r>
    </w:p>
    <w:p>
      <w:pPr>
        <w:pStyle w:val="0"/>
        <w:spacing w:before="200" w:line-rule="auto"/>
        <w:ind w:firstLine="540"/>
        <w:jc w:val="both"/>
      </w:pPr>
      <w:r>
        <w:rPr>
          <w:sz w:val="20"/>
        </w:rPr>
        <w:t xml:space="preserve">Задача подпрограммы, решаемая с 2019 года:</w:t>
      </w:r>
    </w:p>
    <w:p>
      <w:pPr>
        <w:pStyle w:val="0"/>
        <w:jc w:val="both"/>
      </w:pPr>
      <w:r>
        <w:rPr>
          <w:sz w:val="20"/>
        </w:rPr>
        <w:t xml:space="preserve">(абзац введен </w:t>
      </w:r>
      <w:hyperlink w:history="0" r:id="rId23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актуализация градостроительной документации в Новосибирской области.</w:t>
      </w:r>
    </w:p>
    <w:p>
      <w:pPr>
        <w:pStyle w:val="0"/>
        <w:jc w:val="both"/>
      </w:pPr>
      <w:r>
        <w:rPr>
          <w:sz w:val="20"/>
        </w:rPr>
        <w:t xml:space="preserve">(абзац введен </w:t>
      </w:r>
      <w:hyperlink w:history="0" r:id="rId23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Целевыми индикаторами подпрограммы являются:</w:t>
      </w:r>
    </w:p>
    <w:p>
      <w:pPr>
        <w:pStyle w:val="0"/>
        <w:spacing w:before="200" w:line-rule="auto"/>
        <w:ind w:firstLine="540"/>
        <w:jc w:val="both"/>
      </w:pPr>
      <w:r>
        <w:rPr>
          <w:sz w:val="20"/>
        </w:rPr>
        <w:t xml:space="preserve">доля муниципальных образований Новосибирской агломерации, в которых подготовлены и утверждены документы территориального планирования, % (периодичность сбора информации по данному целевому индикатору - квартальная, вид временной характеристики - нарастающим итогом);</w:t>
      </w:r>
    </w:p>
    <w:p>
      <w:pPr>
        <w:pStyle w:val="0"/>
        <w:spacing w:before="200" w:line-rule="auto"/>
        <w:ind w:firstLine="540"/>
        <w:jc w:val="both"/>
      </w:pPr>
      <w:r>
        <w:rPr>
          <w:sz w:val="20"/>
        </w:rPr>
        <w:t xml:space="preserve">доля муниципальных образований Новосибирской агломерации, в которых утверждены документы градостроительного зонирования, % (периодичность сбора информации по данному целевому индикатору - квартальная, вид временной характеристики - нарастающим итогом);</w:t>
      </w:r>
    </w:p>
    <w:p>
      <w:pPr>
        <w:pStyle w:val="0"/>
        <w:spacing w:before="200" w:line-rule="auto"/>
        <w:ind w:firstLine="540"/>
        <w:jc w:val="both"/>
      </w:pPr>
      <w:r>
        <w:rPr>
          <w:sz w:val="20"/>
        </w:rPr>
        <w:t xml:space="preserve">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планирования либо внесены изменения в документы территориального планирования, шт. (периодичность сбора информации по данному целевому индикатору - квартальная, вид временной характеристики - нарастающим итогом);</w:t>
      </w:r>
    </w:p>
    <w:p>
      <w:pPr>
        <w:pStyle w:val="0"/>
        <w:spacing w:before="200" w:line-rule="auto"/>
        <w:ind w:firstLine="540"/>
        <w:jc w:val="both"/>
      </w:pPr>
      <w:r>
        <w:rPr>
          <w:sz w:val="20"/>
        </w:rPr>
        <w:t xml:space="preserve">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 шт. (периодичность сбора информации по данному целевому индикатору - квартальная, вид временной характеристики - нарастающим итогом);</w:t>
      </w:r>
    </w:p>
    <w:p>
      <w:pPr>
        <w:pStyle w:val="0"/>
        <w:jc w:val="both"/>
      </w:pPr>
      <w:r>
        <w:rPr>
          <w:sz w:val="20"/>
        </w:rPr>
        <w:t xml:space="preserve">(абзац введен </w:t>
      </w:r>
      <w:hyperlink w:history="0" r:id="rId232"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 шт. (периодичность сбора информации по данному целевому индикатору - квартальная, вид временной характеристики - нарастающим итогом);</w:t>
      </w:r>
    </w:p>
    <w:p>
      <w:pPr>
        <w:pStyle w:val="0"/>
        <w:spacing w:before="200" w:line-rule="auto"/>
        <w:ind w:firstLine="540"/>
        <w:jc w:val="both"/>
      </w:pPr>
      <w:r>
        <w:rPr>
          <w:sz w:val="20"/>
        </w:rPr>
        <w:t xml:space="preserve">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 шт. (периодичность сбора информации по данному целевому индикатору - квартальная, вид временной характеристики - нарастающим итогом);</w:t>
      </w:r>
    </w:p>
    <w:p>
      <w:pPr>
        <w:pStyle w:val="0"/>
        <w:spacing w:before="200" w:line-rule="auto"/>
        <w:ind w:firstLine="540"/>
        <w:jc w:val="both"/>
      </w:pPr>
      <w:r>
        <w:rPr>
          <w:sz w:val="20"/>
        </w:rPr>
        <w:t xml:space="preserve">абзацы четырнадцатый - шестнадцатый исключены. - </w:t>
      </w:r>
      <w:hyperlink w:history="0" r:id="rId233"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02.06.2020 N 215-п.</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Характеристика мероприятий подпрограммы, реализуемых по 2018 год включительно:</w:t>
      </w:r>
    </w:p>
    <w:p>
      <w:pPr>
        <w:pStyle w:val="0"/>
        <w:jc w:val="both"/>
      </w:pPr>
      <w:r>
        <w:rPr>
          <w:sz w:val="20"/>
        </w:rPr>
        <w:t xml:space="preserve">(абзац введен </w:t>
      </w:r>
      <w:hyperlink w:history="0" r:id="rId23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Решение задачи по актуализации документов территориального планирования на основании результатов мониторинга их реализации обеспечивается выполнением следующих мероприятий:</w:t>
      </w:r>
    </w:p>
    <w:p>
      <w:pPr>
        <w:pStyle w:val="0"/>
        <w:spacing w:before="200" w:line-rule="auto"/>
        <w:ind w:firstLine="540"/>
        <w:jc w:val="both"/>
      </w:pPr>
      <w:r>
        <w:rPr>
          <w:sz w:val="20"/>
        </w:rPr>
        <w:t xml:space="preserve">1. Предоставление субсидий бюджетам муниципальных образований Новосибирской области на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w:t>
      </w:r>
    </w:p>
    <w:p>
      <w:pPr>
        <w:pStyle w:val="0"/>
        <w:spacing w:before="200" w:line-rule="auto"/>
        <w:ind w:firstLine="540"/>
        <w:jc w:val="both"/>
      </w:pPr>
      <w:r>
        <w:rPr>
          <w:sz w:val="20"/>
        </w:rPr>
        <w:t xml:space="preserve">Абзац утратил силу. - </w:t>
      </w:r>
      <w:hyperlink w:history="0" r:id="rId235"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2. Подготовка градостроительной документации и научно-исследовательских работ для обеспечения архитектурной и градостроительной деятельности на территории Новосибирской области.</w:t>
      </w:r>
    </w:p>
    <w:p>
      <w:pPr>
        <w:pStyle w:val="0"/>
        <w:jc w:val="both"/>
      </w:pPr>
      <w:r>
        <w:rPr>
          <w:sz w:val="20"/>
        </w:rPr>
        <w:t xml:space="preserve">(в ред. </w:t>
      </w:r>
      <w:hyperlink w:history="0" r:id="rId236"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В рамках данного мероприятия предполагается актуализация </w:t>
      </w:r>
      <w:hyperlink w:history="0" r:id="rId237" w:tooltip="Постановление администрации Новосибирской области от 07.09.2009 N 339-па (ред. от 05.10.2021) &quot;Об утверждении Схемы территориального планирования Новосибирской области&quot; {КонсультантПлюс}">
        <w:r>
          <w:rPr>
            <w:sz w:val="20"/>
            <w:color w:val="0000ff"/>
          </w:rPr>
          <w:t xml:space="preserve">схемы</w:t>
        </w:r>
      </w:hyperlink>
      <w:r>
        <w:rPr>
          <w:sz w:val="20"/>
        </w:rPr>
        <w:t xml:space="preserve"> территориального планирования Новосибирской области, а также подготовка концепций развития территорий.</w:t>
      </w:r>
    </w:p>
    <w:p>
      <w:pPr>
        <w:pStyle w:val="0"/>
        <w:jc w:val="both"/>
      </w:pPr>
      <w:r>
        <w:rPr>
          <w:sz w:val="20"/>
        </w:rPr>
        <w:t xml:space="preserve">(абзац введен </w:t>
      </w:r>
      <w:hyperlink w:history="0" r:id="rId23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3. Согласование документов территориального планирования муниципальных образований Новосибирской области.</w:t>
      </w:r>
    </w:p>
    <w:p>
      <w:pPr>
        <w:pStyle w:val="0"/>
        <w:spacing w:before="200" w:line-rule="auto"/>
        <w:ind w:firstLine="540"/>
        <w:jc w:val="both"/>
      </w:pPr>
      <w:r>
        <w:rPr>
          <w:sz w:val="20"/>
        </w:rPr>
        <w:t xml:space="preserve">По результатам согласования к концу 2018 года будут утверждены 11 документов территориального планирования муниципальных образований Новосибирской области (за исключением муниципальных образований Новосибирской агломерации).</w:t>
      </w:r>
    </w:p>
    <w:p>
      <w:pPr>
        <w:pStyle w:val="0"/>
        <w:jc w:val="both"/>
      </w:pPr>
      <w:r>
        <w:rPr>
          <w:sz w:val="20"/>
        </w:rPr>
        <w:t xml:space="preserve">(в ред. постановлений Правительства Новосибирской области от 06.07.2018 </w:t>
      </w:r>
      <w:hyperlink w:history="0" r:id="rId23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05.02.2019 </w:t>
      </w:r>
      <w:hyperlink w:history="0" r:id="rId240"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24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w:t>
      </w:r>
    </w:p>
    <w:p>
      <w:pPr>
        <w:pStyle w:val="0"/>
        <w:spacing w:before="200" w:line-rule="auto"/>
        <w:ind w:firstLine="540"/>
        <w:jc w:val="both"/>
      </w:pPr>
      <w:r>
        <w:rPr>
          <w:sz w:val="20"/>
        </w:rPr>
        <w:t xml:space="preserve">4. Подготовка и утверждение документов территориального планирования муниципальных образований Новосибирской агломерации, а также внесение изменений в них.</w:t>
      </w:r>
    </w:p>
    <w:p>
      <w:pPr>
        <w:pStyle w:val="0"/>
        <w:jc w:val="both"/>
      </w:pPr>
      <w:r>
        <w:rPr>
          <w:sz w:val="20"/>
        </w:rPr>
        <w:t xml:space="preserve">(в ред. </w:t>
      </w:r>
      <w:hyperlink w:history="0" r:id="rId24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Данное мероприятие позволит обеспечить 10,91% муниципальных образований Новосибирской агломерации документами территориального планирования.</w:t>
      </w:r>
    </w:p>
    <w:p>
      <w:pPr>
        <w:pStyle w:val="0"/>
        <w:jc w:val="both"/>
      </w:pPr>
      <w:r>
        <w:rPr>
          <w:sz w:val="20"/>
        </w:rPr>
        <w:t xml:space="preserve">(в ред. постановлений Правительства Новосибирской области от 05.02.2019 </w:t>
      </w:r>
      <w:hyperlink w:history="0" r:id="rId243"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24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w:t>
      </w:r>
    </w:p>
    <w:p>
      <w:pPr>
        <w:pStyle w:val="0"/>
        <w:spacing w:before="200" w:line-rule="auto"/>
        <w:ind w:firstLine="540"/>
        <w:jc w:val="both"/>
      </w:pPr>
      <w:r>
        <w:rPr>
          <w:sz w:val="20"/>
        </w:rPr>
        <w:t xml:space="preserve">5. Подготовка и утверждение документов градостроительного зонирования муниципальных образований Новосибирской агломерации, а также внесение изменений в них.</w:t>
      </w:r>
    </w:p>
    <w:p>
      <w:pPr>
        <w:pStyle w:val="0"/>
        <w:jc w:val="both"/>
      </w:pPr>
      <w:r>
        <w:rPr>
          <w:sz w:val="20"/>
        </w:rPr>
        <w:t xml:space="preserve">(в ред. </w:t>
      </w:r>
      <w:hyperlink w:history="0" r:id="rId24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Данное мероприятие позволит обеспечить 50,91% муниципальных образований Новосибирской агломерации документами градостроительного зонирования.</w:t>
      </w:r>
    </w:p>
    <w:p>
      <w:pPr>
        <w:pStyle w:val="0"/>
        <w:jc w:val="both"/>
      </w:pPr>
      <w:r>
        <w:rPr>
          <w:sz w:val="20"/>
        </w:rPr>
        <w:t xml:space="preserve">(в ред. </w:t>
      </w:r>
      <w:hyperlink w:history="0" r:id="rId24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6. Проведение исследовательских или научно-исследовательских работ в целях развития агломераций Новосибирской области.</w:t>
      </w:r>
    </w:p>
    <w:p>
      <w:pPr>
        <w:pStyle w:val="0"/>
        <w:jc w:val="both"/>
      </w:pPr>
      <w:r>
        <w:rPr>
          <w:sz w:val="20"/>
        </w:rPr>
        <w:t xml:space="preserve">(в ред. постановлений Правительства Новосибирской области от 06.07.2018 </w:t>
      </w:r>
      <w:hyperlink w:history="0" r:id="rId247"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248"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p>
      <w:pPr>
        <w:pStyle w:val="0"/>
        <w:spacing w:before="200" w:line-rule="auto"/>
        <w:ind w:firstLine="540"/>
        <w:jc w:val="both"/>
      </w:pPr>
      <w:r>
        <w:rPr>
          <w:sz w:val="20"/>
        </w:rPr>
        <w:t xml:space="preserve">7. Утратил силу. - </w:t>
      </w:r>
      <w:hyperlink w:history="0" r:id="rId249"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8. Методическая поддержка, формирование единых рекомендаций к подготовке и утверждению градостроительной документации муниципальными образованиями Новосибирской области.</w:t>
      </w:r>
    </w:p>
    <w:p>
      <w:pPr>
        <w:pStyle w:val="0"/>
        <w:spacing w:before="200" w:line-rule="auto"/>
        <w:ind w:firstLine="540"/>
        <w:jc w:val="both"/>
      </w:pPr>
      <w:r>
        <w:rPr>
          <w:sz w:val="20"/>
        </w:rPr>
        <w:t xml:space="preserve">Подготовка типовых образцов документации территориального планирования и градостроительного зонирования для обеспечения градостроительной деятельности на территории муниципальных образований Новосибирской области.</w:t>
      </w:r>
    </w:p>
    <w:p>
      <w:pPr>
        <w:pStyle w:val="0"/>
        <w:spacing w:before="200" w:line-rule="auto"/>
        <w:ind w:firstLine="540"/>
        <w:jc w:val="both"/>
      </w:pPr>
      <w:r>
        <w:rPr>
          <w:sz w:val="20"/>
        </w:rPr>
        <w:t xml:space="preserve">9. Утратил силу. - </w:t>
      </w:r>
      <w:hyperlink w:history="0" r:id="rId250"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Распределение субсидий по муниципальным образованиям Новосибирской области на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 а также на подготовку документации по планировке территории (за исключением Новосибирской агломерации) осуществляется в соответствии с </w:t>
      </w:r>
      <w:hyperlink w:history="0" r:id="rId251" w:tooltip="Постановление Правительства Новосибирской области от 27.12.2017 N 466-п (ред. от 21.12.2021) &quot;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27.12.2017 N 466-п "Об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w:t>
      </w:r>
    </w:p>
    <w:p>
      <w:pPr>
        <w:pStyle w:val="0"/>
        <w:jc w:val="both"/>
      </w:pPr>
      <w:r>
        <w:rPr>
          <w:sz w:val="20"/>
        </w:rPr>
        <w:t xml:space="preserve">(в ред. </w:t>
      </w:r>
      <w:hyperlink w:history="0" r:id="rId252"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Решение задачи по подготовке документации по планировке территории в целях размещения объектов регионального и местного значения, а также обеспечения развития Новосибирской агломерации обеспечивается выполнением следующих мероприятий:</w:t>
      </w:r>
    </w:p>
    <w:p>
      <w:pPr>
        <w:pStyle w:val="0"/>
        <w:spacing w:before="200" w:line-rule="auto"/>
        <w:ind w:firstLine="540"/>
        <w:jc w:val="both"/>
      </w:pPr>
      <w:r>
        <w:rPr>
          <w:sz w:val="20"/>
        </w:rPr>
        <w:t xml:space="preserve">1. Подготовка и утверждение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 в рамках полномочий Минстроя НСО.</w:t>
      </w:r>
    </w:p>
    <w:p>
      <w:pPr>
        <w:pStyle w:val="0"/>
        <w:spacing w:before="200" w:line-rule="auto"/>
        <w:ind w:firstLine="540"/>
        <w:jc w:val="both"/>
      </w:pPr>
      <w:r>
        <w:rPr>
          <w:sz w:val="20"/>
        </w:rPr>
        <w:t xml:space="preserve">К концу 2018 года планируется утверждение документации по планировке территории, предусматривающей размещение 53 объектов регионального значения.</w:t>
      </w:r>
    </w:p>
    <w:p>
      <w:pPr>
        <w:pStyle w:val="0"/>
        <w:jc w:val="both"/>
      </w:pPr>
      <w:r>
        <w:rPr>
          <w:sz w:val="20"/>
        </w:rPr>
        <w:t xml:space="preserve">(в ред. </w:t>
      </w:r>
      <w:hyperlink w:history="0" r:id="rId25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jc w:val="both"/>
      </w:pPr>
      <w:r>
        <w:rPr>
          <w:sz w:val="20"/>
        </w:rPr>
        <w:t xml:space="preserve">(п. 1 в ред. </w:t>
      </w:r>
      <w:hyperlink w:history="0" r:id="rId254"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2. Утверждение документации по планировке территории, подготовленной на основании документов территориального планирования муниципальных образований Новосибирской агломерации.</w:t>
      </w:r>
    </w:p>
    <w:p>
      <w:pPr>
        <w:pStyle w:val="0"/>
        <w:spacing w:before="200" w:line-rule="auto"/>
        <w:ind w:firstLine="540"/>
        <w:jc w:val="both"/>
      </w:pPr>
      <w:r>
        <w:rPr>
          <w:sz w:val="20"/>
        </w:rPr>
        <w:t xml:space="preserve">К концу 2018 года будут утверждены 6 документов по планировке территории (проектов планировки территории, проектов межевания территории), предусмотренных документами территориального планирования муниципальных образований Новосибирской агломерации.</w:t>
      </w:r>
    </w:p>
    <w:p>
      <w:pPr>
        <w:pStyle w:val="0"/>
        <w:jc w:val="both"/>
      </w:pPr>
      <w:r>
        <w:rPr>
          <w:sz w:val="20"/>
        </w:rPr>
        <w:t xml:space="preserve">(в ред. </w:t>
      </w:r>
      <w:hyperlink w:history="0" r:id="rId25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3. Разработка методических материалов для муниципальных образований Новосибирской области с требованиями к составу, содержанию, порядку подготовки и утверждения документации по планировке территорий.</w:t>
      </w:r>
    </w:p>
    <w:p>
      <w:pPr>
        <w:pStyle w:val="0"/>
        <w:spacing w:before="200" w:line-rule="auto"/>
        <w:ind w:firstLine="540"/>
        <w:jc w:val="both"/>
      </w:pPr>
      <w:r>
        <w:rPr>
          <w:sz w:val="20"/>
        </w:rPr>
        <w:t xml:space="preserve">4. Предоставление субсидий бюджетам муниципальных образований Новосибирской области на подготовку документации по планировке территории.</w:t>
      </w:r>
    </w:p>
    <w:p>
      <w:pPr>
        <w:pStyle w:val="0"/>
        <w:jc w:val="both"/>
      </w:pPr>
      <w:r>
        <w:rPr>
          <w:sz w:val="20"/>
        </w:rPr>
        <w:t xml:space="preserve">(п. 4 введен </w:t>
      </w:r>
      <w:hyperlink w:history="0" r:id="rId256"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Характеристика мероприятий подпрограммы, реализуемых с 2019 года:</w:t>
      </w:r>
    </w:p>
    <w:p>
      <w:pPr>
        <w:pStyle w:val="0"/>
        <w:jc w:val="both"/>
      </w:pPr>
      <w:r>
        <w:rPr>
          <w:sz w:val="20"/>
        </w:rPr>
        <w:t xml:space="preserve">(абзац введен </w:t>
      </w:r>
      <w:hyperlink w:history="0" r:id="rId25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Решение задачи по актуализации градостроительной документации в Новосибирской области обеспечивается выполнением следующих мероприятий:</w:t>
      </w:r>
    </w:p>
    <w:p>
      <w:pPr>
        <w:pStyle w:val="0"/>
        <w:jc w:val="both"/>
      </w:pPr>
      <w:r>
        <w:rPr>
          <w:sz w:val="20"/>
        </w:rPr>
        <w:t xml:space="preserve">(абзац введен </w:t>
      </w:r>
      <w:hyperlink w:history="0" r:id="rId258"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1. Подготовка градостроительной документации или внесение в нее изменений в рамках полномочий муниципальных образований Новосибирской области.</w:t>
      </w:r>
    </w:p>
    <w:p>
      <w:pPr>
        <w:pStyle w:val="0"/>
        <w:spacing w:before="200" w:line-rule="auto"/>
        <w:ind w:firstLine="540"/>
        <w:jc w:val="both"/>
      </w:pPr>
      <w:r>
        <w:rPr>
          <w:sz w:val="20"/>
        </w:rPr>
        <w:t xml:space="preserve">Реализация данного мероприятия планируется с помощью субсидирования муниципальных образований Новосибирской области на градостроительную подготовку территорий Новосибирской области.</w:t>
      </w:r>
    </w:p>
    <w:p>
      <w:pPr>
        <w:pStyle w:val="0"/>
        <w:spacing w:before="200" w:line-rule="auto"/>
        <w:ind w:firstLine="540"/>
        <w:jc w:val="both"/>
      </w:pPr>
      <w:r>
        <w:rPr>
          <w:sz w:val="20"/>
        </w:rPr>
        <w:t xml:space="preserve">Распределение субсидий по муниципальным образованиям Новосибирской области на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 а также на подготовку документации по планировке территории (за исключением Новосибирской агломерации) осуществляется в соответствии с </w:t>
      </w:r>
      <w:hyperlink w:history="0" r:id="rId259" w:tooltip="Постановление Правительства Новосибирской области от 27.12.2017 N 466-п (ред. от 21.12.2021) &quot;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27.12.2017 N 466-п "Об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 на:</w:t>
      </w:r>
    </w:p>
    <w:p>
      <w:pPr>
        <w:pStyle w:val="0"/>
        <w:spacing w:before="200" w:line-rule="auto"/>
        <w:ind w:firstLine="540"/>
        <w:jc w:val="both"/>
      </w:pPr>
      <w:r>
        <w:rPr>
          <w:sz w:val="20"/>
        </w:rPr>
        <w:t xml:space="preserve">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w:t>
      </w:r>
    </w:p>
    <w:p>
      <w:pPr>
        <w:pStyle w:val="0"/>
        <w:spacing w:before="200" w:line-rule="auto"/>
        <w:ind w:firstLine="540"/>
        <w:jc w:val="both"/>
      </w:pPr>
      <w:r>
        <w:rPr>
          <w:sz w:val="20"/>
        </w:rPr>
        <w:t xml:space="preserve">подготовку документации по планировке территории.</w:t>
      </w:r>
    </w:p>
    <w:p>
      <w:pPr>
        <w:pStyle w:val="0"/>
        <w:jc w:val="both"/>
      </w:pPr>
      <w:r>
        <w:rPr>
          <w:sz w:val="20"/>
        </w:rPr>
        <w:t xml:space="preserve">(п. 1 введен </w:t>
      </w:r>
      <w:hyperlink w:history="0" r:id="rId26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2. Подготовка, утверждение, согласование градостроительной документации, внесение в нее изменений в рамках полномочий Минстроя НСО, а также подготовка исследовательских работ в целях развития агломераций Новосибирской области и проведение мероприятий по описанию местоположения границ Новосибирской области и границ муниципальных образований Новосибирской области.</w:t>
      </w:r>
    </w:p>
    <w:p>
      <w:pPr>
        <w:pStyle w:val="0"/>
        <w:jc w:val="both"/>
      </w:pPr>
      <w:r>
        <w:rPr>
          <w:sz w:val="20"/>
        </w:rPr>
        <w:t xml:space="preserve">(в ред. </w:t>
      </w:r>
      <w:hyperlink w:history="0" r:id="rId261"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В рамках данного мероприятия предполагаются:</w:t>
      </w:r>
    </w:p>
    <w:p>
      <w:pPr>
        <w:pStyle w:val="0"/>
        <w:spacing w:before="200" w:line-rule="auto"/>
        <w:ind w:firstLine="540"/>
        <w:jc w:val="both"/>
      </w:pPr>
      <w:r>
        <w:rPr>
          <w:sz w:val="20"/>
        </w:rPr>
        <w:t xml:space="preserve">актуализация схемы территориального планирования Новосибирской области;</w:t>
      </w:r>
    </w:p>
    <w:p>
      <w:pPr>
        <w:pStyle w:val="0"/>
        <w:spacing w:before="200" w:line-rule="auto"/>
        <w:ind w:firstLine="540"/>
        <w:jc w:val="both"/>
      </w:pPr>
      <w:r>
        <w:rPr>
          <w:sz w:val="20"/>
        </w:rPr>
        <w:t xml:space="preserve">подготовка и утверждение документов территориального планирования муниципальных образований Новосибирской агломерации, а также внесение изменений в них;</w:t>
      </w:r>
    </w:p>
    <w:p>
      <w:pPr>
        <w:pStyle w:val="0"/>
        <w:spacing w:before="200" w:line-rule="auto"/>
        <w:ind w:firstLine="540"/>
        <w:jc w:val="both"/>
      </w:pPr>
      <w:r>
        <w:rPr>
          <w:sz w:val="20"/>
        </w:rPr>
        <w:t xml:space="preserve">подготовка и утверждение документов градостроительного зонирования муниципальных образований Новосибирской агломерации, а также внесение изменений в них;</w:t>
      </w:r>
    </w:p>
    <w:p>
      <w:pPr>
        <w:pStyle w:val="0"/>
        <w:spacing w:before="200" w:line-rule="auto"/>
        <w:ind w:firstLine="540"/>
        <w:jc w:val="both"/>
      </w:pPr>
      <w:r>
        <w:rPr>
          <w:sz w:val="20"/>
        </w:rPr>
        <w:t xml:space="preserve">проведение исследовательских работ в целях развития агломераций Новосибирской области;</w:t>
      </w:r>
    </w:p>
    <w:p>
      <w:pPr>
        <w:pStyle w:val="0"/>
        <w:spacing w:before="200" w:line-rule="auto"/>
        <w:ind w:firstLine="540"/>
        <w:jc w:val="both"/>
      </w:pPr>
      <w:r>
        <w:rPr>
          <w:sz w:val="20"/>
        </w:rPr>
        <w:t xml:space="preserve">подготовка и утверждение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 в рамках полномочий Минстроя НСО;</w:t>
      </w:r>
    </w:p>
    <w:p>
      <w:pPr>
        <w:pStyle w:val="0"/>
        <w:spacing w:before="200" w:line-rule="auto"/>
        <w:ind w:firstLine="540"/>
        <w:jc w:val="both"/>
      </w:pPr>
      <w:r>
        <w:rPr>
          <w:sz w:val="20"/>
        </w:rPr>
        <w:t xml:space="preserve">утверждение документации по планировке территории, подготовленной на основании документов территориального планирования муниципальных образований Новосибирской агломерации;</w:t>
      </w:r>
    </w:p>
    <w:p>
      <w:pPr>
        <w:pStyle w:val="0"/>
        <w:spacing w:before="200" w:line-rule="auto"/>
        <w:ind w:firstLine="540"/>
        <w:jc w:val="both"/>
      </w:pPr>
      <w:r>
        <w:rPr>
          <w:sz w:val="20"/>
        </w:rPr>
        <w:t xml:space="preserve">абзац исключен. - </w:t>
      </w:r>
      <w:hyperlink w:history="0" r:id="rId262"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02.06.2020 N 215-п.</w:t>
      </w:r>
    </w:p>
    <w:p>
      <w:pPr>
        <w:pStyle w:val="0"/>
        <w:jc w:val="both"/>
      </w:pPr>
      <w:r>
        <w:rPr>
          <w:sz w:val="20"/>
        </w:rPr>
        <w:t xml:space="preserve">(п. 2 введен </w:t>
      </w:r>
      <w:hyperlink w:history="0" r:id="rId26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jc w:val="center"/>
      </w:pPr>
      <w:r>
        <w:rPr>
          <w:sz w:val="20"/>
        </w:rPr>
        <w:t xml:space="preserve">(в ред. </w:t>
      </w:r>
      <w:hyperlink w:history="0" r:id="rId264"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06.07.2018 N 287-п)</w:t>
      </w:r>
    </w:p>
    <w:p>
      <w:pPr>
        <w:pStyle w:val="0"/>
        <w:ind w:firstLine="540"/>
        <w:jc w:val="both"/>
      </w:pPr>
      <w:r>
        <w:rPr>
          <w:sz w:val="20"/>
        </w:rPr>
      </w:r>
    </w:p>
    <w:p>
      <w:pPr>
        <w:pStyle w:val="0"/>
        <w:ind w:firstLine="540"/>
        <w:jc w:val="both"/>
      </w:pPr>
      <w:r>
        <w:rPr>
          <w:sz w:val="20"/>
        </w:rPr>
        <w:t xml:space="preserve">За счет реализации подпрограммы к концу 2019 года будут достигнуты следующие результаты:</w:t>
      </w:r>
    </w:p>
    <w:p>
      <w:pPr>
        <w:pStyle w:val="0"/>
        <w:jc w:val="both"/>
      </w:pPr>
      <w:r>
        <w:rPr>
          <w:sz w:val="20"/>
        </w:rPr>
        <w:t xml:space="preserve">(в ред. постановлений Правительства Новосибирской области от 19.03.2019 </w:t>
      </w:r>
      <w:hyperlink w:history="0" r:id="rId26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266"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p>
      <w:pPr>
        <w:pStyle w:val="0"/>
        <w:spacing w:before="200" w:line-rule="auto"/>
        <w:ind w:firstLine="540"/>
        <w:jc w:val="both"/>
      </w:pPr>
      <w:r>
        <w:rPr>
          <w:sz w:val="20"/>
        </w:rPr>
        <w:t xml:space="preserve">в 27,07% муниципальных образований Новосибирской агломерации будут подготовлены и утверждены документы территориального планирования;</w:t>
      </w:r>
    </w:p>
    <w:p>
      <w:pPr>
        <w:pStyle w:val="0"/>
        <w:jc w:val="both"/>
      </w:pPr>
      <w:r>
        <w:rPr>
          <w:sz w:val="20"/>
        </w:rPr>
        <w:t xml:space="preserve">(в ред. постановлений Правительства Новосибирской области от 05.02.2019 </w:t>
      </w:r>
      <w:hyperlink w:history="0" r:id="rId267"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268"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269"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p>
      <w:pPr>
        <w:pStyle w:val="0"/>
        <w:spacing w:before="200" w:line-rule="auto"/>
        <w:ind w:firstLine="540"/>
        <w:jc w:val="both"/>
      </w:pPr>
      <w:r>
        <w:rPr>
          <w:sz w:val="20"/>
        </w:rPr>
        <w:t xml:space="preserve">в 85,45% муниципальных образований Новосибирской агломерации будут утверждены градостроительного зонирования;</w:t>
      </w:r>
    </w:p>
    <w:p>
      <w:pPr>
        <w:pStyle w:val="0"/>
        <w:jc w:val="both"/>
      </w:pPr>
      <w:r>
        <w:rPr>
          <w:sz w:val="20"/>
        </w:rPr>
        <w:t xml:space="preserve">(в ред. </w:t>
      </w:r>
      <w:hyperlink w:history="0" r:id="rId270"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02.06.2020 N 215-п)</w:t>
      </w:r>
    </w:p>
    <w:p>
      <w:pPr>
        <w:pStyle w:val="0"/>
        <w:spacing w:before="200" w:line-rule="auto"/>
        <w:ind w:firstLine="540"/>
        <w:jc w:val="both"/>
      </w:pPr>
      <w:r>
        <w:rPr>
          <w:sz w:val="20"/>
        </w:rPr>
        <w:t xml:space="preserve">в 20 муниципальных районах, городских округах, городских и сельских поселениях Новосибирской области (за исключением Новосибирской агломерации) будут утверждены документы территориального планирования и градостроительного зонирования либо внесены в них изменения, что составит 4,6% от общего количества муниципальных образований Новосибирской области (за исключением Новосибирской агломерации);</w:t>
      </w:r>
    </w:p>
    <w:p>
      <w:pPr>
        <w:pStyle w:val="0"/>
        <w:jc w:val="both"/>
      </w:pPr>
      <w:r>
        <w:rPr>
          <w:sz w:val="20"/>
        </w:rPr>
        <w:t xml:space="preserve">(в ред. постановлений Правительства Новосибирской области от 06.07.2018 </w:t>
      </w:r>
      <w:hyperlink w:history="0" r:id="rId271"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05.02.2019 </w:t>
      </w:r>
      <w:hyperlink w:history="0" r:id="rId272"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27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274"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p>
      <w:pPr>
        <w:pStyle w:val="0"/>
        <w:spacing w:before="200" w:line-rule="auto"/>
        <w:ind w:firstLine="540"/>
        <w:jc w:val="both"/>
      </w:pPr>
      <w:r>
        <w:rPr>
          <w:sz w:val="20"/>
        </w:rPr>
        <w:t xml:space="preserve">в 85% муниципальных образований Новосибирской области (за исключением Новосибирской агломерации) в рамках реализации государственной программы будут утверждены документы градостроительного зонирования либо внесены изменения в документы градостроительного зонирования;</w:t>
      </w:r>
    </w:p>
    <w:p>
      <w:pPr>
        <w:pStyle w:val="0"/>
        <w:jc w:val="both"/>
      </w:pPr>
      <w:r>
        <w:rPr>
          <w:sz w:val="20"/>
        </w:rPr>
        <w:t xml:space="preserve">(абзац введен </w:t>
      </w:r>
      <w:hyperlink w:history="0" r:id="rId275"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23.10.2017 N 399-п; в ред. </w:t>
      </w:r>
      <w:hyperlink w:history="0" r:id="rId276"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02.06.2020 N 215-п)</w:t>
      </w:r>
    </w:p>
    <w:p>
      <w:pPr>
        <w:pStyle w:val="0"/>
        <w:spacing w:before="200" w:line-rule="auto"/>
        <w:ind w:firstLine="540"/>
        <w:jc w:val="both"/>
      </w:pPr>
      <w:r>
        <w:rPr>
          <w:sz w:val="20"/>
        </w:rPr>
        <w:t xml:space="preserve">будет утверждена документация по планировке территории для размещения 83 объектов регионального значения, предусмотренных документами территориального планирования Новосибирской области, а также будут утверждены 60 документов по планировке территории, предусмотренных документами территориального планирования муниципальных образований Новосибирской агломерации;</w:t>
      </w:r>
    </w:p>
    <w:p>
      <w:pPr>
        <w:pStyle w:val="0"/>
        <w:jc w:val="both"/>
      </w:pPr>
      <w:r>
        <w:rPr>
          <w:sz w:val="20"/>
        </w:rPr>
        <w:t xml:space="preserve">(в ред. постановлений Правительства Новосибирской области от 23.10.2017 </w:t>
      </w:r>
      <w:hyperlink w:history="0" r:id="rId277"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rPr>
        <w:t xml:space="preserve">, от 06.07.2018 </w:t>
      </w:r>
      <w:hyperlink w:history="0" r:id="rId27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19.03.2019 </w:t>
      </w:r>
      <w:hyperlink w:history="0" r:id="rId27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280"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p>
      <w:pPr>
        <w:pStyle w:val="0"/>
        <w:spacing w:before="200" w:line-rule="auto"/>
        <w:ind w:firstLine="540"/>
        <w:jc w:val="both"/>
      </w:pPr>
      <w:r>
        <w:rPr>
          <w:sz w:val="20"/>
        </w:rPr>
        <w:t xml:space="preserve">абзацы седьмой - девятый утратили силу. - </w:t>
      </w:r>
      <w:hyperlink w:history="0" r:id="rId281"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02.06.2020 N 215-п.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5667" w:name="P5667"/>
    <w:bookmarkEnd w:id="5667"/>
    <w:p>
      <w:pPr>
        <w:pStyle w:val="2"/>
        <w:jc w:val="center"/>
      </w:pPr>
      <w:r>
        <w:rPr>
          <w:sz w:val="20"/>
        </w:rPr>
        <w:t xml:space="preserve">Подпрограмма</w:t>
      </w:r>
    </w:p>
    <w:p>
      <w:pPr>
        <w:pStyle w:val="2"/>
        <w:jc w:val="center"/>
      </w:pPr>
      <w:r>
        <w:rPr>
          <w:sz w:val="20"/>
        </w:rPr>
        <w:t xml:space="preserve">"Фонд пространственных данных Новосибирской области"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28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06.07.2018 N 287-п;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19.11.2018 </w:t>
            </w:r>
            <w:hyperlink w:history="0" r:id="rId283"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 от 05.02.2019 </w:t>
            </w:r>
            <w:hyperlink w:history="0" r:id="rId284"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color w:val="392c69"/>
              </w:rPr>
              <w:t xml:space="preserve">, от 19.03.2019 </w:t>
            </w:r>
            <w:hyperlink w:history="0" r:id="rId28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w:t>
            </w:r>
          </w:p>
          <w:p>
            <w:pPr>
              <w:pStyle w:val="0"/>
              <w:jc w:val="center"/>
            </w:pPr>
            <w:r>
              <w:rPr>
                <w:sz w:val="20"/>
                <w:color w:val="392c69"/>
              </w:rPr>
              <w:t xml:space="preserve">от 28.10.2019 </w:t>
            </w:r>
            <w:hyperlink w:history="0" r:id="rId286"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color w:val="392c69"/>
              </w:rPr>
              <w:t xml:space="preserve">, от 02.06.2020 </w:t>
            </w:r>
            <w:hyperlink w:history="0" r:id="rId287"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7"/>
        <w:gridCol w:w="7143"/>
      </w:tblGrid>
      <w:tr>
        <w:tblPrEx>
          <w:tblBorders>
            <w:insideH w:val="nil"/>
          </w:tblBorders>
        </w:tblPrEx>
        <w:tc>
          <w:tcPr>
            <w:tcW w:w="1927"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288"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7"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"Фонд пространственных данных Новосибирской области" государственной программы (далее - подпрограмма)</w:t>
            </w:r>
          </w:p>
        </w:tc>
      </w:tr>
      <w:tr>
        <w:tc>
          <w:tcPr>
            <w:tcW w:w="1927" w:type="dxa"/>
          </w:tcPr>
          <w:p>
            <w:pPr>
              <w:pStyle w:val="0"/>
            </w:pPr>
            <w:r>
              <w:rPr>
                <w:sz w:val="20"/>
              </w:rPr>
              <w:t xml:space="preserve">Разработчики подпрограммы</w:t>
            </w:r>
          </w:p>
        </w:tc>
        <w:tc>
          <w:tcPr>
            <w:tcW w:w="7143" w:type="dxa"/>
          </w:tcPr>
          <w:p>
            <w:pPr>
              <w:pStyle w:val="0"/>
              <w:jc w:val="both"/>
            </w:pPr>
            <w:r>
              <w:rPr>
                <w:sz w:val="20"/>
              </w:rPr>
              <w:t xml:space="preserve">Министерство строительства Новосибирской области (далее - Минстрой НСО)</w:t>
            </w:r>
          </w:p>
        </w:tc>
      </w:tr>
      <w:tr>
        <w:tc>
          <w:tcPr>
            <w:tcW w:w="1927" w:type="dxa"/>
          </w:tcPr>
          <w:p>
            <w:pPr>
              <w:pStyle w:val="0"/>
            </w:pPr>
            <w:r>
              <w:rPr>
                <w:sz w:val="20"/>
              </w:rPr>
              <w:t xml:space="preserve">Государственный заказчик (государственный заказчик-координатор) подпрограммы</w:t>
            </w:r>
          </w:p>
        </w:tc>
        <w:tc>
          <w:tcPr>
            <w:tcW w:w="7143" w:type="dxa"/>
          </w:tcPr>
          <w:p>
            <w:pPr>
              <w:pStyle w:val="0"/>
              <w:jc w:val="both"/>
            </w:pPr>
            <w:r>
              <w:rPr>
                <w:sz w:val="20"/>
              </w:rPr>
              <w:t xml:space="preserve">Минстрой НСО</w:t>
            </w:r>
          </w:p>
        </w:tc>
      </w:tr>
      <w:tr>
        <w:tblPrEx>
          <w:tblBorders>
            <w:insideH w:val="nil"/>
          </w:tblBorders>
        </w:tblPrEx>
        <w:tc>
          <w:tcPr>
            <w:tcW w:w="1927" w:type="dxa"/>
            <w:tcBorders>
              <w:bottom w:val="nil"/>
            </w:tcBorders>
          </w:tcPr>
          <w:p>
            <w:pPr>
              <w:pStyle w:val="0"/>
            </w:pPr>
            <w:r>
              <w:rPr>
                <w:sz w:val="20"/>
              </w:rPr>
              <w:t xml:space="preserve">Руководитель подпрограммы</w:t>
            </w:r>
          </w:p>
        </w:tc>
        <w:tc>
          <w:tcPr>
            <w:tcW w:w="7143" w:type="dxa"/>
            <w:tcBorders>
              <w:bottom w:val="nil"/>
            </w:tcBorders>
          </w:tcPr>
          <w:p>
            <w:pPr>
              <w:pStyle w:val="0"/>
              <w:jc w:val="both"/>
            </w:pPr>
            <w:r>
              <w:rPr>
                <w:sz w:val="20"/>
              </w:rPr>
              <w:t xml:space="preserve">Министр строительства Новосибирской области Шмидт И.И.</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289"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19.11.2018 N 481-п)</w:t>
            </w:r>
          </w:p>
        </w:tc>
      </w:tr>
      <w:tr>
        <w:tblPrEx>
          <w:tblBorders>
            <w:insideH w:val="nil"/>
          </w:tblBorders>
        </w:tblPrEx>
        <w:tc>
          <w:tcPr>
            <w:tcW w:w="1927" w:type="dxa"/>
            <w:tcBorders>
              <w:bottom w:val="nil"/>
            </w:tcBorders>
          </w:tcPr>
          <w:p>
            <w:pPr>
              <w:pStyle w:val="0"/>
            </w:pPr>
            <w:r>
              <w:rPr>
                <w:sz w:val="20"/>
              </w:rPr>
              <w:t xml:space="preserve">Цели и задачи подпрограммы</w:t>
            </w:r>
          </w:p>
        </w:tc>
        <w:tc>
          <w:tcPr>
            <w:tcW w:w="7143" w:type="dxa"/>
            <w:tcBorders>
              <w:bottom w:val="nil"/>
            </w:tcBorders>
          </w:tcPr>
          <w:p>
            <w:pPr>
              <w:pStyle w:val="0"/>
              <w:jc w:val="both"/>
            </w:pPr>
            <w:r>
              <w:rPr>
                <w:sz w:val="20"/>
              </w:rPr>
              <w:t xml:space="preserve">Цель подпрограммы:</w:t>
            </w:r>
          </w:p>
          <w:p>
            <w:pPr>
              <w:pStyle w:val="0"/>
              <w:jc w:val="both"/>
            </w:pPr>
            <w:r>
              <w:rPr>
                <w:sz w:val="20"/>
              </w:rPr>
              <w:t xml:space="preserve">обеспечение всех субъектов градостроительных отношений актуальными пространственными данными, а также сведениями, документами и материалами, необходимыми для осуществления градостроительной деятельности на территории Новосибирской области.</w:t>
            </w:r>
          </w:p>
          <w:p>
            <w:pPr>
              <w:pStyle w:val="0"/>
              <w:jc w:val="both"/>
            </w:pPr>
            <w:r>
              <w:rPr>
                <w:sz w:val="20"/>
              </w:rPr>
              <w:t xml:space="preserve">Задача подпрограммы:</w:t>
            </w:r>
          </w:p>
          <w:p>
            <w:pPr>
              <w:pStyle w:val="0"/>
              <w:jc w:val="both"/>
            </w:pPr>
            <w:r>
              <w:rPr>
                <w:sz w:val="20"/>
              </w:rPr>
              <w:t xml:space="preserve">формирование пространственных данных и материалов Фонда пространственных данных Новосибирской области, а также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290"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28.10.2019 N 415-п)</w:t>
            </w:r>
          </w:p>
        </w:tc>
      </w:tr>
      <w:tr>
        <w:tblPrEx>
          <w:tblBorders>
            <w:insideH w:val="nil"/>
          </w:tblBorders>
        </w:tblPrEx>
        <w:tc>
          <w:tcPr>
            <w:tcW w:w="1927"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- 2018 - 2019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Новосибирской области от 19.03.2019 </w:t>
            </w:r>
            <w:hyperlink w:history="0" r:id="rId29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292"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tc>
      </w:tr>
      <w:tr>
        <w:tblPrEx>
          <w:tblBorders>
            <w:insideH w:val="nil"/>
          </w:tblBorders>
        </w:tblPrEx>
        <w:tc>
          <w:tcPr>
            <w:tcW w:w="1927" w:type="dxa"/>
            <w:tcBorders>
              <w:bottom w:val="nil"/>
            </w:tcBorders>
          </w:tcPr>
          <w:p>
            <w:pPr>
              <w:pStyle w:val="0"/>
              <w:jc w:val="both"/>
            </w:pPr>
            <w:r>
              <w:rPr>
                <w:sz w:val="20"/>
              </w:rPr>
              <w:t xml:space="preserve">Объемы финансирования подпрограммы (с расшифровкой по источникам и годам финансирования)</w:t>
            </w:r>
          </w:p>
        </w:tc>
        <w:tc>
          <w:tcPr>
            <w:tcW w:w="7143" w:type="dxa"/>
            <w:tcBorders>
              <w:bottom w:val="nil"/>
            </w:tcBorders>
          </w:tcPr>
          <w:p>
            <w:pPr>
              <w:pStyle w:val="0"/>
              <w:jc w:val="both"/>
            </w:pPr>
            <w:r>
              <w:rPr>
                <w:sz w:val="20"/>
              </w:rPr>
              <w:t xml:space="preserve">Общий объем ассигнований на реализацию подпрограммы составляет</w:t>
            </w:r>
          </w:p>
          <w:p>
            <w:pPr>
              <w:pStyle w:val="0"/>
              <w:jc w:val="both"/>
            </w:pPr>
            <w:r>
              <w:rPr>
                <w:sz w:val="20"/>
              </w:rPr>
              <w:t xml:space="preserve">94 885,1 тыс. рублей, в том числе по годам:</w:t>
            </w:r>
          </w:p>
          <w:p>
            <w:pPr>
              <w:pStyle w:val="0"/>
              <w:jc w:val="both"/>
            </w:pPr>
            <w:r>
              <w:rPr>
                <w:sz w:val="20"/>
              </w:rPr>
              <w:t xml:space="preserve">2018 год - 39 400,7 тыс. рублей;</w:t>
            </w:r>
          </w:p>
          <w:p>
            <w:pPr>
              <w:pStyle w:val="0"/>
              <w:jc w:val="both"/>
            </w:pPr>
            <w:r>
              <w:rPr>
                <w:sz w:val="20"/>
              </w:rPr>
              <w:t xml:space="preserve">2019 год - 55 484,4 тыс. рублей;</w:t>
            </w:r>
          </w:p>
          <w:p>
            <w:pPr>
              <w:pStyle w:val="0"/>
              <w:jc w:val="both"/>
            </w:pPr>
            <w:r>
              <w:rPr>
                <w:sz w:val="20"/>
              </w:rPr>
              <w:t xml:space="preserve">по источникам финансирования:</w:t>
            </w:r>
          </w:p>
          <w:p>
            <w:pPr>
              <w:pStyle w:val="0"/>
              <w:jc w:val="both"/>
            </w:pPr>
            <w:r>
              <w:rPr>
                <w:sz w:val="20"/>
              </w:rPr>
              <w:t xml:space="preserve">областной бюджет Новосибирской области - 94 885,1 тыс. рублей, в том числе по годам:</w:t>
            </w:r>
          </w:p>
          <w:p>
            <w:pPr>
              <w:pStyle w:val="0"/>
              <w:jc w:val="both"/>
            </w:pPr>
            <w:r>
              <w:rPr>
                <w:sz w:val="20"/>
              </w:rPr>
              <w:t xml:space="preserve">2018 год - 39 400,7 тыс. рублей;</w:t>
            </w:r>
          </w:p>
          <w:p>
            <w:pPr>
              <w:pStyle w:val="0"/>
              <w:jc w:val="both"/>
            </w:pPr>
            <w:r>
              <w:rPr>
                <w:sz w:val="20"/>
              </w:rPr>
              <w:t xml:space="preserve">2019 год - 55 484,4 тыс. рублей.</w:t>
            </w:r>
          </w:p>
          <w:p>
            <w:pPr>
              <w:pStyle w:val="0"/>
              <w:jc w:val="both"/>
            </w:pPr>
            <w:r>
              <w:rPr>
                <w:sz w:val="20"/>
              </w:rPr>
              <w:t xml:space="preserve">Суммы средств, выделяемые из областного бюджета Новосибирской области, подлежат ежегодному уточнению</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293"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02.06.2020 N 215-п)</w:t>
            </w:r>
          </w:p>
        </w:tc>
      </w:tr>
      <w:tr>
        <w:tblPrEx>
          <w:tblBorders>
            <w:insideH w:val="nil"/>
          </w:tblBorders>
        </w:tblPrEx>
        <w:tc>
          <w:tcPr>
            <w:tcW w:w="1927" w:type="dxa"/>
            <w:tcBorders>
              <w:bottom w:val="nil"/>
            </w:tcBorders>
          </w:tcPr>
          <w:p>
            <w:pPr>
              <w:pStyle w:val="0"/>
            </w:pPr>
            <w:r>
              <w:rPr>
                <w:sz w:val="20"/>
              </w:rPr>
              <w:t xml:space="preserve">Основные целевые индикаторы подпрограммы</w:t>
            </w:r>
          </w:p>
        </w:tc>
        <w:tc>
          <w:tcPr>
            <w:tcW w:w="7143" w:type="dxa"/>
            <w:tcBorders>
              <w:bottom w:val="nil"/>
            </w:tcBorders>
          </w:tcPr>
          <w:p>
            <w:pPr>
              <w:pStyle w:val="0"/>
              <w:jc w:val="both"/>
            </w:pPr>
            <w:r>
              <w:rPr>
                <w:sz w:val="20"/>
              </w:rPr>
              <w:t xml:space="preserve">Доля заказов, по которым предоставлены пространственные данные,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w:t>
            </w:r>
          </w:p>
          <w:p>
            <w:pPr>
              <w:pStyle w:val="0"/>
              <w:jc w:val="both"/>
            </w:pPr>
            <w:r>
              <w:rPr>
                <w:sz w:val="20"/>
              </w:rPr>
              <w:t xml:space="preserve">Объем предоставленных субъектам градостроительных отношений пространственных данных и материалов в бумажном и электронном виде, количество базовых единиц.</w:t>
            </w:r>
          </w:p>
          <w:p>
            <w:pPr>
              <w:pStyle w:val="0"/>
              <w:jc w:val="both"/>
            </w:pPr>
            <w:r>
              <w:rPr>
                <w:sz w:val="20"/>
              </w:rPr>
              <w:t xml:space="preserve">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 %</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294"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28.10.2019 N 415-п)</w:t>
            </w:r>
          </w:p>
        </w:tc>
      </w:tr>
      <w:tr>
        <w:tblPrEx>
          <w:tblBorders>
            <w:insideH w:val="nil"/>
          </w:tblBorders>
        </w:tblPrEx>
        <w:tc>
          <w:tcPr>
            <w:tcW w:w="1927"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- 100%.</w:t>
            </w:r>
          </w:p>
          <w:p>
            <w:pPr>
              <w:pStyle w:val="0"/>
              <w:jc w:val="both"/>
            </w:pPr>
            <w:r>
              <w:rPr>
                <w:sz w:val="20"/>
              </w:rPr>
              <w:t xml:space="preserve">Абзац утратил силу. - </w:t>
            </w:r>
            <w:hyperlink w:history="0" r:id="rId29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19.03.2019 N 106-п.</w:t>
            </w:r>
          </w:p>
          <w:p>
            <w:pPr>
              <w:pStyle w:val="0"/>
              <w:jc w:val="both"/>
            </w:pPr>
            <w:r>
              <w:rPr>
                <w:sz w:val="20"/>
              </w:rPr>
              <w:t xml:space="preserve">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 - 100%</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Новосибирской области от 19.03.2019 </w:t>
            </w:r>
            <w:hyperlink w:history="0" r:id="rId29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28.10.2019 </w:t>
            </w:r>
            <w:hyperlink w:history="0" r:id="rId297"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02.06.2020 </w:t>
            </w:r>
            <w:hyperlink w:history="0" r:id="rId298"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tc>
      </w:tr>
    </w:tbl>
    <w:p>
      <w:pPr>
        <w:pStyle w:val="0"/>
        <w:ind w:firstLine="540"/>
        <w:jc w:val="both"/>
      </w:pPr>
      <w:r>
        <w:rPr>
          <w:sz w:val="20"/>
        </w:rPr>
      </w:r>
    </w:p>
    <w:p>
      <w:pPr>
        <w:pStyle w:val="2"/>
        <w:outlineLvl w:val="2"/>
        <w:jc w:val="center"/>
      </w:pPr>
      <w:r>
        <w:rPr>
          <w:sz w:val="20"/>
        </w:rPr>
        <w:t xml:space="preserve">II.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С 1 января 2017 года вступил в силу Федеральный </w:t>
      </w:r>
      <w:hyperlink w:history="0" r:id="rId299"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30.12.2015 N 431-ФЗ "О геодезии, картографии и пространственных данных и о внесении изменений в отдельные законодательные акты Российской Федерации" (далее - Закон о геодезии).</w:t>
      </w:r>
    </w:p>
    <w:p>
      <w:pPr>
        <w:pStyle w:val="0"/>
        <w:spacing w:before="200" w:line-rule="auto"/>
        <w:ind w:firstLine="540"/>
        <w:jc w:val="both"/>
      </w:pPr>
      <w:hyperlink w:history="0" r:id="rId300"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Частью 1 статьи 10</w:t>
        </w:r>
      </w:hyperlink>
      <w:r>
        <w:rPr>
          <w:sz w:val="20"/>
        </w:rPr>
        <w:t xml:space="preserve"> Закона о геодезии на территории Российской Федерации предусмотрено создание фондов пространственных данных субъектов Российской Федерации (далее - Фонд).</w:t>
      </w:r>
    </w:p>
    <w:p>
      <w:pPr>
        <w:pStyle w:val="0"/>
        <w:spacing w:before="200" w:line-rule="auto"/>
        <w:ind w:firstLine="540"/>
        <w:jc w:val="both"/>
      </w:pPr>
      <w:r>
        <w:rPr>
          <w:sz w:val="20"/>
        </w:rPr>
        <w:t xml:space="preserve">В рамках реализации Закона о геодезии </w:t>
      </w:r>
      <w:hyperlink w:history="0" r:id="rId301" w:tooltip="Распоряжение Правительства Новосибирской области от 11.04.2017 N 120-рп &quot;О создании государственного бюджетного учреждения Новосибирской области &quot;Фонд пространственных данных Новосибирской области&quot; {КонсультантПлюс}">
        <w:r>
          <w:rPr>
            <w:sz w:val="20"/>
            <w:color w:val="0000ff"/>
          </w:rPr>
          <w:t xml:space="preserve">распоряжением</w:t>
        </w:r>
      </w:hyperlink>
      <w:r>
        <w:rPr>
          <w:sz w:val="20"/>
        </w:rPr>
        <w:t xml:space="preserve"> Правительства Новосибирской области от 11.04.2017 N 120-рп "О создании государственного бюджетного учреждения Новосибирской области "Фонд пространственных данных Новосибирской области" создано государственное бюджетное учреждение Новосибирской области "Фонд пространственных данных Новосибирской области", предметом деятельности которого являются:</w:t>
      </w:r>
    </w:p>
    <w:p>
      <w:pPr>
        <w:pStyle w:val="0"/>
        <w:spacing w:before="200" w:line-rule="auto"/>
        <w:ind w:firstLine="540"/>
        <w:jc w:val="both"/>
      </w:pPr>
      <w:r>
        <w:rPr>
          <w:sz w:val="20"/>
        </w:rPr>
        <w:t xml:space="preserve">постоянное хранение и учет пространственных данных и материалов Фонда, актуализация пространственных данных;</w:t>
      </w:r>
    </w:p>
    <w:p>
      <w:pPr>
        <w:pStyle w:val="0"/>
        <w:spacing w:before="200" w:line-rule="auto"/>
        <w:ind w:firstLine="540"/>
        <w:jc w:val="both"/>
      </w:pPr>
      <w:r>
        <w:rPr>
          <w:sz w:val="20"/>
        </w:rPr>
        <w:t xml:space="preserve">сбор пространственных данных и материалов, их включение в Фонд;</w:t>
      </w:r>
    </w:p>
    <w:p>
      <w:pPr>
        <w:pStyle w:val="0"/>
        <w:spacing w:before="200" w:line-rule="auto"/>
        <w:ind w:firstLine="540"/>
        <w:jc w:val="both"/>
      </w:pPr>
      <w:r>
        <w:rPr>
          <w:sz w:val="20"/>
        </w:rPr>
        <w:t xml:space="preserve">формирование сведений о пространственных данных (пространственных метаданных) в отношении содержащихся в Фонде пространственных данных и материалов в соответствии с </w:t>
      </w:r>
      <w:hyperlink w:history="0" r:id="rId302" w:tooltip="Приказ Минэкономразвития России от 29.03.2017 N 142 &quot;Об установлении требований к сведениям о пространственных данных (пространственным метаданным)&quot; (Зарегистрировано в Минюсте России 10.07.2017 N 47339) {КонсультантПлюс}">
        <w:r>
          <w:rPr>
            <w:sz w:val="20"/>
            <w:color w:val="0000ff"/>
          </w:rPr>
          <w:t xml:space="preserve">требованиями</w:t>
        </w:r>
      </w:hyperlink>
      <w:r>
        <w:rPr>
          <w:sz w:val="20"/>
        </w:rPr>
        <w:t xml:space="preserve"> к сведениям о пространственных данных (пространственным метаданным), утвержденными приказом Министерства экономического развития Российской Федерации от 29.03.2017 N 142;</w:t>
      </w:r>
    </w:p>
    <w:p>
      <w:pPr>
        <w:pStyle w:val="0"/>
        <w:spacing w:before="200" w:line-rule="auto"/>
        <w:ind w:firstLine="540"/>
        <w:jc w:val="both"/>
      </w:pPr>
      <w:r>
        <w:rPr>
          <w:sz w:val="20"/>
        </w:rPr>
        <w:t xml:space="preserve">предоставление пространственных данных и материалов;</w:t>
      </w:r>
    </w:p>
    <w:p>
      <w:pPr>
        <w:pStyle w:val="0"/>
        <w:spacing w:before="200" w:line-rule="auto"/>
        <w:ind w:firstLine="540"/>
        <w:jc w:val="both"/>
      </w:pPr>
      <w:r>
        <w:rPr>
          <w:sz w:val="20"/>
        </w:rPr>
        <w:t xml:space="preserve">передача пространственных метаданных в федеральный фонд пространственных данных.</w:t>
      </w:r>
    </w:p>
    <w:p>
      <w:pPr>
        <w:pStyle w:val="0"/>
        <w:spacing w:before="200" w:line-rule="auto"/>
        <w:ind w:firstLine="540"/>
        <w:jc w:val="both"/>
      </w:pPr>
      <w:r>
        <w:rPr>
          <w:sz w:val="20"/>
        </w:rPr>
        <w:t xml:space="preserve">Согласно </w:t>
      </w:r>
      <w:hyperlink w:history="0" r:id="rId303"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статье 10</w:t>
        </w:r>
      </w:hyperlink>
      <w:r>
        <w:rPr>
          <w:sz w:val="20"/>
        </w:rPr>
        <w:t xml:space="preserve"> Закона о геодезии в фонды пространственных данных субъектов Российской Федерации включаются пространственные данные и материалы, полученные в результате выполнения геодезических и картографических работ, организованных органами государственной власти субъектов Российской Федерации или подведомственными данным органам государственными учреждениями.</w:t>
      </w:r>
    </w:p>
    <w:p>
      <w:pPr>
        <w:pStyle w:val="0"/>
        <w:spacing w:before="200" w:line-rule="auto"/>
        <w:ind w:firstLine="540"/>
        <w:jc w:val="both"/>
      </w:pPr>
      <w:r>
        <w:rPr>
          <w:sz w:val="20"/>
        </w:rPr>
        <w:t xml:space="preserve">Пространственные данные - данные о пространственных объектах, включающие сведения об их форме, местоположении и свойствах, в том числе представленные с использованием координат.</w:t>
      </w:r>
    </w:p>
    <w:p>
      <w:pPr>
        <w:pStyle w:val="0"/>
        <w:spacing w:before="200" w:line-rule="auto"/>
        <w:ind w:firstLine="540"/>
        <w:jc w:val="both"/>
      </w:pPr>
      <w:r>
        <w:rPr>
          <w:sz w:val="20"/>
        </w:rPr>
        <w:t xml:space="preserve">Такие данные создаются в результате картографирования, дистанционного зондирования Земли, выполнения геодезических, гравиметрических, геологических, строительных, землеустроительных, лесоустроительных и других работ, осуществляемых организациями различного профиля и форм собственности. Они служат основой для закрепления правовых отношений в пространстве.</w:t>
      </w:r>
    </w:p>
    <w:p>
      <w:pPr>
        <w:pStyle w:val="0"/>
        <w:spacing w:before="200" w:line-rule="auto"/>
        <w:ind w:firstLine="540"/>
        <w:jc w:val="both"/>
      </w:pPr>
      <w:r>
        <w:rPr>
          <w:sz w:val="20"/>
        </w:rPr>
        <w:t xml:space="preserve">Создание и использование пространственных данных и материалов является одним из важнейших факторов, способствующих решению ключевых задач государственной политики Российской Федерации, в частности созданию новых высокопроизводительных рабочих мест, увеличению доли продукции высокотехнологичных и наукоемких отраслей экономики в валовом внутреннем продукте и повышению производительности труда.</w:t>
      </w:r>
    </w:p>
    <w:p>
      <w:pPr>
        <w:pStyle w:val="0"/>
        <w:spacing w:before="200" w:line-rule="auto"/>
        <w:ind w:firstLine="540"/>
        <w:jc w:val="both"/>
      </w:pPr>
      <w:r>
        <w:rPr>
          <w:sz w:val="20"/>
        </w:rPr>
        <w:t xml:space="preserve">Основу информационных систем, обеспечивающих информационную поддержку принятия управленческих решений, должны составлять государственные геодезические данные, государственные топографические карты и единая электронная картографическая основа, отражающие современное состояние местности. Государственная информация может в дальнейшем дополняться специализированной, тематической информацией по различным направлениям деятельности. Для эффективного решения конкретных задач должна быть обеспечена возможность интеграции большого объема пространственных данных, создаваемых различными организациями и ведомствами.</w:t>
      </w:r>
    </w:p>
    <w:p>
      <w:pPr>
        <w:pStyle w:val="0"/>
        <w:spacing w:before="200" w:line-rule="auto"/>
        <w:ind w:firstLine="540"/>
        <w:jc w:val="both"/>
      </w:pPr>
      <w:r>
        <w:rPr>
          <w:sz w:val="20"/>
        </w:rPr>
        <w:t xml:space="preserve">В настоящее время в условиях стремительного развития территории повышение эффективности регионального управления невозможно без широкого использования достоверных пространственных данных и материалов. Наполнение Фонда данными, их систематизация и актуализация позволит обеспечивать принятие обоснованных управленческих решений на всех уровнях в таких областях как градостроительство, повышение инвестиционной привлекательности региона, оценка и учет землепользования, мониторинг лесов и экологической ситуации в регионе.</w:t>
      </w:r>
    </w:p>
    <w:p>
      <w:pPr>
        <w:pStyle w:val="0"/>
        <w:spacing w:before="200" w:line-rule="auto"/>
        <w:ind w:firstLine="540"/>
        <w:jc w:val="both"/>
      </w:pPr>
      <w:r>
        <w:rPr>
          <w:sz w:val="20"/>
        </w:rPr>
        <w:t xml:space="preserve">На основе материалов Фонда будет осуществляться разработка документации по планировке территории, предпроектной документации, в том числе обоснование инвестиций в строительство, проектов и рабочей документации строительства зданий и сооружений, включая расширение, реконструкцию, техническое перевооружение, эксплуатацию и ликвидацию объектов, а также рекомендаций для принятия экономически, технически, социально и экологически обоснованных проектных решений.</w:t>
      </w:r>
    </w:p>
    <w:p>
      <w:pPr>
        <w:pStyle w:val="0"/>
        <w:spacing w:before="200" w:line-rule="auto"/>
        <w:ind w:firstLine="540"/>
        <w:jc w:val="both"/>
      </w:pPr>
      <w:r>
        <w:rPr>
          <w:sz w:val="20"/>
        </w:rPr>
        <w:t xml:space="preserve">В целях наполнения Фонда пространственными данными и материалами необходимо провести ряд мероприятий, в том числе выполнить комплекс топографо-геодезических работ по созданию, обновлению и векторизации топографических планов масштаба 1:500, 1:2000 на территории Новосибирской области с пересчетом их в местную систему координат Новосибирской области, в соответствии с </w:t>
      </w:r>
      <w:hyperlink w:history="0" r:id="rId304" w:tooltip="Постановление Правительства Новосибирской области от 28.12.2011 N 608-п &quot;О введении в действие местной системы координат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28.12.2011 N 608-п "О введении в действие местной системы координат Новосибирской области".</w:t>
      </w:r>
    </w:p>
    <w:p>
      <w:pPr>
        <w:pStyle w:val="0"/>
        <w:spacing w:before="200" w:line-rule="auto"/>
        <w:ind w:firstLine="540"/>
        <w:jc w:val="both"/>
      </w:pPr>
      <w:r>
        <w:rPr>
          <w:sz w:val="20"/>
        </w:rPr>
        <w:t xml:space="preserve">Предварительный анализ имеющихся в распоряжении муниципальных образований материалов показал, что требуется актуализация большинства материалов в связи с их низким качеством и давностью подготовки.</w:t>
      </w:r>
    </w:p>
    <w:p>
      <w:pPr>
        <w:pStyle w:val="0"/>
        <w:spacing w:before="200" w:line-rule="auto"/>
        <w:ind w:firstLine="540"/>
        <w:jc w:val="both"/>
      </w:pPr>
      <w:r>
        <w:rPr>
          <w:sz w:val="20"/>
        </w:rPr>
        <w:t xml:space="preserve">Федеральным </w:t>
      </w:r>
      <w:hyperlink w:history="0" r:id="rId305"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"О внесении изменений в Градостроительный кодекс Российской Федерации и отдельные законодательные акты Российской Федерации" внесены изменения в Градостроительный </w:t>
      </w:r>
      <w:hyperlink w:history="0" r:id="rId306" w:tooltip="&quot;Градостроительный кодекс Российской Федерации&quot; от 29.12.2004 N 190-ФЗ (ред. от 29.12.2022) {КонсультантПлюс}">
        <w:r>
          <w:rPr>
            <w:sz w:val="20"/>
            <w:color w:val="0000ff"/>
          </w:rPr>
          <w:t xml:space="preserve">кодекс</w:t>
        </w:r>
      </w:hyperlink>
      <w:r>
        <w:rPr>
          <w:sz w:val="20"/>
        </w:rPr>
        <w:t xml:space="preserve"> Российской Федерации (далее - ГрК РФ) в части установления порядка создания, эксплуатации и ведения государственных информационных систем обеспечения градостроительной деятельности.</w:t>
      </w:r>
    </w:p>
    <w:p>
      <w:pPr>
        <w:pStyle w:val="0"/>
        <w:jc w:val="both"/>
      </w:pPr>
      <w:r>
        <w:rPr>
          <w:sz w:val="20"/>
        </w:rPr>
        <w:t xml:space="preserve">(абзац введен </w:t>
      </w:r>
      <w:hyperlink w:history="0" r:id="rId307"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Государственные информационные системы обеспечения градостроительной деятельности (далее - ГИСОГД) - создаваемые и эксплуатируемые в соответствии с требованиями </w:t>
      </w:r>
      <w:hyperlink w:history="0" r:id="rId308" w:tooltip="&quot;Градостроительный кодекс Российской Федерации&quot; от 29.12.2004 N 190-ФЗ (ред. от 29.12.2022) {КонсультантПлюс}">
        <w:r>
          <w:rPr>
            <w:sz w:val="20"/>
            <w:color w:val="0000ff"/>
          </w:rPr>
          <w:t xml:space="preserve">ГрК</w:t>
        </w:r>
      </w:hyperlink>
      <w:r>
        <w:rPr>
          <w:sz w:val="20"/>
        </w:rPr>
        <w:t xml:space="preserve"> РФ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pPr>
        <w:pStyle w:val="0"/>
        <w:jc w:val="both"/>
      </w:pPr>
      <w:r>
        <w:rPr>
          <w:sz w:val="20"/>
        </w:rPr>
        <w:t xml:space="preserve">(абзац введен </w:t>
      </w:r>
      <w:hyperlink w:history="0" r:id="rId309"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0"/>
        <w:jc w:val="both"/>
      </w:pPr>
      <w:r>
        <w:rPr>
          <w:sz w:val="20"/>
        </w:rPr>
        <w:t xml:space="preserve">(абзац введен </w:t>
      </w:r>
      <w:hyperlink w:history="0" r:id="rId310"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spacing w:before="200" w:line-rule="auto"/>
        <w:ind w:firstLine="540"/>
        <w:jc w:val="both"/>
      </w:pPr>
      <w:hyperlink w:history="0" r:id="rId311" w:tooltip="Закон Новосибирской области от 06.05.2019 N 367-ОЗ &quot;О внесении изменений в Закон Новосибирской области &quot;О регулировании градостроительной деятельности в Новосибирской области&quot; (принят постановлением Законодательного Собрания Новосибирской области от 26.04.2019 N 367-ЗС) {КонсультантПлюс}">
        <w:r>
          <w:rPr>
            <w:sz w:val="20"/>
            <w:color w:val="0000ff"/>
          </w:rPr>
          <w:t xml:space="preserve">Законом</w:t>
        </w:r>
      </w:hyperlink>
      <w:r>
        <w:rPr>
          <w:sz w:val="20"/>
        </w:rPr>
        <w:t xml:space="preserve"> Новосибирской области от 06.05.2019 N 367-ОЗ "О внесении изменений в Закон Новосибирской области "О регулировании градостроительной деятельности в Новосибирской области" предусмотрено наделение министерства строительства Новосибирской области и подведомственного ГБУ НСО "Геофонд НСО" соответствующими полномочиями по обеспечению создания, эксплуатации и ведения ГИСОГД.</w:t>
      </w:r>
    </w:p>
    <w:p>
      <w:pPr>
        <w:pStyle w:val="0"/>
        <w:jc w:val="both"/>
      </w:pPr>
      <w:r>
        <w:rPr>
          <w:sz w:val="20"/>
        </w:rPr>
        <w:t xml:space="preserve">(абзац введен </w:t>
      </w:r>
      <w:hyperlink w:history="0" r:id="rId312"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Планируется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p>
      <w:pPr>
        <w:pStyle w:val="0"/>
        <w:jc w:val="both"/>
      </w:pPr>
      <w:r>
        <w:rPr>
          <w:sz w:val="20"/>
        </w:rPr>
        <w:t xml:space="preserve">(абзац введен </w:t>
      </w:r>
      <w:hyperlink w:history="0" r:id="rId313"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jc w:val="center"/>
      </w:pPr>
      <w:r>
        <w:rPr>
          <w:sz w:val="20"/>
        </w:rPr>
        <w:t xml:space="preserve">(в ред. </w:t>
      </w:r>
      <w:hyperlink w:history="0" r:id="rId314"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28.10.2019 N 415-п)</w:t>
      </w:r>
    </w:p>
    <w:p>
      <w:pPr>
        <w:pStyle w:val="0"/>
        <w:ind w:firstLine="540"/>
        <w:jc w:val="both"/>
      </w:pPr>
      <w:r>
        <w:rPr>
          <w:sz w:val="20"/>
        </w:rPr>
      </w:r>
    </w:p>
    <w:p>
      <w:pPr>
        <w:pStyle w:val="0"/>
        <w:ind w:firstLine="540"/>
        <w:jc w:val="both"/>
      </w:pPr>
      <w:r>
        <w:rPr>
          <w:sz w:val="20"/>
        </w:rPr>
        <w:t xml:space="preserve">Целью данной подпрограммы является обеспечение всех субъектов градостроительных отношений актуальными пространственными данными, а также сведениями, документами и материалами, необходимыми для осуществления градостроительной деятельности на территории Новосибирской области.</w:t>
      </w:r>
    </w:p>
    <w:p>
      <w:pPr>
        <w:pStyle w:val="0"/>
        <w:spacing w:before="200" w:line-rule="auto"/>
        <w:ind w:firstLine="540"/>
        <w:jc w:val="both"/>
      </w:pPr>
      <w:r>
        <w:rPr>
          <w:sz w:val="20"/>
        </w:rPr>
        <w:t xml:space="preserve">Задача подпрограммы:</w:t>
      </w:r>
    </w:p>
    <w:p>
      <w:pPr>
        <w:pStyle w:val="0"/>
        <w:spacing w:before="200" w:line-rule="auto"/>
        <w:ind w:firstLine="540"/>
        <w:jc w:val="both"/>
      </w:pPr>
      <w:r>
        <w:rPr>
          <w:sz w:val="20"/>
        </w:rPr>
        <w:t xml:space="preserve">формирование пространственных данных и материалов Фонда пространственных данных Новосибирской области, а также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p>
      <w:pPr>
        <w:pStyle w:val="0"/>
        <w:spacing w:before="200" w:line-rule="auto"/>
        <w:ind w:firstLine="540"/>
        <w:jc w:val="both"/>
      </w:pPr>
      <w:r>
        <w:rPr>
          <w:sz w:val="20"/>
        </w:rPr>
        <w:t xml:space="preserve">Целевыми индикаторами являются:</w:t>
      </w:r>
    </w:p>
    <w:p>
      <w:pPr>
        <w:pStyle w:val="0"/>
        <w:spacing w:before="200" w:line-rule="auto"/>
        <w:ind w:firstLine="540"/>
        <w:jc w:val="both"/>
      </w:pPr>
      <w:r>
        <w:rPr>
          <w:sz w:val="20"/>
        </w:rPr>
        <w:t xml:space="preserve">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(периодичность сбора информации - ежеквартальная, вид временной характеристики - на конец квартала);</w:t>
      </w:r>
    </w:p>
    <w:p>
      <w:pPr>
        <w:pStyle w:val="0"/>
        <w:spacing w:before="200" w:line-rule="auto"/>
        <w:ind w:firstLine="540"/>
        <w:jc w:val="both"/>
      </w:pPr>
      <w:r>
        <w:rPr>
          <w:sz w:val="20"/>
        </w:rPr>
        <w:t xml:space="preserve">объем предоставленных субъектам градостроительных отношений пространственных данных и материалов в бумажном и электронном виде, количество базовых единиц, шт. (периодичность сбора информации - ежеквартальная, вид временной характеристики - на конец квартала, нарастающим итогом);</w:t>
      </w:r>
    </w:p>
    <w:p>
      <w:pPr>
        <w:pStyle w:val="0"/>
        <w:spacing w:before="200" w:line-rule="auto"/>
        <w:ind w:firstLine="540"/>
        <w:jc w:val="both"/>
      </w:pPr>
      <w:r>
        <w:rPr>
          <w:sz w:val="20"/>
        </w:rPr>
        <w:t xml:space="preserve">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 % (периодичность сбора информации - годовая, вид временной характеристики - на конец года, нарастающим итогом).</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Характеристика мероприятий подпрограммы, реализуемых по 2018 год включительно:</w:t>
      </w:r>
    </w:p>
    <w:p>
      <w:pPr>
        <w:pStyle w:val="0"/>
        <w:jc w:val="both"/>
      </w:pPr>
      <w:r>
        <w:rPr>
          <w:sz w:val="20"/>
        </w:rPr>
        <w:t xml:space="preserve">(абзац введен </w:t>
      </w:r>
      <w:hyperlink w:history="0" r:id="rId31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В рамках подпрограммы реализуются мероприятия, способствующие достижению показателей по целевым индикаторам.</w:t>
      </w:r>
    </w:p>
    <w:p>
      <w:pPr>
        <w:pStyle w:val="0"/>
        <w:spacing w:before="200" w:line-rule="auto"/>
        <w:ind w:firstLine="540"/>
        <w:jc w:val="both"/>
      </w:pPr>
      <w:r>
        <w:rPr>
          <w:sz w:val="20"/>
        </w:rPr>
        <w:t xml:space="preserve">Решение задачи по формированию пространственных данных и материалов Фонда обеспечивается выполнением мероприятий:</w:t>
      </w:r>
    </w:p>
    <w:p>
      <w:pPr>
        <w:pStyle w:val="0"/>
        <w:spacing w:before="200" w:line-rule="auto"/>
        <w:ind w:firstLine="540"/>
        <w:jc w:val="both"/>
      </w:pPr>
      <w:r>
        <w:rPr>
          <w:sz w:val="20"/>
        </w:rPr>
        <w:t xml:space="preserve">1. Субсидирование государственного бюджетного учреждения Новосибирской области "Фонд пространственных данных Новосибирской области" на выполнение государственного задания.</w:t>
      </w:r>
    </w:p>
    <w:p>
      <w:pPr>
        <w:pStyle w:val="0"/>
        <w:spacing w:before="200" w:line-rule="auto"/>
        <w:ind w:firstLine="540"/>
        <w:jc w:val="both"/>
      </w:pPr>
      <w:r>
        <w:rPr>
          <w:sz w:val="20"/>
        </w:rPr>
        <w:t xml:space="preserve">Данное мероприятие способствует организационному, техническому и кадровому обеспечению государственного бюджетного учреждения Новосибирской области "Фонд пространственных данных Новосибирской области".</w:t>
      </w:r>
    </w:p>
    <w:p>
      <w:pPr>
        <w:pStyle w:val="0"/>
        <w:spacing w:before="200" w:line-rule="auto"/>
        <w:ind w:firstLine="540"/>
        <w:jc w:val="both"/>
      </w:pPr>
      <w:r>
        <w:rPr>
          <w:sz w:val="20"/>
        </w:rPr>
        <w:t xml:space="preserve">2. Актуализация пространственных данных и материалов Фонда пространственных данных Новосибирской области.</w:t>
      </w:r>
    </w:p>
    <w:p>
      <w:pPr>
        <w:pStyle w:val="0"/>
        <w:spacing w:before="200" w:line-rule="auto"/>
        <w:ind w:firstLine="540"/>
        <w:jc w:val="both"/>
      </w:pPr>
      <w:r>
        <w:rPr>
          <w:sz w:val="20"/>
        </w:rPr>
        <w:t xml:space="preserve">Характеристика мероприятий подпрограммы, реализуемых в 2019 году:</w:t>
      </w:r>
    </w:p>
    <w:p>
      <w:pPr>
        <w:pStyle w:val="0"/>
        <w:jc w:val="both"/>
      </w:pPr>
      <w:r>
        <w:rPr>
          <w:sz w:val="20"/>
        </w:rPr>
        <w:t xml:space="preserve">(абзац введен </w:t>
      </w:r>
      <w:hyperlink w:history="0" r:id="rId31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 в ред. </w:t>
      </w:r>
      <w:hyperlink w:history="0" r:id="rId317"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02.06.2020 N 215-п)</w:t>
      </w:r>
    </w:p>
    <w:p>
      <w:pPr>
        <w:pStyle w:val="0"/>
        <w:spacing w:before="200" w:line-rule="auto"/>
        <w:ind w:firstLine="540"/>
        <w:jc w:val="both"/>
      </w:pPr>
      <w:r>
        <w:rPr>
          <w:sz w:val="20"/>
        </w:rPr>
        <w:t xml:space="preserve">В рамках подпрограммы реализуется мероприятие, способствующее достижению показателей по целевым индикаторам.</w:t>
      </w:r>
    </w:p>
    <w:p>
      <w:pPr>
        <w:pStyle w:val="0"/>
        <w:jc w:val="both"/>
      </w:pPr>
      <w:r>
        <w:rPr>
          <w:sz w:val="20"/>
        </w:rPr>
        <w:t xml:space="preserve">(абзац введен </w:t>
      </w:r>
      <w:hyperlink w:history="0" r:id="rId318"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Решение задачи по формированию пространственных данных и материалов Фонда, а также обеспечению создания, эксплуатации и ведения государственной информационной системы обеспечения градостроительной деятельности Новосибирской области обеспечивается выполнением мероприятия:</w:t>
      </w:r>
    </w:p>
    <w:p>
      <w:pPr>
        <w:pStyle w:val="0"/>
        <w:jc w:val="both"/>
      </w:pPr>
      <w:r>
        <w:rPr>
          <w:sz w:val="20"/>
        </w:rPr>
        <w:t xml:space="preserve">(абзац введен </w:t>
      </w:r>
      <w:hyperlink w:history="0" r:id="rId31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 в ред. </w:t>
      </w:r>
      <w:hyperlink w:history="0" r:id="rId320"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обеспечение ведения и актуализации материалов фонда пространственных данных Новосибирской области, а также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p>
      <w:pPr>
        <w:pStyle w:val="0"/>
        <w:jc w:val="both"/>
      </w:pPr>
      <w:r>
        <w:rPr>
          <w:sz w:val="20"/>
        </w:rPr>
        <w:t xml:space="preserve">(абзац введен </w:t>
      </w:r>
      <w:hyperlink w:history="0" r:id="rId32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19.03.2019 N 106-п; в ред. </w:t>
      </w:r>
      <w:hyperlink w:history="0" r:id="rId322"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Пространственные данные и материалы Фонда используются для обеспечения деятельности органов государственной власти Новосибирской области и подведомственных данным органам государственных учреждений, органов местного самоуправления муниципальных образований Новосибирской области, юридических и физических лиц (далее - субъекты).</w:t>
      </w:r>
    </w:p>
    <w:p>
      <w:pPr>
        <w:pStyle w:val="0"/>
        <w:spacing w:before="200" w:line-rule="auto"/>
        <w:ind w:firstLine="540"/>
        <w:jc w:val="both"/>
      </w:pPr>
      <w:r>
        <w:rPr>
          <w:sz w:val="20"/>
        </w:rPr>
        <w:t xml:space="preserve">При завершении создания государственной информационной системы обеспечения градостроительной деятельности Новосибирской области ее дальнейшее техническое обеспечение, а также ее доработка и модернизация будут осуществляться министерством цифрового развития и связи Новосибирской области.</w:t>
      </w:r>
    </w:p>
    <w:p>
      <w:pPr>
        <w:pStyle w:val="0"/>
        <w:jc w:val="both"/>
      </w:pPr>
      <w:r>
        <w:rPr>
          <w:sz w:val="20"/>
        </w:rPr>
        <w:t xml:space="preserve">(абзац введен </w:t>
      </w:r>
      <w:hyperlink w:history="0" r:id="rId323"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Финансирование мероприятий по техническому обеспечению и (или) доработке и модернизации государственной информационной системы обеспечения градостроительной деятельности Новосибирской области будет осуществляться в рамках государственной </w:t>
      </w:r>
      <w:hyperlink w:history="0" r:id="rId324" w:tooltip="Постановление Правительства Новосибирской области от 04.03.2015 N 70-п (ред. от 24.12.2019) &quot;Об утверждении государственной программы Новосибирской области &quot;Развитие инфраструктуры информационного общества Новосибирской области&quot; ------------ Утратил силу или отменен {КонсультантПлюс}">
        <w:r>
          <w:rPr>
            <w:sz w:val="20"/>
            <w:color w:val="0000ff"/>
          </w:rPr>
          <w:t xml:space="preserve">программы</w:t>
        </w:r>
      </w:hyperlink>
      <w:r>
        <w:rPr>
          <w:sz w:val="20"/>
        </w:rPr>
        <w:t xml:space="preserve"> Новосибирской области "Развитие инфраструктуры информационного общества Новосибирской области", утвержденной постановлением Правительства Новосибирской области от 04.03.2015 N 70-п "Об утверждении государственной программы Новосибирской области "Развитие инфраструктуры информационного общества Новосибирской области".</w:t>
      </w:r>
    </w:p>
    <w:p>
      <w:pPr>
        <w:pStyle w:val="0"/>
        <w:jc w:val="both"/>
      </w:pPr>
      <w:r>
        <w:rPr>
          <w:sz w:val="20"/>
        </w:rPr>
        <w:t xml:space="preserve">(абзац введен </w:t>
      </w:r>
      <w:hyperlink w:history="0" r:id="rId325"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Целью ведения государственных информационных систем обеспечения градостроительной деятельности является обеспечение областных исполнительных органов государственной власти Новосибирской области,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0"/>
        <w:jc w:val="both"/>
      </w:pPr>
      <w:r>
        <w:rPr>
          <w:sz w:val="20"/>
        </w:rPr>
        <w:t xml:space="preserve">(абзац введен </w:t>
      </w:r>
      <w:hyperlink w:history="0" r:id="rId326"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Данное мероприятие характеризуется:</w:t>
      </w:r>
    </w:p>
    <w:p>
      <w:pPr>
        <w:pStyle w:val="0"/>
        <w:jc w:val="both"/>
      </w:pPr>
      <w:r>
        <w:rPr>
          <w:sz w:val="20"/>
        </w:rPr>
        <w:t xml:space="preserve">(в ред. </w:t>
      </w:r>
      <w:hyperlink w:history="0" r:id="rId327"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объемом предоставленных субъектам градостроительных отношений пространственных данных и материалов в бумажном и электронном виде;</w:t>
      </w:r>
    </w:p>
    <w:p>
      <w:pPr>
        <w:pStyle w:val="0"/>
        <w:jc w:val="both"/>
      </w:pPr>
      <w:r>
        <w:rPr>
          <w:sz w:val="20"/>
        </w:rPr>
        <w:t xml:space="preserve">(абзац введен </w:t>
      </w:r>
      <w:hyperlink w:history="0" r:id="rId328"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долей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w:t>
      </w:r>
    </w:p>
    <w:p>
      <w:pPr>
        <w:pStyle w:val="0"/>
        <w:jc w:val="both"/>
      </w:pPr>
      <w:r>
        <w:rPr>
          <w:sz w:val="20"/>
        </w:rPr>
        <w:t xml:space="preserve">(абзац введен </w:t>
      </w:r>
      <w:hyperlink w:history="0" r:id="rId329"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spacing w:before="200" w:line-rule="auto"/>
        <w:ind w:firstLine="540"/>
        <w:jc w:val="both"/>
      </w:pPr>
      <w:r>
        <w:rPr>
          <w:sz w:val="20"/>
        </w:rPr>
        <w:t xml:space="preserve">Региональным </w:t>
      </w:r>
      <w:hyperlink w:history="0" r:id="rId330" w:tooltip="Постановление Губернатора Новосибирской области от 15.01.2018 N 8 (ред. от 07.04.2023) &quot;Об утверждении Регионального перечня (классификатора) государственных (муниципальных) услуг и работ Новосибирской области&quot; {КонсультантПлюс}">
        <w:r>
          <w:rPr>
            <w:sz w:val="20"/>
            <w:color w:val="0000ff"/>
          </w:rPr>
          <w:t xml:space="preserve">перечнем</w:t>
        </w:r>
      </w:hyperlink>
      <w:r>
        <w:rPr>
          <w:sz w:val="20"/>
        </w:rPr>
        <w:t xml:space="preserve"> (классификатором) государственных (муниципальных) услуг и работ Новосибирской области, утвержденным постановлением Губернатора Новосибирской области от 15.01.2018 N 8, предусмотрено оказание государственным бюджетным учреждением Новосибирской области "Фонд пространственных данных Новосибирской области" двух государственных услуг:</w:t>
      </w:r>
    </w:p>
    <w:p>
      <w:pPr>
        <w:pStyle w:val="0"/>
        <w:spacing w:before="200" w:line-rule="auto"/>
        <w:ind w:firstLine="540"/>
        <w:jc w:val="both"/>
      </w:pPr>
      <w:r>
        <w:rPr>
          <w:sz w:val="20"/>
        </w:rPr>
        <w:t xml:space="preserve">предоставление пространственных данных и материалов из фонда пространственных данных субъекта Российской Федерации заинтересованным лицам в электронном виде;</w:t>
      </w:r>
    </w:p>
    <w:p>
      <w:pPr>
        <w:pStyle w:val="0"/>
        <w:spacing w:before="200" w:line-rule="auto"/>
        <w:ind w:firstLine="540"/>
        <w:jc w:val="both"/>
      </w:pPr>
      <w:r>
        <w:rPr>
          <w:sz w:val="20"/>
        </w:rPr>
        <w:t xml:space="preserve">предоставление пространственных данных и материалов из фонда пространственных данных субъекта Российской Федерации заинтересованным лицам на бумажном носителе.</w:t>
      </w:r>
    </w:p>
    <w:p>
      <w:pPr>
        <w:pStyle w:val="0"/>
        <w:spacing w:before="200" w:line-rule="auto"/>
        <w:ind w:firstLine="540"/>
        <w:jc w:val="both"/>
      </w:pPr>
      <w:hyperlink w:history="0" r:id="rId331" w:tooltip="Постановление Правительства Новосибирской области от 06.11.2018 N 461-п (ред. от 01.11.2021) &quot;Об установлении стоимости базовой расчетной единицы при предоставлении пространственных данных и материалов, содержащихся в фонде пространственных данных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06.11.2018 N 461-п "Об установлении стоимости базовой расчетной единицы при предоставлении пространственных данных и материалов, содержащихся в фонде пространственных данных Новосибирской области" установлена стоимость базовой расчетной единицы при предоставлении пространственных данных и материалов, содержащихся в фонде пространственных данных Новосибирской области.</w:t>
      </w:r>
    </w:p>
    <w:p>
      <w:pPr>
        <w:pStyle w:val="0"/>
        <w:jc w:val="both"/>
      </w:pPr>
      <w:r>
        <w:rPr>
          <w:sz w:val="20"/>
        </w:rPr>
        <w:t xml:space="preserve">(абзац введен </w:t>
      </w:r>
      <w:hyperlink w:history="0" r:id="rId332"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ind w:firstLine="540"/>
        <w:jc w:val="both"/>
      </w:pPr>
      <w:r>
        <w:rPr>
          <w:sz w:val="20"/>
        </w:rPr>
      </w:r>
    </w:p>
    <w:p>
      <w:pPr>
        <w:pStyle w:val="0"/>
        <w:ind w:firstLine="540"/>
        <w:jc w:val="both"/>
      </w:pPr>
      <w:r>
        <w:rPr>
          <w:sz w:val="20"/>
        </w:rPr>
        <w:t xml:space="preserve">В результате реализации подпрограммы:</w:t>
      </w:r>
    </w:p>
    <w:p>
      <w:pPr>
        <w:pStyle w:val="0"/>
        <w:spacing w:before="200" w:line-rule="auto"/>
        <w:ind w:firstLine="540"/>
        <w:jc w:val="both"/>
      </w:pPr>
      <w:r>
        <w:rPr>
          <w:sz w:val="20"/>
        </w:rPr>
        <w:t xml:space="preserve">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составит 100%;</w:t>
      </w:r>
    </w:p>
    <w:p>
      <w:pPr>
        <w:pStyle w:val="0"/>
        <w:spacing w:before="200" w:line-rule="auto"/>
        <w:ind w:firstLine="540"/>
        <w:jc w:val="both"/>
      </w:pPr>
      <w:r>
        <w:rPr>
          <w:sz w:val="20"/>
        </w:rPr>
        <w:t xml:space="preserve">абзац утратил силу. - </w:t>
      </w:r>
      <w:hyperlink w:history="0" r:id="rId33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 - 100%.</w:t>
      </w:r>
    </w:p>
    <w:p>
      <w:pPr>
        <w:pStyle w:val="0"/>
        <w:jc w:val="both"/>
      </w:pPr>
      <w:r>
        <w:rPr>
          <w:sz w:val="20"/>
        </w:rPr>
        <w:t xml:space="preserve">(абзац введен </w:t>
      </w:r>
      <w:hyperlink w:history="0" r:id="rId334"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28.10.2019 N 415-п; в ред. </w:t>
      </w:r>
      <w:hyperlink w:history="0" r:id="rId335"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02.06.2020 N 215-п)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4.2</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5822" w:name="P5822"/>
    <w:bookmarkEnd w:id="5822"/>
    <w:p>
      <w:pPr>
        <w:pStyle w:val="2"/>
        <w:jc w:val="center"/>
      </w:pPr>
      <w:r>
        <w:rPr>
          <w:sz w:val="20"/>
        </w:rPr>
        <w:t xml:space="preserve">Подпрограмма</w:t>
      </w:r>
    </w:p>
    <w:p>
      <w:pPr>
        <w:pStyle w:val="2"/>
        <w:jc w:val="center"/>
      </w:pPr>
      <w:r>
        <w:rPr>
          <w:sz w:val="20"/>
        </w:rPr>
        <w:t xml:space="preserve">"Градостроительная подготовка территорий и фонд</w:t>
      </w:r>
    </w:p>
    <w:p>
      <w:pPr>
        <w:pStyle w:val="2"/>
        <w:jc w:val="center"/>
      </w:pPr>
      <w:r>
        <w:rPr>
          <w:sz w:val="20"/>
        </w:rPr>
        <w:t xml:space="preserve">пространственных данных Новосибирской области"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336"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02.06.2020 N 215-п;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29.09.2020 </w:t>
            </w:r>
            <w:hyperlink w:history="0" r:id="rId337"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color w:val="392c69"/>
              </w:rPr>
              <w:t xml:space="preserve">, от 10.11.2020 </w:t>
            </w:r>
            <w:hyperlink w:history="0" r:id="rId338"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N 466-п</w:t>
              </w:r>
            </w:hyperlink>
            <w:r>
              <w:rPr>
                <w:sz w:val="20"/>
                <w:color w:val="392c69"/>
              </w:rPr>
              <w:t xml:space="preserve">, от 25.03.2021 </w:t>
            </w:r>
            <w:hyperlink w:history="0" r:id="rId339"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color w:val="392c69"/>
              </w:rPr>
              <w:t xml:space="preserve">,</w:t>
            </w:r>
          </w:p>
          <w:p>
            <w:pPr>
              <w:pStyle w:val="0"/>
              <w:jc w:val="center"/>
            </w:pPr>
            <w:r>
              <w:rPr>
                <w:sz w:val="20"/>
                <w:color w:val="392c69"/>
              </w:rPr>
              <w:t xml:space="preserve">от 15.03.2022 </w:t>
            </w:r>
            <w:hyperlink w:history="0" r:id="rId340"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 от 15.06.2022 </w:t>
            </w:r>
            <w:hyperlink w:history="0" r:id="rId341" w:tooltip="Постановление Правительства Новосибирской области от 15.06.2022 N 266-п &quot;О внесении изменений в постановление Правительства Новосибирской области от 20.02.2015 N 68-п&quot; {КонсультантПлюс}">
              <w:r>
                <w:rPr>
                  <w:sz w:val="20"/>
                  <w:color w:val="0000ff"/>
                </w:rPr>
                <w:t xml:space="preserve">N 266-п</w:t>
              </w:r>
            </w:hyperlink>
            <w:r>
              <w:rPr>
                <w:sz w:val="20"/>
                <w:color w:val="392c69"/>
              </w:rPr>
              <w:t xml:space="preserve">, от 29.12.2022 </w:t>
            </w:r>
            <w:hyperlink w:history="0" r:id="rId342"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color w:val="392c69"/>
              </w:rPr>
              <w:t xml:space="preserve">,</w:t>
            </w:r>
          </w:p>
          <w:p>
            <w:pPr>
              <w:pStyle w:val="0"/>
              <w:jc w:val="center"/>
            </w:pPr>
            <w:r>
              <w:rPr>
                <w:sz w:val="20"/>
                <w:color w:val="392c69"/>
              </w:rPr>
              <w:t xml:space="preserve">от 21.03.2023 </w:t>
            </w:r>
            <w:hyperlink w:history="0" r:id="rId343"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N 100-п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7"/>
        <w:gridCol w:w="7143"/>
      </w:tblGrid>
      <w:tr>
        <w:tc>
          <w:tcPr>
            <w:tcW w:w="1927" w:type="dxa"/>
          </w:tcPr>
          <w:p>
            <w:pPr>
              <w:pStyle w:val="0"/>
              <w:jc w:val="both"/>
            </w:pPr>
            <w:r>
              <w:rPr>
                <w:sz w:val="20"/>
              </w:rPr>
              <w:t xml:space="preserve">Наименование государственной программы</w:t>
            </w:r>
          </w:p>
        </w:tc>
        <w:tc>
          <w:tcPr>
            <w:tcW w:w="7143" w:type="dxa"/>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c>
          <w:tcPr>
            <w:tcW w:w="1927" w:type="dxa"/>
          </w:tcPr>
          <w:p>
            <w:pPr>
              <w:pStyle w:val="0"/>
              <w:jc w:val="both"/>
            </w:pPr>
            <w:r>
              <w:rPr>
                <w:sz w:val="20"/>
              </w:rPr>
              <w:t xml:space="preserve">Наименование подпрограммы</w:t>
            </w:r>
          </w:p>
        </w:tc>
        <w:tc>
          <w:tcPr>
            <w:tcW w:w="7143" w:type="dxa"/>
          </w:tcPr>
          <w:p>
            <w:pPr>
              <w:pStyle w:val="0"/>
              <w:jc w:val="both"/>
            </w:pPr>
            <w:r>
              <w:rPr>
                <w:sz w:val="20"/>
              </w:rPr>
              <w:t xml:space="preserve">Подпрограмма "Градостроительная подготовка территорий Новосибирской области и фонд пространственных данных Новосибирской области" государственной программы (далее - подпрограмма)</w:t>
            </w:r>
          </w:p>
        </w:tc>
      </w:tr>
      <w:tr>
        <w:tc>
          <w:tcPr>
            <w:tcW w:w="1927" w:type="dxa"/>
          </w:tcPr>
          <w:p>
            <w:pPr>
              <w:pStyle w:val="0"/>
              <w:jc w:val="both"/>
            </w:pPr>
            <w:r>
              <w:rPr>
                <w:sz w:val="20"/>
              </w:rPr>
              <w:t xml:space="preserve">Разработчики подпрограммы</w:t>
            </w:r>
          </w:p>
        </w:tc>
        <w:tc>
          <w:tcPr>
            <w:tcW w:w="7143" w:type="dxa"/>
          </w:tcPr>
          <w:p>
            <w:pPr>
              <w:pStyle w:val="0"/>
              <w:jc w:val="both"/>
            </w:pPr>
            <w:r>
              <w:rPr>
                <w:sz w:val="20"/>
              </w:rPr>
              <w:t xml:space="preserve">Министерство строительства Новосибирской области (далее - Минстрой НСО)</w:t>
            </w:r>
          </w:p>
        </w:tc>
      </w:tr>
      <w:tr>
        <w:tc>
          <w:tcPr>
            <w:tcW w:w="1927" w:type="dxa"/>
          </w:tcPr>
          <w:p>
            <w:pPr>
              <w:pStyle w:val="0"/>
              <w:jc w:val="both"/>
            </w:pPr>
            <w:r>
              <w:rPr>
                <w:sz w:val="20"/>
              </w:rPr>
              <w:t xml:space="preserve">Государственный заказчик (государственный заказчик-координатор) подпрограммы</w:t>
            </w:r>
          </w:p>
        </w:tc>
        <w:tc>
          <w:tcPr>
            <w:tcW w:w="7143" w:type="dxa"/>
          </w:tcPr>
          <w:p>
            <w:pPr>
              <w:pStyle w:val="0"/>
              <w:jc w:val="both"/>
            </w:pPr>
            <w:r>
              <w:rPr>
                <w:sz w:val="20"/>
              </w:rPr>
              <w:t xml:space="preserve">Минстрой НСО</w:t>
            </w:r>
          </w:p>
        </w:tc>
      </w:tr>
      <w:tr>
        <w:tblPrEx>
          <w:tblBorders>
            <w:insideH w:val="nil"/>
          </w:tblBorders>
        </w:tblPrEx>
        <w:tc>
          <w:tcPr>
            <w:tcW w:w="1927" w:type="dxa"/>
            <w:tcBorders>
              <w:bottom w:val="nil"/>
            </w:tcBorders>
          </w:tcPr>
          <w:p>
            <w:pPr>
              <w:pStyle w:val="0"/>
              <w:jc w:val="both"/>
            </w:pPr>
            <w:r>
              <w:rPr>
                <w:sz w:val="20"/>
              </w:rPr>
              <w:t xml:space="preserve">Руководитель подпрограммы</w:t>
            </w:r>
          </w:p>
        </w:tc>
        <w:tc>
          <w:tcPr>
            <w:tcW w:w="7143" w:type="dxa"/>
            <w:tcBorders>
              <w:bottom w:val="nil"/>
            </w:tcBorders>
          </w:tcPr>
          <w:p>
            <w:pPr>
              <w:pStyle w:val="0"/>
              <w:jc w:val="both"/>
            </w:pPr>
            <w:r>
              <w:rPr>
                <w:sz w:val="20"/>
              </w:rPr>
              <w:t xml:space="preserve">Министр строительства Новосибирской области - Колмаков А.В.</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Новосибирской области от 15.03.2022 </w:t>
            </w:r>
            <w:hyperlink w:history="0" r:id="rId344"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 от 29.12.2022 </w:t>
            </w:r>
            <w:hyperlink w:history="0" r:id="rId345"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r>
        <w:tc>
          <w:tcPr>
            <w:tcW w:w="1927" w:type="dxa"/>
          </w:tcPr>
          <w:p>
            <w:pPr>
              <w:pStyle w:val="0"/>
              <w:jc w:val="both"/>
            </w:pPr>
            <w:r>
              <w:rPr>
                <w:sz w:val="20"/>
              </w:rPr>
              <w:t xml:space="preserve">Цели и задачи подпрограммы</w:t>
            </w:r>
          </w:p>
        </w:tc>
        <w:tc>
          <w:tcPr>
            <w:tcW w:w="7143" w:type="dxa"/>
          </w:tcPr>
          <w:p>
            <w:pPr>
              <w:pStyle w:val="0"/>
              <w:jc w:val="both"/>
            </w:pPr>
            <w:r>
              <w:rPr>
                <w:sz w:val="20"/>
              </w:rPr>
              <w:t xml:space="preserve">Цель подпрограммы: обеспечение всех субъектов градостроительных отношений актуальной градостроительной документацией, предусмотренной Градостроительным </w:t>
            </w:r>
            <w:hyperlink w:history="0" r:id="rId346"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а также пространственными данными и материалами.</w:t>
            </w:r>
          </w:p>
          <w:p>
            <w:pPr>
              <w:pStyle w:val="0"/>
              <w:jc w:val="both"/>
            </w:pPr>
            <w:r>
              <w:rPr>
                <w:sz w:val="20"/>
              </w:rPr>
              <w:t xml:space="preserve">Задача подпрограммы:</w:t>
            </w:r>
          </w:p>
          <w:p>
            <w:pPr>
              <w:pStyle w:val="0"/>
              <w:jc w:val="both"/>
            </w:pPr>
            <w:r>
              <w:rPr>
                <w:sz w:val="20"/>
              </w:rPr>
              <w:t xml:space="preserve">обеспечение градостроительного развития Новосибирской области</w:t>
            </w:r>
          </w:p>
        </w:tc>
      </w:tr>
      <w:tr>
        <w:tblPrEx>
          <w:tblBorders>
            <w:insideH w:val="nil"/>
          </w:tblBorders>
        </w:tblPrEx>
        <w:tc>
          <w:tcPr>
            <w:tcW w:w="1927" w:type="dxa"/>
            <w:tcBorders>
              <w:bottom w:val="nil"/>
            </w:tcBorders>
          </w:tcPr>
          <w:p>
            <w:pPr>
              <w:pStyle w:val="0"/>
              <w:jc w:val="both"/>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2020 - 2025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347"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29.12.2022 N 652-п)</w:t>
            </w:r>
          </w:p>
        </w:tc>
      </w:tr>
      <w:tr>
        <w:tblPrEx>
          <w:tblBorders>
            <w:insideH w:val="nil"/>
          </w:tblBorders>
        </w:tblPrEx>
        <w:tc>
          <w:tcPr>
            <w:tcW w:w="1927" w:type="dxa"/>
            <w:tcBorders>
              <w:bottom w:val="nil"/>
            </w:tcBorders>
          </w:tcPr>
          <w:p>
            <w:pPr>
              <w:pStyle w:val="0"/>
            </w:pPr>
            <w:r>
              <w:rPr>
                <w:sz w:val="20"/>
              </w:rPr>
              <w:t xml:space="preserve">Объемы финансирования подпрограммы</w:t>
            </w:r>
          </w:p>
        </w:tc>
        <w:tc>
          <w:tcPr>
            <w:tcW w:w="7143" w:type="dxa"/>
            <w:tcBorders>
              <w:bottom w:val="nil"/>
            </w:tcBorders>
          </w:tcPr>
          <w:p>
            <w:pPr>
              <w:pStyle w:val="0"/>
            </w:pPr>
            <w:r>
              <w:rPr>
                <w:sz w:val="20"/>
              </w:rPr>
              <w:t xml:space="preserve">Общий объем ассигнований на реализацию подпрограммы составляет 960 772,3 тыс. руб.,</w:t>
            </w:r>
          </w:p>
          <w:p>
            <w:pPr>
              <w:pStyle w:val="0"/>
            </w:pPr>
            <w:r>
              <w:rPr>
                <w:sz w:val="20"/>
              </w:rPr>
              <w:t xml:space="preserve">в том числе по годам:</w:t>
            </w:r>
          </w:p>
          <w:p>
            <w:pPr>
              <w:pStyle w:val="0"/>
            </w:pPr>
            <w:r>
              <w:rPr>
                <w:sz w:val="20"/>
              </w:rPr>
              <w:t xml:space="preserve">2020 год - 123 546,7 тыс. руб.;</w:t>
            </w:r>
          </w:p>
          <w:p>
            <w:pPr>
              <w:pStyle w:val="0"/>
            </w:pPr>
            <w:r>
              <w:rPr>
                <w:sz w:val="20"/>
              </w:rPr>
              <w:t xml:space="preserve">2021 год - 93 070,7 тыс. руб.;</w:t>
            </w:r>
          </w:p>
          <w:p>
            <w:pPr>
              <w:pStyle w:val="0"/>
            </w:pPr>
            <w:r>
              <w:rPr>
                <w:sz w:val="20"/>
              </w:rPr>
              <w:t xml:space="preserve">2022 год - 145 593,1 тыс. руб.;</w:t>
            </w:r>
          </w:p>
          <w:p>
            <w:pPr>
              <w:pStyle w:val="0"/>
            </w:pPr>
            <w:r>
              <w:rPr>
                <w:sz w:val="20"/>
              </w:rPr>
              <w:t xml:space="preserve">2023 год - 160 510,9 тыс. руб.;</w:t>
            </w:r>
          </w:p>
          <w:p>
            <w:pPr>
              <w:pStyle w:val="0"/>
            </w:pPr>
            <w:r>
              <w:rPr>
                <w:sz w:val="20"/>
              </w:rPr>
              <w:t xml:space="preserve">2024 год - 217 170,8 тыс. руб.;</w:t>
            </w:r>
          </w:p>
          <w:p>
            <w:pPr>
              <w:pStyle w:val="0"/>
            </w:pPr>
            <w:r>
              <w:rPr>
                <w:sz w:val="20"/>
              </w:rPr>
              <w:t xml:space="preserve">2025 год - 220 880,1 тыс. руб.</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348"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tc>
      </w:tr>
      <w:tr>
        <w:tblPrEx>
          <w:tblBorders>
            <w:insideH w:val="nil"/>
          </w:tblBorders>
        </w:tblPrEx>
        <w:tc>
          <w:tcPr>
            <w:tcW w:w="1927" w:type="dxa"/>
            <w:tcBorders>
              <w:bottom w:val="nil"/>
            </w:tcBorders>
          </w:tcPr>
          <w:p>
            <w:pPr>
              <w:pStyle w:val="0"/>
              <w:jc w:val="both"/>
            </w:pPr>
            <w:r>
              <w:rPr>
                <w:sz w:val="20"/>
              </w:rPr>
              <w:t xml:space="preserve">Основные целевые индикаторы подпрограммы</w:t>
            </w:r>
          </w:p>
        </w:tc>
        <w:tc>
          <w:tcPr>
            <w:tcW w:w="7143" w:type="dxa"/>
            <w:tcBorders>
              <w:bottom w:val="nil"/>
            </w:tcBorders>
          </w:tcPr>
          <w:p>
            <w:pPr>
              <w:pStyle w:val="0"/>
              <w:jc w:val="both"/>
            </w:pPr>
            <w:r>
              <w:rPr>
                <w:sz w:val="20"/>
              </w:rPr>
              <w:t xml:space="preserve">Доля муниципальных образований Новосибирской агломерации, в которых подготовлены и утверждены документы территориального планирования, %;</w:t>
            </w:r>
          </w:p>
          <w:p>
            <w:pPr>
              <w:pStyle w:val="0"/>
              <w:jc w:val="both"/>
            </w:pPr>
            <w:r>
              <w:rPr>
                <w:sz w:val="20"/>
              </w:rPr>
              <w:t xml:space="preserve">доля муниципальных образований Новосибирской агломерации, в которых утверждены документы градостроительного зонирования, %;</w:t>
            </w:r>
          </w:p>
          <w:p>
            <w:pPr>
              <w:pStyle w:val="0"/>
              <w:jc w:val="both"/>
            </w:pPr>
            <w:r>
              <w:rPr>
                <w:sz w:val="20"/>
              </w:rPr>
              <w:t xml:space="preserve">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 шт. (период действия целевого индикатора до 01.01.2022);</w:t>
            </w:r>
          </w:p>
          <w:p>
            <w:pPr>
              <w:pStyle w:val="0"/>
              <w:jc w:val="both"/>
            </w:pPr>
            <w:r>
              <w:rPr>
                <w:sz w:val="20"/>
              </w:rPr>
              <w:t xml:space="preserve">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 шт.;</w:t>
            </w:r>
          </w:p>
          <w:p>
            <w:pPr>
              <w:pStyle w:val="0"/>
              <w:jc w:val="both"/>
            </w:pPr>
            <w:r>
              <w:rPr>
                <w:sz w:val="20"/>
              </w:rPr>
              <w:t xml:space="preserve">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 шт.;</w:t>
            </w:r>
          </w:p>
          <w:p>
            <w:pPr>
              <w:pStyle w:val="0"/>
              <w:jc w:val="both"/>
            </w:pPr>
            <w:r>
              <w:rPr>
                <w:sz w:val="20"/>
              </w:rPr>
              <w:t xml:space="preserve">доля территориальных зон, сведения о границах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муниципальных образований Новосибирской агломерации, %;</w:t>
            </w:r>
          </w:p>
          <w:p>
            <w:pPr>
              <w:pStyle w:val="0"/>
              <w:jc w:val="both"/>
            </w:pPr>
            <w:r>
              <w:rPr>
                <w:sz w:val="20"/>
              </w:rPr>
              <w:t xml:space="preserve">доля населенных пунктов, сведения о границах которых внесены в Единый государственный реестр недвижимости, в общем количестве населенных пунктов муниципальных образований Новосибирской агломерации, %;</w:t>
            </w:r>
          </w:p>
          <w:p>
            <w:pPr>
              <w:pStyle w:val="0"/>
              <w:jc w:val="both"/>
            </w:pPr>
            <w:r>
              <w:rPr>
                <w:sz w:val="20"/>
              </w:rPr>
              <w:t xml:space="preserve">количество утвержденной в рамках реализации государственной программы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области (за исключением Новосибирской агломерации), шт. (период действия целевого индикатора до 01.01.2022);</w:t>
            </w:r>
          </w:p>
          <w:p>
            <w:pPr>
              <w:pStyle w:val="0"/>
              <w:jc w:val="both"/>
            </w:pPr>
            <w:r>
              <w:rPr>
                <w:sz w:val="20"/>
              </w:rPr>
              <w:t xml:space="preserve">доля границ между Новосибирской областью и субъектами Российской Федерации, сведения о которых внесены в Единый государственный реестр недвижимости, %;</w:t>
            </w:r>
          </w:p>
          <w:p>
            <w:pPr>
              <w:pStyle w:val="0"/>
              <w:jc w:val="both"/>
            </w:pPr>
            <w:r>
              <w:rPr>
                <w:sz w:val="20"/>
              </w:rPr>
              <w:t xml:space="preserve">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w:t>
            </w:r>
          </w:p>
          <w:p>
            <w:pPr>
              <w:pStyle w:val="0"/>
              <w:jc w:val="both"/>
            </w:pPr>
            <w:r>
              <w:rPr>
                <w:sz w:val="20"/>
              </w:rPr>
              <w:t xml:space="preserve">объем предоставленных субъектам градостроительных отношений пространственных данных и материалов в бумажном и электронном виде, количество базовых единиц, %;</w:t>
            </w:r>
          </w:p>
          <w:p>
            <w:pPr>
              <w:pStyle w:val="0"/>
              <w:jc w:val="both"/>
            </w:pPr>
            <w:r>
              <w:rPr>
                <w:sz w:val="20"/>
              </w:rPr>
              <w:t xml:space="preserve">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ведения государственной информационной системы обеспечения градостроительной деятельности Новосибирской области, %.</w:t>
            </w:r>
          </w:p>
          <w:p>
            <w:pPr>
              <w:pStyle w:val="0"/>
              <w:jc w:val="both"/>
            </w:pPr>
            <w:r>
              <w:rPr>
                <w:sz w:val="20"/>
              </w:rPr>
              <w:t xml:space="preserve">Полный перечень целевых индикаторов приведен в </w:t>
            </w:r>
            <w:hyperlink w:history="0" w:anchor="P295" w:tooltip="ЦЕЛИ, ЗАДАЧИ И ЦЕЛЕВЫЕ ИНДИКАТОРЫ">
              <w:r>
                <w:rPr>
                  <w:sz w:val="20"/>
                  <w:color w:val="0000ff"/>
                </w:rPr>
                <w:t xml:space="preserve">приложении N 1</w:t>
              </w:r>
            </w:hyperlink>
            <w:r>
              <w:rPr>
                <w:sz w:val="20"/>
              </w:rPr>
              <w:t xml:space="preserve"> к государственной программе</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349"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15.03.2022 N 82-п)</w:t>
            </w:r>
          </w:p>
        </w:tc>
      </w:tr>
      <w:tr>
        <w:tblPrEx>
          <w:tblBorders>
            <w:insideH w:val="nil"/>
          </w:tblBorders>
        </w:tblPrEx>
        <w:tc>
          <w:tcPr>
            <w:tcW w:w="1927" w:type="dxa"/>
            <w:tcBorders>
              <w:bottom w:val="nil"/>
            </w:tcBorders>
          </w:tcPr>
          <w:p>
            <w:pPr>
              <w:pStyle w:val="0"/>
              <w:jc w:val="both"/>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За счет реализации подпрограммы будут достигнуты следующие результаты:</w:t>
            </w:r>
          </w:p>
          <w:p>
            <w:pPr>
              <w:pStyle w:val="0"/>
              <w:jc w:val="both"/>
            </w:pPr>
            <w:r>
              <w:rPr>
                <w:sz w:val="20"/>
              </w:rPr>
              <w:t xml:space="preserve">к концу 2022 года, с сохранением тенденции до конца 2025 года:</w:t>
            </w:r>
          </w:p>
          <w:p>
            <w:pPr>
              <w:pStyle w:val="0"/>
              <w:jc w:val="both"/>
            </w:pPr>
            <w:r>
              <w:rPr>
                <w:sz w:val="20"/>
              </w:rPr>
              <w:t xml:space="preserve">в 100% муниципальных образований Новосибирской агломерации будут подготовлены и утверждены документы территориального планирования;</w:t>
            </w:r>
          </w:p>
          <w:p>
            <w:pPr>
              <w:pStyle w:val="0"/>
              <w:jc w:val="both"/>
            </w:pPr>
            <w:r>
              <w:rPr>
                <w:sz w:val="20"/>
              </w:rPr>
              <w:t xml:space="preserve">будут внесены в Единый государственный реестр недвижимости сведения о 100% границ между Новосибирской областью и субъектами Российской Федерации, за исключением участка государственной границы Российской Федерации;</w:t>
            </w:r>
          </w:p>
          <w:p>
            <w:pPr>
              <w:pStyle w:val="0"/>
              <w:jc w:val="both"/>
            </w:pPr>
            <w:r>
              <w:rPr>
                <w:sz w:val="20"/>
              </w:rPr>
              <w:t xml:space="preserve">к концу 2021 года, с сохранением тенденции до конца 2025 года, в 100% муниципальных образований Новосибирской агломерации будут утверждены документы градостроительного зонирования;</w:t>
            </w:r>
          </w:p>
          <w:p>
            <w:pPr>
              <w:pStyle w:val="0"/>
              <w:jc w:val="both"/>
            </w:pPr>
            <w:r>
              <w:rPr>
                <w:sz w:val="20"/>
              </w:rPr>
              <w:t xml:space="preserve">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ведения государственной информационной системы обеспечения градостроительной деятельности Новосибирской области, составит 100%;</w:t>
            </w:r>
          </w:p>
          <w:p>
            <w:pPr>
              <w:pStyle w:val="0"/>
              <w:jc w:val="both"/>
            </w:pPr>
            <w:r>
              <w:rPr>
                <w:sz w:val="20"/>
              </w:rPr>
              <w:t xml:space="preserve">к концу 2025 года:</w:t>
            </w:r>
          </w:p>
          <w:p>
            <w:pPr>
              <w:pStyle w:val="0"/>
              <w:jc w:val="both"/>
            </w:pPr>
            <w:r>
              <w:rPr>
                <w:sz w:val="20"/>
              </w:rPr>
              <w:t xml:space="preserve">в 100% муниципальных образований Новосибирской области (за исключением Новосибирской агломерации) в рамках реализации государственной программы будут утверждены документы градостроительного зонирования либо внесены изменения в документы градостроительного зонирования;</w:t>
            </w:r>
          </w:p>
          <w:p>
            <w:pPr>
              <w:pStyle w:val="0"/>
              <w:jc w:val="both"/>
            </w:pPr>
            <w:r>
              <w:rPr>
                <w:sz w:val="20"/>
              </w:rPr>
              <w:t xml:space="preserve">будет утверждена документация по планировке территории для размещения 140 объектов регионального значения, предусмотренного документами территориального планирования Новосибирской области, а также будут утверждены 94 документа по планировке территории, предусмотренных документами территориального планирования муниципальных образований Новосибирской агломерации;</w:t>
            </w:r>
          </w:p>
          <w:p>
            <w:pPr>
              <w:pStyle w:val="0"/>
              <w:jc w:val="both"/>
            </w:pPr>
            <w:r>
              <w:rPr>
                <w:sz w:val="20"/>
              </w:rPr>
              <w:t xml:space="preserve">абзац утратил силу. - </w:t>
            </w:r>
            <w:hyperlink w:history="0" r:id="rId350"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15.03.2022 N 82-п;</w:t>
            </w:r>
          </w:p>
          <w:p>
            <w:pPr>
              <w:pStyle w:val="0"/>
              <w:jc w:val="both"/>
            </w:pPr>
            <w:r>
              <w:rPr>
                <w:sz w:val="20"/>
              </w:rPr>
              <w:t xml:space="preserve">сведения о границах 98% территориальных зон, установленных правилами землепользования и застройки муниципальных образований Новосибирской агломерации, будут внесены в Единый государственный реестр недвижимости;</w:t>
            </w:r>
          </w:p>
          <w:p>
            <w:pPr>
              <w:pStyle w:val="0"/>
              <w:jc w:val="both"/>
            </w:pPr>
            <w:r>
              <w:rPr>
                <w:sz w:val="20"/>
              </w:rPr>
              <w:t xml:space="preserve">сведения о границах 95% населенных пунктов муниципальных образований Новосибирской агломерации будут внесены в Единый государственный реестр недвижимости</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Новосибирской области от 25.03.2021 </w:t>
            </w:r>
            <w:hyperlink w:history="0" r:id="rId351"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 от 15.03.2022 </w:t>
            </w:r>
            <w:hyperlink w:history="0" r:id="rId352"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 от 29.12.2022 </w:t>
            </w:r>
            <w:hyperlink w:history="0" r:id="rId353"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bl>
    <w:p>
      <w:pPr>
        <w:pStyle w:val="0"/>
        <w:ind w:firstLine="540"/>
        <w:jc w:val="both"/>
      </w:pPr>
      <w:r>
        <w:rPr>
          <w:sz w:val="20"/>
        </w:rPr>
      </w:r>
    </w:p>
    <w:p>
      <w:pPr>
        <w:pStyle w:val="2"/>
        <w:outlineLvl w:val="2"/>
        <w:jc w:val="center"/>
      </w:pPr>
      <w:r>
        <w:rPr>
          <w:sz w:val="20"/>
        </w:rPr>
        <w:t xml:space="preserve">II.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354"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355"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Характеристика мероприятий подпрограммы:</w:t>
      </w:r>
    </w:p>
    <w:p>
      <w:pPr>
        <w:pStyle w:val="0"/>
        <w:spacing w:before="200" w:line-rule="auto"/>
        <w:ind w:firstLine="540"/>
        <w:jc w:val="both"/>
      </w:pPr>
      <w:r>
        <w:rPr>
          <w:sz w:val="20"/>
        </w:rPr>
        <w:t xml:space="preserve">1. Подготовка градостроительной документации или внесение в нее изменений в рамках полномочий муниципальных образований Новосибирской области.</w:t>
      </w:r>
    </w:p>
    <w:p>
      <w:pPr>
        <w:pStyle w:val="0"/>
        <w:spacing w:before="200" w:line-rule="auto"/>
        <w:ind w:firstLine="540"/>
        <w:jc w:val="both"/>
      </w:pPr>
      <w:r>
        <w:rPr>
          <w:sz w:val="20"/>
        </w:rPr>
        <w:t xml:space="preserve">Реализация данного мероприятия планируется с помощью субсидирования муниципальных образований Новосибирской области на градостроительную подготовку территорий Новосибирской области.</w:t>
      </w:r>
    </w:p>
    <w:p>
      <w:pPr>
        <w:pStyle w:val="0"/>
        <w:spacing w:before="200" w:line-rule="auto"/>
        <w:ind w:firstLine="540"/>
        <w:jc w:val="both"/>
      </w:pPr>
      <w:r>
        <w:rPr>
          <w:sz w:val="20"/>
        </w:rPr>
        <w:t xml:space="preserve">Распределение субсидий по муниципальным образованиям Новосибирской области на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 а также на подготовку документации по планировке территории (за исключением Новосибирской агломерации) осуществляется в соответствии с </w:t>
      </w:r>
      <w:hyperlink w:history="0" r:id="rId356" w:tooltip="Постановление Правительства Новосибирской области от 27.12.2017 N 466-п (ред. от 21.12.2021) &quot;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27.12.2017 N 466-п "Об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 и </w:t>
      </w:r>
      <w:hyperlink w:history="0" w:anchor="P9236" w:tooltip="Порядок">
        <w:r>
          <w:rPr>
            <w:sz w:val="20"/>
            <w:color w:val="0000ff"/>
          </w:rPr>
          <w:t xml:space="preserve">Порядком</w:t>
        </w:r>
      </w:hyperlink>
      <w:r>
        <w:rPr>
          <w:sz w:val="20"/>
        </w:rPr>
        <w:t xml:space="preserve"> предоставления и распределения субсидий из областного бюджета Новосибирской области местным бюджетам на реализацию государственной программы согласно приложению N 14 к государственной программе Новосибирской области "Стимулирование развития жилищного строительства в Новосибирской области" на:</w:t>
      </w:r>
    </w:p>
    <w:p>
      <w:pPr>
        <w:pStyle w:val="0"/>
        <w:jc w:val="both"/>
      </w:pPr>
      <w:r>
        <w:rPr>
          <w:sz w:val="20"/>
        </w:rPr>
        <w:t xml:space="preserve">(в ред. постановлений Правительства Новосибирской области от 29.09.2020 </w:t>
      </w:r>
      <w:hyperlink w:history="0" r:id="rId357"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rPr>
        <w:t xml:space="preserve">, от 10.11.2020 </w:t>
      </w:r>
      <w:hyperlink w:history="0" r:id="rId358"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N 466-п</w:t>
        </w:r>
      </w:hyperlink>
      <w:r>
        <w:rPr>
          <w:sz w:val="20"/>
        </w:rPr>
        <w:t xml:space="preserve">)</w:t>
      </w:r>
    </w:p>
    <w:p>
      <w:pPr>
        <w:pStyle w:val="0"/>
        <w:spacing w:before="200" w:line-rule="auto"/>
        <w:ind w:firstLine="540"/>
        <w:jc w:val="both"/>
      </w:pPr>
      <w:r>
        <w:rPr>
          <w:sz w:val="20"/>
        </w:rPr>
        <w:t xml:space="preserve">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w:t>
      </w:r>
    </w:p>
    <w:p>
      <w:pPr>
        <w:pStyle w:val="0"/>
        <w:spacing w:before="200" w:line-rule="auto"/>
        <w:ind w:firstLine="540"/>
        <w:jc w:val="both"/>
      </w:pPr>
      <w:r>
        <w:rPr>
          <w:sz w:val="20"/>
        </w:rPr>
        <w:t xml:space="preserve">подготовку документации по планировке территории.</w:t>
      </w:r>
    </w:p>
    <w:p>
      <w:pPr>
        <w:pStyle w:val="0"/>
        <w:spacing w:before="200" w:line-rule="auto"/>
        <w:ind w:firstLine="540"/>
        <w:jc w:val="both"/>
      </w:pPr>
      <w:r>
        <w:rPr>
          <w:sz w:val="20"/>
        </w:rPr>
        <w:t xml:space="preserve">2. Утверждение градостроительной документации и внесение в нее изменений в рамках полномочий Минстроя НСО, а также подготовка исследовательских работ в целях развития агломераций Новосибирской области.</w:t>
      </w:r>
    </w:p>
    <w:p>
      <w:pPr>
        <w:pStyle w:val="0"/>
        <w:spacing w:before="200" w:line-rule="auto"/>
        <w:ind w:firstLine="540"/>
        <w:jc w:val="both"/>
      </w:pPr>
      <w:r>
        <w:rPr>
          <w:sz w:val="20"/>
        </w:rPr>
        <w:t xml:space="preserve">В рамках данного мероприятия предполагаются:</w:t>
      </w:r>
    </w:p>
    <w:p>
      <w:pPr>
        <w:pStyle w:val="0"/>
        <w:spacing w:before="200" w:line-rule="auto"/>
        <w:ind w:firstLine="540"/>
        <w:jc w:val="both"/>
      </w:pPr>
      <w:r>
        <w:rPr>
          <w:sz w:val="20"/>
        </w:rPr>
        <w:t xml:space="preserve">актуализация схемы территориального планирования Новосибирской области;</w:t>
      </w:r>
    </w:p>
    <w:p>
      <w:pPr>
        <w:pStyle w:val="0"/>
        <w:spacing w:before="200" w:line-rule="auto"/>
        <w:ind w:firstLine="540"/>
        <w:jc w:val="both"/>
      </w:pPr>
      <w:r>
        <w:rPr>
          <w:sz w:val="20"/>
        </w:rPr>
        <w:t xml:space="preserve">подготовка и утверждение документов территориального планирования муниципальных образований Новосибирской агломерации, а также внесение изменений в них;</w:t>
      </w:r>
    </w:p>
    <w:p>
      <w:pPr>
        <w:pStyle w:val="0"/>
        <w:spacing w:before="200" w:line-rule="auto"/>
        <w:ind w:firstLine="540"/>
        <w:jc w:val="both"/>
      </w:pPr>
      <w:r>
        <w:rPr>
          <w:sz w:val="20"/>
        </w:rPr>
        <w:t xml:space="preserve">подготовка и утверждение документов градостроительного зонирования муниципальных образований Новосибирской агломерации, а также внесение изменений в них;</w:t>
      </w:r>
    </w:p>
    <w:p>
      <w:pPr>
        <w:pStyle w:val="0"/>
        <w:spacing w:before="200" w:line-rule="auto"/>
        <w:ind w:firstLine="540"/>
        <w:jc w:val="both"/>
      </w:pPr>
      <w:r>
        <w:rPr>
          <w:sz w:val="20"/>
        </w:rPr>
        <w:t xml:space="preserve">проведение исследовательских работ в целях развития агломераций Новосибирской области;</w:t>
      </w:r>
    </w:p>
    <w:p>
      <w:pPr>
        <w:pStyle w:val="0"/>
        <w:spacing w:before="200" w:line-rule="auto"/>
        <w:ind w:firstLine="540"/>
        <w:jc w:val="both"/>
      </w:pPr>
      <w:r>
        <w:rPr>
          <w:sz w:val="20"/>
        </w:rPr>
        <w:t xml:space="preserve">подготовка и утверждение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 в рамках полномочий Минстроя НСО;</w:t>
      </w:r>
    </w:p>
    <w:p>
      <w:pPr>
        <w:pStyle w:val="0"/>
        <w:spacing w:before="200" w:line-rule="auto"/>
        <w:ind w:firstLine="540"/>
        <w:jc w:val="both"/>
      </w:pPr>
      <w:r>
        <w:rPr>
          <w:sz w:val="20"/>
        </w:rPr>
        <w:t xml:space="preserve">утверждение документации по планировке территории, подготовленной на основании документов территориального планирования муниципальных образований Новосибирской агломерации;</w:t>
      </w:r>
    </w:p>
    <w:p>
      <w:pPr>
        <w:pStyle w:val="0"/>
        <w:spacing w:before="200" w:line-rule="auto"/>
        <w:ind w:firstLine="540"/>
        <w:jc w:val="both"/>
      </w:pPr>
      <w:r>
        <w:rPr>
          <w:sz w:val="20"/>
        </w:rPr>
        <w:t xml:space="preserve">направление сведений в Единый государственный реестр недвижимости об описании местоположения границ Новосибирской области и границ муниципальных образований Новосибирской области.</w:t>
      </w:r>
    </w:p>
    <w:p>
      <w:pPr>
        <w:pStyle w:val="0"/>
        <w:spacing w:before="200" w:line-rule="auto"/>
        <w:ind w:firstLine="540"/>
        <w:jc w:val="both"/>
      </w:pPr>
      <w:r>
        <w:rPr>
          <w:sz w:val="20"/>
        </w:rPr>
        <w:t xml:space="preserve">3. Обеспечение всех субъектов градостроительных отношений актуальными пространственными данными и актуальной градостроительной документацией.</w:t>
      </w:r>
    </w:p>
    <w:p>
      <w:pPr>
        <w:pStyle w:val="0"/>
        <w:spacing w:before="200" w:line-rule="auto"/>
        <w:ind w:firstLine="540"/>
        <w:jc w:val="both"/>
      </w:pPr>
      <w:r>
        <w:rPr>
          <w:sz w:val="20"/>
        </w:rPr>
        <w:t xml:space="preserve">Пространственные данные и материалы Фонда используются для обеспечения деятельности органов государственной власти Новосибирской области и подведомственных данным органам государственных учреждений, органов местного самоуправления муниципальных образований Новосибирской области, юридических и физических лиц (далее - субъекты).</w:t>
      </w:r>
    </w:p>
    <w:p>
      <w:pPr>
        <w:pStyle w:val="0"/>
        <w:spacing w:before="200" w:line-rule="auto"/>
        <w:ind w:firstLine="540"/>
        <w:jc w:val="both"/>
      </w:pPr>
      <w:r>
        <w:rPr>
          <w:sz w:val="20"/>
        </w:rPr>
        <w:t xml:space="preserve">В рамках данного мероприятия предполагаются:</w:t>
      </w:r>
    </w:p>
    <w:p>
      <w:pPr>
        <w:pStyle w:val="0"/>
        <w:spacing w:before="200" w:line-rule="auto"/>
        <w:ind w:firstLine="540"/>
        <w:jc w:val="both"/>
      </w:pPr>
      <w:r>
        <w:rPr>
          <w:sz w:val="20"/>
        </w:rPr>
        <w:t xml:space="preserve">обеспечение ведения и актуализации материалов фонда пространственных данных Новосибирской области;</w:t>
      </w:r>
    </w:p>
    <w:p>
      <w:pPr>
        <w:pStyle w:val="0"/>
        <w:spacing w:before="200" w:line-rule="auto"/>
        <w:ind w:firstLine="540"/>
        <w:jc w:val="both"/>
      </w:pPr>
      <w:r>
        <w:rPr>
          <w:sz w:val="20"/>
        </w:rPr>
        <w:t xml:space="preserve">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p>
      <w:pPr>
        <w:pStyle w:val="0"/>
        <w:spacing w:before="200" w:line-rule="auto"/>
        <w:ind w:firstLine="540"/>
        <w:jc w:val="both"/>
      </w:pPr>
      <w:r>
        <w:rPr>
          <w:sz w:val="20"/>
        </w:rPr>
        <w:t xml:space="preserve">подготовка схемы территориального планирования Новосибирской области, в том числе внесение изменений;</w:t>
      </w:r>
    </w:p>
    <w:p>
      <w:pPr>
        <w:pStyle w:val="0"/>
        <w:spacing w:before="200" w:line-rule="auto"/>
        <w:ind w:firstLine="540"/>
        <w:jc w:val="both"/>
      </w:pPr>
      <w:r>
        <w:rPr>
          <w:sz w:val="20"/>
        </w:rPr>
        <w:t xml:space="preserve">подготовка генеральных планов поселений Новосибирской агломерации, в том числе внесение изменений;</w:t>
      </w:r>
    </w:p>
    <w:p>
      <w:pPr>
        <w:pStyle w:val="0"/>
        <w:spacing w:before="200" w:line-rule="auto"/>
        <w:ind w:firstLine="540"/>
        <w:jc w:val="both"/>
      </w:pPr>
      <w:r>
        <w:rPr>
          <w:sz w:val="20"/>
        </w:rPr>
        <w:t xml:space="preserve">подготовка правил землепользования и застройки поселений Новосибирской агломерации, в том числе внесение изменений;</w:t>
      </w:r>
    </w:p>
    <w:p>
      <w:pPr>
        <w:pStyle w:val="0"/>
        <w:spacing w:before="200" w:line-rule="auto"/>
        <w:ind w:firstLine="540"/>
        <w:jc w:val="both"/>
      </w:pPr>
      <w:r>
        <w:rPr>
          <w:sz w:val="20"/>
        </w:rPr>
        <w:t xml:space="preserve">подготовка документации по планировке территории поселений Новосибирской агломерации, в том числе внесение изменений;</w:t>
      </w:r>
    </w:p>
    <w:p>
      <w:pPr>
        <w:pStyle w:val="0"/>
        <w:spacing w:before="200" w:line-rule="auto"/>
        <w:ind w:firstLine="540"/>
        <w:jc w:val="both"/>
      </w:pPr>
      <w:r>
        <w:rPr>
          <w:sz w:val="20"/>
        </w:rPr>
        <w:t xml:space="preserve">подготовка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w:t>
      </w:r>
    </w:p>
    <w:p>
      <w:pPr>
        <w:pStyle w:val="0"/>
        <w:spacing w:before="200" w:line-rule="auto"/>
        <w:ind w:firstLine="540"/>
        <w:jc w:val="both"/>
      </w:pPr>
      <w:r>
        <w:rPr>
          <w:sz w:val="20"/>
        </w:rPr>
        <w:t xml:space="preserve">подготовка документации по планировке территории (внесение изменений в ранее утвержденную документацию) в отношении земельных участков, находящихся в государственной собственности Новосибирской области;</w:t>
      </w:r>
    </w:p>
    <w:p>
      <w:pPr>
        <w:pStyle w:val="0"/>
        <w:jc w:val="both"/>
      </w:pPr>
      <w:r>
        <w:rPr>
          <w:sz w:val="20"/>
        </w:rPr>
        <w:t xml:space="preserve">(абзац введен </w:t>
      </w:r>
      <w:hyperlink w:history="0" r:id="rId359"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29.09.2020 N 411-п)</w:t>
      </w:r>
    </w:p>
    <w:p>
      <w:pPr>
        <w:pStyle w:val="0"/>
        <w:spacing w:before="200" w:line-rule="auto"/>
        <w:ind w:firstLine="540"/>
        <w:jc w:val="both"/>
      </w:pPr>
      <w:r>
        <w:rPr>
          <w:sz w:val="20"/>
        </w:rPr>
        <w:t xml:space="preserve">подготовка землеустроительной документации по описанию местоположения границ Новосибирской области;</w:t>
      </w:r>
    </w:p>
    <w:p>
      <w:pPr>
        <w:pStyle w:val="0"/>
        <w:spacing w:before="200" w:line-rule="auto"/>
        <w:ind w:firstLine="540"/>
        <w:jc w:val="both"/>
      </w:pPr>
      <w:r>
        <w:rPr>
          <w:sz w:val="20"/>
        </w:rPr>
        <w:t xml:space="preserve">подготовка землеустроительной документации по описанию местоположения границ муниципальных образований Новосибирской области.</w:t>
      </w:r>
    </w:p>
    <w:p>
      <w:pPr>
        <w:pStyle w:val="0"/>
        <w:spacing w:before="200" w:line-rule="auto"/>
        <w:ind w:firstLine="540"/>
        <w:jc w:val="both"/>
      </w:pPr>
      <w:r>
        <w:rPr>
          <w:sz w:val="20"/>
        </w:rPr>
        <w:t xml:space="preserve">4. Организация проведения, участие в выставочно-ярмарочных и конгрессных мероприятиях.</w:t>
      </w:r>
    </w:p>
    <w:p>
      <w:pPr>
        <w:pStyle w:val="0"/>
        <w:spacing w:before="200" w:line-rule="auto"/>
        <w:ind w:firstLine="540"/>
        <w:jc w:val="both"/>
      </w:pPr>
      <w:r>
        <w:rPr>
          <w:sz w:val="20"/>
        </w:rPr>
        <w:t xml:space="preserve">В рамках данного мероприятия с 2022 года планируется организация и проведение Сибирского строительного форума, в рамках которого планируется обсуждение основных тенденций изменения градостроительного законодательства России с рассмотрением вопросов информационного моделирования в строительстве, комплексного развития территорий, ценообразования в строительстве, практики подготовки мастер-планов территорий, развития агломераций и других.</w:t>
      </w:r>
    </w:p>
    <w:p>
      <w:pPr>
        <w:pStyle w:val="0"/>
        <w:spacing w:before="200" w:line-rule="auto"/>
        <w:ind w:firstLine="540"/>
        <w:jc w:val="both"/>
      </w:pPr>
      <w:r>
        <w:rPr>
          <w:sz w:val="20"/>
        </w:rPr>
        <w:t xml:space="preserve">Новосибирская агломерация относится к числу наиболее перспективных в развитии не только в Сибири, но и масштабе Российской Федерации. В настоящее время Новосибирская область закрепила за собой приоритетное положение по проведению общероссийских конференций, посвященных вопросам агломерационного развития, вопросам гармоничного развития в Российской Федерации урбанизированных территорий с высоким уровнем научного, культурного и промышленного потенциала.</w:t>
      </w:r>
    </w:p>
    <w:p>
      <w:pPr>
        <w:pStyle w:val="0"/>
        <w:spacing w:before="200" w:line-rule="auto"/>
        <w:ind w:firstLine="540"/>
        <w:jc w:val="both"/>
      </w:pPr>
      <w:r>
        <w:rPr>
          <w:sz w:val="20"/>
        </w:rPr>
        <w:t xml:space="preserve">Кроме того, планируется проведение иных мероприятий в рамках полномочий министерства строительства Новосибирской области, а также обеспечение участия в выставочно-ярмарочных и конгрессных мероприятиях на территории России.</w:t>
      </w:r>
    </w:p>
    <w:p>
      <w:pPr>
        <w:pStyle w:val="0"/>
        <w:jc w:val="both"/>
      </w:pPr>
      <w:r>
        <w:rPr>
          <w:sz w:val="20"/>
        </w:rPr>
        <w:t xml:space="preserve">(п. 4 в ред. </w:t>
      </w:r>
      <w:hyperlink w:history="0" r:id="rId360" w:tooltip="Постановление Правительства Новосибирской области от 15.06.2022 N 26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15.06.2022 N 266-п)</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ind w:firstLine="540"/>
        <w:jc w:val="both"/>
      </w:pPr>
      <w:r>
        <w:rPr>
          <w:sz w:val="20"/>
        </w:rPr>
      </w:r>
    </w:p>
    <w:p>
      <w:pPr>
        <w:pStyle w:val="0"/>
        <w:ind w:firstLine="540"/>
        <w:jc w:val="both"/>
      </w:pPr>
      <w:r>
        <w:rPr>
          <w:sz w:val="20"/>
        </w:rPr>
        <w:t xml:space="preserve">Утратил силу. - </w:t>
      </w:r>
      <w:hyperlink w:history="0" r:id="rId361"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5959" w:name="P5959"/>
    <w:bookmarkEnd w:id="5959"/>
    <w:p>
      <w:pPr>
        <w:pStyle w:val="2"/>
        <w:jc w:val="center"/>
      </w:pPr>
      <w:r>
        <w:rPr>
          <w:sz w:val="20"/>
        </w:rPr>
        <w:t xml:space="preserve">Подпрограмма</w:t>
      </w:r>
    </w:p>
    <w:p>
      <w:pPr>
        <w:pStyle w:val="2"/>
        <w:jc w:val="center"/>
      </w:pPr>
      <w:r>
        <w:rPr>
          <w:sz w:val="20"/>
        </w:rPr>
        <w:t xml:space="preserve">"Инженерное обустройство площадок комплексной застройки</w:t>
      </w:r>
    </w:p>
    <w:p>
      <w:pPr>
        <w:pStyle w:val="2"/>
        <w:jc w:val="center"/>
      </w:pPr>
      <w:r>
        <w:rPr>
          <w:sz w:val="20"/>
        </w:rPr>
        <w:t xml:space="preserve">Новосибирской области" государственной программы</w:t>
      </w:r>
    </w:p>
    <w:p>
      <w:pPr>
        <w:pStyle w:val="2"/>
        <w:jc w:val="center"/>
      </w:pPr>
      <w:r>
        <w:rPr>
          <w:sz w:val="20"/>
        </w:rPr>
        <w:t xml:space="preserve">Новосибирской области "Стимулирование развития жилищного</w:t>
      </w:r>
    </w:p>
    <w:p>
      <w:pPr>
        <w:pStyle w:val="2"/>
        <w:jc w:val="center"/>
      </w:pPr>
      <w:r>
        <w:rPr>
          <w:sz w:val="20"/>
        </w:rPr>
        <w:t xml:space="preserve">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25.05.2015 </w:t>
            </w:r>
            <w:hyperlink w:history="0" r:id="rId362"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N 198-п</w:t>
              </w:r>
            </w:hyperlink>
            <w:r>
              <w:rPr>
                <w:sz w:val="20"/>
                <w:color w:val="392c69"/>
              </w:rPr>
              <w:t xml:space="preserve">, от 15.02.2016 </w:t>
            </w:r>
            <w:hyperlink w:history="0" r:id="rId363"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color w:val="392c69"/>
              </w:rPr>
              <w:t xml:space="preserve">, от 15.02.2017 </w:t>
            </w:r>
            <w:hyperlink w:history="0" r:id="rId364"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color w:val="392c69"/>
              </w:rPr>
              <w:t xml:space="preserve">,</w:t>
            </w:r>
          </w:p>
          <w:p>
            <w:pPr>
              <w:pStyle w:val="0"/>
              <w:jc w:val="center"/>
            </w:pPr>
            <w:r>
              <w:rPr>
                <w:sz w:val="20"/>
                <w:color w:val="392c69"/>
              </w:rPr>
              <w:t xml:space="preserve">от 06.07.2018 </w:t>
            </w:r>
            <w:hyperlink w:history="0" r:id="rId36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 от 19.03.2019 </w:t>
            </w:r>
            <w:hyperlink w:history="0" r:id="rId36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143"/>
      </w:tblGrid>
      <w:tr>
        <w:tblPrEx>
          <w:tblBorders>
            <w:insideH w:val="nil"/>
          </w:tblBorders>
        </w:tblPrEx>
        <w:tc>
          <w:tcPr>
            <w:tcW w:w="1928"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36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8"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"Инженерное обустройство площадок комплексной застройки Новосибирской области" государственной программы (далее - подпрограмма)</w:t>
            </w:r>
          </w:p>
        </w:tc>
      </w:tr>
      <w:tr>
        <w:tblPrEx>
          <w:tblBorders>
            <w:insideH w:val="nil"/>
          </w:tblBorders>
        </w:tblPrEx>
        <w:tc>
          <w:tcPr>
            <w:tcW w:w="1928" w:type="dxa"/>
            <w:tcBorders>
              <w:bottom w:val="nil"/>
            </w:tcBorders>
          </w:tcPr>
          <w:p>
            <w:pPr>
              <w:pStyle w:val="0"/>
            </w:pPr>
            <w:r>
              <w:rPr>
                <w:sz w:val="20"/>
              </w:rPr>
              <w:t xml:space="preserve">Разработчики государственной подпрограммы</w:t>
            </w:r>
          </w:p>
        </w:tc>
        <w:tc>
          <w:tcPr>
            <w:tcW w:w="7143" w:type="dxa"/>
            <w:tcBorders>
              <w:bottom w:val="nil"/>
            </w:tcBorders>
          </w:tcPr>
          <w:p>
            <w:pPr>
              <w:pStyle w:val="0"/>
              <w:jc w:val="both"/>
            </w:pPr>
            <w:r>
              <w:rPr>
                <w:sz w:val="20"/>
              </w:rPr>
              <w:t xml:space="preserve">Министерство строительства Новосибирской области (далее - 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36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blPrEx>
          <w:tblBorders>
            <w:insideH w:val="nil"/>
          </w:tblBorders>
        </w:tblPrEx>
        <w:tc>
          <w:tcPr>
            <w:tcW w:w="1928" w:type="dxa"/>
            <w:tcBorders>
              <w:bottom w:val="nil"/>
            </w:tcBorders>
          </w:tcPr>
          <w:p>
            <w:pPr>
              <w:pStyle w:val="0"/>
            </w:pPr>
            <w:r>
              <w:rPr>
                <w:sz w:val="20"/>
              </w:rPr>
              <w:t xml:space="preserve">Государственный заказчик (государственный заказчик-координатор) государственной подпрограммы</w:t>
            </w:r>
          </w:p>
        </w:tc>
        <w:tc>
          <w:tcPr>
            <w:tcW w:w="7143" w:type="dxa"/>
            <w:tcBorders>
              <w:bottom w:val="nil"/>
            </w:tcBorders>
          </w:tcPr>
          <w:p>
            <w:pPr>
              <w:pStyle w:val="0"/>
              <w:jc w:val="both"/>
            </w:pPr>
            <w:r>
              <w:rPr>
                <w:sz w:val="20"/>
              </w:rPr>
              <w:t xml:space="preserve">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36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blPrEx>
          <w:tblBorders>
            <w:insideH w:val="nil"/>
          </w:tblBorders>
        </w:tblPrEx>
        <w:tc>
          <w:tcPr>
            <w:tcW w:w="1928" w:type="dxa"/>
            <w:tcBorders>
              <w:bottom w:val="nil"/>
            </w:tcBorders>
          </w:tcPr>
          <w:p>
            <w:pPr>
              <w:pStyle w:val="0"/>
            </w:pPr>
            <w:r>
              <w:rPr>
                <w:sz w:val="20"/>
              </w:rPr>
              <w:t xml:space="preserve">Руководитель подпрограммы</w:t>
            </w:r>
          </w:p>
        </w:tc>
        <w:tc>
          <w:tcPr>
            <w:tcW w:w="7143" w:type="dxa"/>
            <w:tcBorders>
              <w:bottom w:val="nil"/>
            </w:tcBorders>
          </w:tcPr>
          <w:p>
            <w:pPr>
              <w:pStyle w:val="0"/>
              <w:jc w:val="both"/>
            </w:pPr>
            <w:r>
              <w:rPr>
                <w:sz w:val="20"/>
              </w:rPr>
              <w:t xml:space="preserve">Заместитель Председателя Правительства Новосибирской области - министр строительства Новосибирской области - Боярский С.В.</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370"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tc>
      </w:tr>
      <w:tr>
        <w:tc>
          <w:tcPr>
            <w:tcW w:w="1928" w:type="dxa"/>
          </w:tcPr>
          <w:p>
            <w:pPr>
              <w:pStyle w:val="0"/>
            </w:pPr>
            <w:r>
              <w:rPr>
                <w:sz w:val="20"/>
              </w:rPr>
              <w:t xml:space="preserve">Цели и задачи подпрограммы</w:t>
            </w:r>
          </w:p>
        </w:tc>
        <w:tc>
          <w:tcPr>
            <w:tcW w:w="7143" w:type="dxa"/>
          </w:tcPr>
          <w:p>
            <w:pPr>
              <w:pStyle w:val="0"/>
              <w:jc w:val="both"/>
            </w:pPr>
            <w:r>
              <w:rPr>
                <w:sz w:val="20"/>
              </w:rPr>
              <w:t xml:space="preserve">Цель подпрограммы: содействие в обеспечении земельных участков, определенных под комплексную застройку, инженерной инфраструктурой и сокращение количества "проблемных" объектов.</w:t>
            </w:r>
          </w:p>
          <w:p>
            <w:pPr>
              <w:pStyle w:val="0"/>
              <w:jc w:val="both"/>
            </w:pPr>
            <w:r>
              <w:rPr>
                <w:sz w:val="20"/>
              </w:rPr>
              <w:t xml:space="preserve">Задачи подпрограммы:</w:t>
            </w:r>
          </w:p>
          <w:p>
            <w:pPr>
              <w:pStyle w:val="0"/>
              <w:jc w:val="both"/>
            </w:pPr>
            <w:r>
              <w:rPr>
                <w:sz w:val="20"/>
              </w:rPr>
              <w:t xml:space="preserve">1. Обеспечение инженерной инфраструктурой площадок комплексной застройки.</w:t>
            </w:r>
          </w:p>
          <w:p>
            <w:pPr>
              <w:pStyle w:val="0"/>
              <w:jc w:val="both"/>
            </w:pPr>
            <w:r>
              <w:rPr>
                <w:sz w:val="20"/>
              </w:rPr>
              <w:t xml:space="preserve">2.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r>
      <w:tr>
        <w:tblPrEx>
          <w:tblBorders>
            <w:insideH w:val="nil"/>
          </w:tblBorders>
        </w:tblPrEx>
        <w:tc>
          <w:tcPr>
            <w:tcW w:w="1928"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- 2015 - 2016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371"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tc>
      </w:tr>
      <w:tr>
        <w:tblPrEx>
          <w:tblBorders>
            <w:insideH w:val="nil"/>
          </w:tblBorders>
        </w:tblPrEx>
        <w:tc>
          <w:tcPr>
            <w:tcW w:w="1928" w:type="dxa"/>
            <w:tcBorders>
              <w:bottom w:val="nil"/>
            </w:tcBorders>
          </w:tcPr>
          <w:p>
            <w:pPr>
              <w:pStyle w:val="0"/>
            </w:pPr>
            <w:r>
              <w:rPr>
                <w:sz w:val="20"/>
              </w:rPr>
              <w:t xml:space="preserve">Объемы финансирования подпрограммы (с расшифровкой по источникам и годам финансирования)</w:t>
            </w:r>
          </w:p>
        </w:tc>
        <w:tc>
          <w:tcPr>
            <w:tcW w:w="7143" w:type="dxa"/>
            <w:tcBorders>
              <w:bottom w:val="nil"/>
            </w:tcBorders>
          </w:tcPr>
          <w:p>
            <w:pPr>
              <w:pStyle w:val="0"/>
              <w:jc w:val="both"/>
            </w:pPr>
            <w:r>
              <w:rPr>
                <w:sz w:val="20"/>
              </w:rPr>
              <w:t xml:space="preserve">Прогнозные объемы финансирования подпрограммы на 2015 - 2016 годы составляют 2 509 958,0 тыс. рублей,</w:t>
            </w:r>
          </w:p>
          <w:p>
            <w:pPr>
              <w:pStyle w:val="0"/>
              <w:jc w:val="both"/>
            </w:pPr>
            <w:r>
              <w:rPr>
                <w:sz w:val="20"/>
              </w:rPr>
              <w:t xml:space="preserve">в том числе по годам:</w:t>
            </w:r>
          </w:p>
          <w:p>
            <w:pPr>
              <w:pStyle w:val="0"/>
              <w:jc w:val="both"/>
            </w:pPr>
            <w:r>
              <w:rPr>
                <w:sz w:val="20"/>
              </w:rPr>
              <w:t xml:space="preserve">2015 год - 2 247 772,9 тыс. рублей;</w:t>
            </w:r>
          </w:p>
          <w:p>
            <w:pPr>
              <w:pStyle w:val="0"/>
              <w:jc w:val="both"/>
            </w:pPr>
            <w:r>
              <w:rPr>
                <w:sz w:val="20"/>
              </w:rPr>
              <w:t xml:space="preserve">2016 год - 262 185,1 тыс. рублей;</w:t>
            </w:r>
          </w:p>
          <w:p>
            <w:pPr>
              <w:pStyle w:val="0"/>
              <w:jc w:val="both"/>
            </w:pPr>
            <w:r>
              <w:rPr>
                <w:sz w:val="20"/>
              </w:rPr>
              <w:t xml:space="preserve">по источникам финансирования:</w:t>
            </w:r>
          </w:p>
          <w:p>
            <w:pPr>
              <w:pStyle w:val="0"/>
              <w:jc w:val="both"/>
            </w:pPr>
            <w:r>
              <w:rPr>
                <w:sz w:val="20"/>
              </w:rPr>
              <w:t xml:space="preserve">средства областного бюджета - 546 600,6 тыс. рублей, из них:</w:t>
            </w:r>
          </w:p>
          <w:p>
            <w:pPr>
              <w:pStyle w:val="0"/>
              <w:jc w:val="both"/>
            </w:pPr>
            <w:r>
              <w:rPr>
                <w:sz w:val="20"/>
              </w:rPr>
              <w:t xml:space="preserve">2015 год - 290 106,6 тыс. рублей;</w:t>
            </w:r>
          </w:p>
          <w:p>
            <w:pPr>
              <w:pStyle w:val="0"/>
              <w:jc w:val="both"/>
            </w:pPr>
            <w:r>
              <w:rPr>
                <w:sz w:val="20"/>
              </w:rPr>
              <w:t xml:space="preserve">2016 год - 256 494,0 тыс. рублей;</w:t>
            </w:r>
          </w:p>
          <w:p>
            <w:pPr>
              <w:pStyle w:val="0"/>
              <w:jc w:val="both"/>
            </w:pPr>
            <w:r>
              <w:rPr>
                <w:sz w:val="20"/>
              </w:rPr>
              <w:t xml:space="preserve">средства местных бюджетов - 15 757,4 тыс. рублей, из них:</w:t>
            </w:r>
          </w:p>
          <w:p>
            <w:pPr>
              <w:pStyle w:val="0"/>
              <w:jc w:val="both"/>
            </w:pPr>
            <w:r>
              <w:rPr>
                <w:sz w:val="20"/>
              </w:rPr>
              <w:t xml:space="preserve">2015 год - 10 066,3 тыс. рублей;</w:t>
            </w:r>
          </w:p>
          <w:p>
            <w:pPr>
              <w:pStyle w:val="0"/>
              <w:jc w:val="both"/>
            </w:pPr>
            <w:r>
              <w:rPr>
                <w:sz w:val="20"/>
              </w:rPr>
              <w:t xml:space="preserve">2016 год - 5 691,1 тыс. рублей;</w:t>
            </w:r>
          </w:p>
          <w:p>
            <w:pPr>
              <w:pStyle w:val="0"/>
              <w:jc w:val="both"/>
            </w:pPr>
            <w:r>
              <w:rPr>
                <w:sz w:val="20"/>
              </w:rPr>
              <w:t xml:space="preserve">внебюджетных источников - 1 947 600,0 тыс. рублей, из них:</w:t>
            </w:r>
          </w:p>
          <w:p>
            <w:pPr>
              <w:pStyle w:val="0"/>
              <w:jc w:val="both"/>
            </w:pPr>
            <w:r>
              <w:rPr>
                <w:sz w:val="20"/>
              </w:rPr>
              <w:t xml:space="preserve">2015 год - 1 947 600,0 тыс. рублей;</w:t>
            </w:r>
          </w:p>
          <w:p>
            <w:pPr>
              <w:pStyle w:val="0"/>
              <w:jc w:val="both"/>
            </w:pPr>
            <w:r>
              <w:rPr>
                <w:sz w:val="20"/>
              </w:rPr>
              <w:t xml:space="preserve">2016 год - 0,0 тыс. рублей</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372"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tc>
      </w:tr>
      <w:tr>
        <w:tblPrEx>
          <w:tblBorders>
            <w:insideH w:val="nil"/>
          </w:tblBorders>
        </w:tblPrEx>
        <w:tc>
          <w:tcPr>
            <w:tcW w:w="1928" w:type="dxa"/>
            <w:tcBorders>
              <w:bottom w:val="nil"/>
            </w:tcBorders>
          </w:tcPr>
          <w:p>
            <w:pPr>
              <w:pStyle w:val="0"/>
            </w:pPr>
            <w:r>
              <w:rPr>
                <w:sz w:val="20"/>
              </w:rPr>
              <w:t xml:space="preserve">Основные целевые индикаторы подпрограммы</w:t>
            </w:r>
          </w:p>
        </w:tc>
        <w:tc>
          <w:tcPr>
            <w:tcW w:w="7143" w:type="dxa"/>
            <w:tcBorders>
              <w:bottom w:val="nil"/>
            </w:tcBorders>
          </w:tcPr>
          <w:p>
            <w:pPr>
              <w:pStyle w:val="0"/>
              <w:jc w:val="both"/>
            </w:pPr>
            <w:r>
              <w:rPr>
                <w:sz w:val="20"/>
              </w:rPr>
              <w:t xml:space="preserve">Площадь земельных участков, обеспеченных инженерной инфраструктурой;</w:t>
            </w:r>
          </w:p>
          <w:p>
            <w:pPr>
              <w:pStyle w:val="0"/>
              <w:jc w:val="both"/>
            </w:pPr>
            <w:r>
              <w:rPr>
                <w:sz w:val="20"/>
              </w:rPr>
              <w:t xml:space="preserve">площадь жилья, ввод которого потенциально возможен в границах площадок комплексной застройки, обеспеченных инженерной инфраструктурой;</w:t>
            </w:r>
          </w:p>
          <w:p>
            <w:pPr>
              <w:pStyle w:val="0"/>
              <w:jc w:val="both"/>
            </w:pPr>
            <w:r>
              <w:rPr>
                <w:sz w:val="20"/>
              </w:rPr>
              <w:t xml:space="preserve">количество земельных участков, предоставленных многодетным семьям на бесплатной основе, обеспеченных инженерной инфраструктурой;</w:t>
            </w:r>
          </w:p>
          <w:p>
            <w:pPr>
              <w:pStyle w:val="0"/>
              <w:jc w:val="both"/>
            </w:pPr>
            <w:r>
              <w:rPr>
                <w:sz w:val="20"/>
              </w:rPr>
              <w:t xml:space="preserve">количество "проблемных" объектов, обеспеченных инженерной инфраструктурой и благоустройством придомовой территории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373"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25.05.2015 N 198-п)</w:t>
            </w:r>
          </w:p>
        </w:tc>
      </w:tr>
      <w:tr>
        <w:tblPrEx>
          <w:tblBorders>
            <w:insideH w:val="nil"/>
          </w:tblBorders>
        </w:tblPrEx>
        <w:tc>
          <w:tcPr>
            <w:tcW w:w="1928"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За счет реализации подпрограммы планируется:</w:t>
            </w:r>
          </w:p>
          <w:p>
            <w:pPr>
              <w:pStyle w:val="0"/>
              <w:jc w:val="both"/>
            </w:pPr>
            <w:r>
              <w:rPr>
                <w:sz w:val="20"/>
              </w:rPr>
              <w:t xml:space="preserve">проведение работ по обеспечению инженерной инфраструктурой 109,8 га земельных участков, что составляет 2,78% от общей площади земельных участков комплексной застройки, формируемых муниципальными образованиями, на которых необходимо проведение работ по обеспечению инженерной инфраструктурой;</w:t>
            </w:r>
          </w:p>
          <w:p>
            <w:pPr>
              <w:pStyle w:val="0"/>
              <w:jc w:val="both"/>
            </w:pPr>
            <w:r>
              <w:rPr>
                <w:sz w:val="20"/>
              </w:rPr>
              <w:t xml:space="preserve">обеспечить инженерной инфраструктурой и благоустройством придомовой территории 31 "проблемный" объект - 52,54% от общего количества "проблемных" объектов, по которым требуется обеспечение инженерной инфраструктурой и благоустройство придомовой территории, удовлетворяющих критериям отбора для получения государственной поддержки, что позволит защитить права и законные интересы 874 граждан, пострадавших от действий недобросовестных застройщиков</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374"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tc>
      </w:tr>
    </w:tbl>
    <w:p>
      <w:pPr>
        <w:pStyle w:val="0"/>
        <w:ind w:firstLine="540"/>
        <w:jc w:val="both"/>
      </w:pPr>
      <w:r>
        <w:rPr>
          <w:sz w:val="20"/>
        </w:rPr>
      </w:r>
    </w:p>
    <w:p>
      <w:pPr>
        <w:pStyle w:val="2"/>
        <w:outlineLvl w:val="2"/>
        <w:jc w:val="center"/>
      </w:pPr>
      <w:r>
        <w:rPr>
          <w:sz w:val="20"/>
        </w:rPr>
        <w:t xml:space="preserve">II. Характеристика сферы деятельности подпрограммы</w:t>
      </w:r>
    </w:p>
    <w:p>
      <w:pPr>
        <w:pStyle w:val="0"/>
        <w:ind w:firstLine="540"/>
        <w:jc w:val="both"/>
      </w:pPr>
      <w:r>
        <w:rPr>
          <w:sz w:val="20"/>
        </w:rPr>
      </w:r>
    </w:p>
    <w:p>
      <w:pPr>
        <w:pStyle w:val="0"/>
        <w:ind w:firstLine="540"/>
        <w:jc w:val="both"/>
      </w:pPr>
      <w:r>
        <w:rPr>
          <w:sz w:val="20"/>
        </w:rPr>
        <w:t xml:space="preserve">В Новосибирской области отсутствуют надежные механизмы финансирования и реализации проектов по обеспечению земельных участков инженерной инфраструктурой. Низкое обеспечение площадок, предназначенных под жилищное строительство, значительно ограничивает темпы жилищного строительства. В большинстве случаев, по сложившейся практике, инженерное обустройство строительных площадок осуществляется за счет средств застройщика, который впоследствии безвозмездно передает комплекс инженерных сооружений муниципальному образованию. Затраты, понесенные на инженерное обеспечение объекта капитального строительства, включаются застройщиком в себестоимость такого объекта, от чего происходит удорожание стоимости квадратного метра жилья и, соответственно, снижается доступность жилья для населения. Доля затрат на инженерное обустройство площадок комплексной застройки составляет до 30 - 40% от общей сметной стоимости строительства.</w:t>
      </w:r>
    </w:p>
    <w:p>
      <w:pPr>
        <w:pStyle w:val="0"/>
        <w:jc w:val="both"/>
      </w:pPr>
      <w:r>
        <w:rPr>
          <w:sz w:val="20"/>
        </w:rPr>
        <w:t xml:space="preserve">(в ред. </w:t>
      </w:r>
      <w:hyperlink w:history="0" r:id="rId375"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В основном органы местного самоуправления не имеют комплексных планов развития систем инженерной инфраструктуры, основанных на зафиксированных в документах территориального планирования прогнозах роста потребления соответствующих ресурсов и услуг с учетом прогнозируемых объемов жилищного, промышленного и иных видов строительства, а также средств на инженерную подготовку площадок комплексной застройки.</w:t>
      </w:r>
    </w:p>
    <w:p>
      <w:pPr>
        <w:pStyle w:val="0"/>
        <w:spacing w:before="200" w:line-rule="auto"/>
        <w:ind w:firstLine="540"/>
        <w:jc w:val="both"/>
      </w:pPr>
      <w:r>
        <w:rPr>
          <w:sz w:val="20"/>
        </w:rPr>
        <w:t xml:space="preserve">Предоставление субсидий местным бюджетам на инженерное обустройство площадок комплексной застройки - это тот механизм, использование которого может дать устойчивый импульс для комплексного освоения земельных участков в целях жилищного, в том числе малоэтажного, строительства.</w:t>
      </w:r>
    </w:p>
    <w:p>
      <w:pPr>
        <w:pStyle w:val="0"/>
        <w:spacing w:before="200" w:line-rule="auto"/>
        <w:ind w:firstLine="540"/>
        <w:jc w:val="both"/>
      </w:pPr>
      <w:r>
        <w:rPr>
          <w:sz w:val="20"/>
        </w:rPr>
        <w:t xml:space="preserve">Задача по обеспечению земельных участков, предоставляемых для многодетных семей, инженерной инфраструктурой при поддержке субъектов Российской Федерации и муниципальных образований определена </w:t>
      </w:r>
      <w:hyperlink w:history="0" r:id="rId376" w:tooltip="Указ Президента РФ от 07.05.2012 N 600 &quot;О мерах по обеспечению граждан Российской Федерации доступным и комфортным жильем и повышению качества жилищно-коммунальных услуг&quot; {КонсультантПлюс}">
        <w:r>
          <w:rPr>
            <w:sz w:val="20"/>
            <w:color w:val="0000ff"/>
          </w:rPr>
          <w:t xml:space="preserve">Указом</w:t>
        </w:r>
      </w:hyperlink>
      <w:r>
        <w:rPr>
          <w:sz w:val="20"/>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pPr>
        <w:pStyle w:val="0"/>
        <w:spacing w:before="200" w:line-rule="auto"/>
        <w:ind w:firstLine="540"/>
        <w:jc w:val="both"/>
      </w:pPr>
      <w:r>
        <w:rPr>
          <w:sz w:val="20"/>
        </w:rPr>
        <w:t xml:space="preserve">В целях организации комплексного, в первую очередь малоэтажного, жилищного строительства АО "Агентство развития жилищного строительства Новосибирской области" (далее - АО "АРЖС НСО") на площадке комплексного жилищного строительства в п. Ложок Барышевского сельсовета Новосибирского района по итогам 2015 года осуществлено строительство скважинных водозаборов, газопровода высокого давления, кабельной линии 10 кВ, трансформаторных подстанций, магистральных сетей водоснабжения и канализования, внутриквартальных дорог, тротуаров, наружного освещения. По итогам 2015 года работ выполнено на сумму более 32 млн. рублей.</w:t>
      </w:r>
    </w:p>
    <w:p>
      <w:pPr>
        <w:pStyle w:val="0"/>
        <w:jc w:val="both"/>
      </w:pPr>
      <w:r>
        <w:rPr>
          <w:sz w:val="20"/>
        </w:rPr>
        <w:t xml:space="preserve">(абзац введен </w:t>
      </w:r>
      <w:hyperlink w:history="0" r:id="rId377"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Для решения социальных проблем многодетных семей </w:t>
      </w:r>
      <w:hyperlink w:history="0" r:id="rId378" w:tooltip="Закон Новосибирской области от 14.04.2003 N 108-ОЗ (ред. от 01.07.2015) &quot;Об использовании земель на территории Новосибирской области&quot; (принят постановлением Новосибирского областного Совета депутатов от 27.03.2003 N 108-ОСД) ------------ Утратил силу или отменен {КонсультантПлюс}">
        <w:r>
          <w:rPr>
            <w:sz w:val="20"/>
            <w:color w:val="0000ff"/>
          </w:rPr>
          <w:t xml:space="preserve">Законом</w:t>
        </w:r>
      </w:hyperlink>
      <w:r>
        <w:rPr>
          <w:sz w:val="20"/>
        </w:rPr>
        <w:t xml:space="preserve"> Новосибирской области от 14.04.2003 N 108-ОЗ "Об использовании земель на территории Новосибирской области" предусмотрено бесплатное предоставление земельных участков в собственность граждан, имеющих трех и более детей.</w:t>
      </w:r>
    </w:p>
    <w:p>
      <w:pPr>
        <w:pStyle w:val="0"/>
        <w:spacing w:before="200" w:line-rule="auto"/>
        <w:ind w:firstLine="540"/>
        <w:jc w:val="both"/>
      </w:pPr>
      <w:hyperlink w:history="0" r:id="rId379" w:tooltip="Постановление администрации Новосибирской области от 19.04.2010 N 133-па (ред. от 25.03.2014) &quot;Об утверждении Порядка учета и рассмотрения заявлений о бесплатном предоставлении в собственность граждан земельных участков, находящихся в собственности Новосибирской области&quot; ------------ Утратил силу или отменен {КонсультантПлюс}">
        <w:r>
          <w:rPr>
            <w:sz w:val="20"/>
            <w:color w:val="0000ff"/>
          </w:rPr>
          <w:t xml:space="preserve">Порядок</w:t>
        </w:r>
      </w:hyperlink>
      <w:r>
        <w:rPr>
          <w:sz w:val="20"/>
        </w:rPr>
        <w:t xml:space="preserve"> учета и рассмотрения заявлений о бесплатном предоставлении в собственность граждан земельных участков, находящихся в государственной собственности Новосибирской области, на территории населенных пунктов утвержден постановлением администрации Новосибирской области от 19.04.2010 N 133-па "Об утверждении Порядка учета и рассмотрения заявлений о бесплатном предоставлении в собственность граждан земельных участков, находящихся в собственности Новосибирской области".</w:t>
      </w:r>
    </w:p>
    <w:p>
      <w:pPr>
        <w:pStyle w:val="0"/>
        <w:spacing w:before="200" w:line-rule="auto"/>
        <w:ind w:firstLine="540"/>
        <w:jc w:val="both"/>
      </w:pPr>
      <w:r>
        <w:rPr>
          <w:sz w:val="20"/>
        </w:rPr>
        <w:t xml:space="preserve">Предоставление земельных участков многодетным семьям сдерживается определенными факторами:</w:t>
      </w:r>
    </w:p>
    <w:p>
      <w:pPr>
        <w:pStyle w:val="0"/>
        <w:spacing w:before="200" w:line-rule="auto"/>
        <w:ind w:firstLine="540"/>
        <w:jc w:val="both"/>
      </w:pPr>
      <w:r>
        <w:rPr>
          <w:sz w:val="20"/>
        </w:rPr>
        <w:t xml:space="preserve">отсутствие требуемого объема земельных участков под жилищное строительство, обустроенных инженерной инфраструктурой;</w:t>
      </w:r>
    </w:p>
    <w:p>
      <w:pPr>
        <w:pStyle w:val="0"/>
        <w:spacing w:before="200" w:line-rule="auto"/>
        <w:ind w:firstLine="540"/>
        <w:jc w:val="both"/>
      </w:pPr>
      <w:r>
        <w:rPr>
          <w:sz w:val="20"/>
        </w:rPr>
        <w:t xml:space="preserve">обременительные условия подключения к системам инженерной инфраструктуры;</w:t>
      </w:r>
    </w:p>
    <w:p>
      <w:pPr>
        <w:pStyle w:val="0"/>
        <w:spacing w:before="200" w:line-rule="auto"/>
        <w:ind w:firstLine="540"/>
        <w:jc w:val="both"/>
      </w:pPr>
      <w:r>
        <w:rPr>
          <w:sz w:val="20"/>
        </w:rPr>
        <w:t xml:space="preserve">недостаточный объем средств, выделяемых из бюджетов всех уровней на развитие инженерной инфраструктуры новых земельных участков.</w:t>
      </w:r>
    </w:p>
    <w:p>
      <w:pPr>
        <w:pStyle w:val="0"/>
        <w:spacing w:before="200" w:line-rule="auto"/>
        <w:ind w:firstLine="540"/>
        <w:jc w:val="both"/>
      </w:pPr>
      <w:r>
        <w:rPr>
          <w:sz w:val="20"/>
        </w:rPr>
        <w:t xml:space="preserve">При осуществлении строительства жилого дома для многодетной семьи значительные затраты возникают при подключении жилого дома к инженерной инфраструктуре.</w:t>
      </w:r>
    </w:p>
    <w:p>
      <w:pPr>
        <w:pStyle w:val="0"/>
        <w:spacing w:before="200" w:line-rule="auto"/>
        <w:ind w:firstLine="540"/>
        <w:jc w:val="both"/>
      </w:pPr>
      <w:r>
        <w:rPr>
          <w:sz w:val="20"/>
        </w:rPr>
        <w:t xml:space="preserve">Субсидии бюджетам муниципальных образований Новосибирской области позволяют комплексно обеспечить инженерной инфраструктурой земельные участки, формируемые муниципальными образованиями, и предоставлять многодетным семьям участки, обеспеченные инженерной инфраструктурой.</w:t>
      </w:r>
    </w:p>
    <w:p>
      <w:pPr>
        <w:pStyle w:val="0"/>
        <w:spacing w:before="200" w:line-rule="auto"/>
        <w:ind w:firstLine="540"/>
        <w:jc w:val="both"/>
      </w:pPr>
      <w:r>
        <w:rPr>
          <w:sz w:val="20"/>
        </w:rPr>
        <w:t xml:space="preserve">Правительством Новосибирской области совместно с Федеральным фондом содействия развитию жилищного строительства (далее - Фонд "РЖС") (в настоящее время - Единый институт развития в жилищной сфере) в рамках реализации Федерального </w:t>
      </w:r>
      <w:hyperlink w:history="0" r:id="rId380"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закона</w:t>
        </w:r>
      </w:hyperlink>
      <w:r>
        <w:rPr>
          <w:sz w:val="20"/>
        </w:rPr>
        <w:t xml:space="preserve"> от 24.07.2008 N 161-ФЗ "О содействии развитию жилищного строительства" осуществляется взаимодействие по вовлечению в оборот земельных участков федеральной собственности.</w:t>
      </w:r>
    </w:p>
    <w:p>
      <w:pPr>
        <w:pStyle w:val="0"/>
        <w:jc w:val="both"/>
      </w:pPr>
      <w:r>
        <w:rPr>
          <w:sz w:val="20"/>
        </w:rPr>
        <w:t xml:space="preserve">(в ред. постановлений Правительства Новосибирской области от 15.02.2017 </w:t>
      </w:r>
      <w:hyperlink w:history="0" r:id="rId381"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38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p>
      <w:pPr>
        <w:pStyle w:val="0"/>
        <w:spacing w:before="200" w:line-rule="auto"/>
        <w:ind w:firstLine="540"/>
        <w:jc w:val="both"/>
      </w:pPr>
      <w:r>
        <w:rPr>
          <w:sz w:val="20"/>
        </w:rPr>
        <w:t xml:space="preserve">В целях реализации взаимодействия между Правительством Новосибирской области, областными исполнительными органами государственной власти Новосибирской области и Фондом "РЖС" (в настоящее время - Единый институт развития) подписано соглашение от 30.01.2009 N С-17.</w:t>
      </w:r>
    </w:p>
    <w:p>
      <w:pPr>
        <w:pStyle w:val="0"/>
        <w:jc w:val="both"/>
      </w:pPr>
      <w:r>
        <w:rPr>
          <w:sz w:val="20"/>
        </w:rPr>
        <w:t xml:space="preserve">(в ред. </w:t>
      </w:r>
      <w:hyperlink w:history="0" r:id="rId383"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В рамках взаимодействия с Фондом "РЖС" (в настоящее время - Единый институт развития) рассматриваются вопросы территориального планирования, градостроительного зонирования, планировки территории, вопросы архитектурно-строительного проектирования, а также обустройства территорий посредством строительства объектов инфраструктуры. Данное взаимодействие осуществляется в соответствии с действующим законодательством в пределах компетенции и по согласованию с соответствующими федеральными органами власти.</w:t>
      </w:r>
    </w:p>
    <w:p>
      <w:pPr>
        <w:pStyle w:val="0"/>
        <w:jc w:val="both"/>
      </w:pPr>
      <w:r>
        <w:rPr>
          <w:sz w:val="20"/>
        </w:rPr>
        <w:t xml:space="preserve">(в ред. </w:t>
      </w:r>
      <w:hyperlink w:history="0" r:id="rId384"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В целях реализации вопросов по завершению строительства и ввода в эксплуатацию "проблемных" объектов Минстроем НСО осуществляется постоянная системная работа с обманутыми дольщиками.</w:t>
      </w:r>
    </w:p>
    <w:p>
      <w:pPr>
        <w:pStyle w:val="0"/>
        <w:spacing w:before="200" w:line-rule="auto"/>
        <w:ind w:firstLine="540"/>
        <w:jc w:val="both"/>
      </w:pPr>
      <w:r>
        <w:rPr>
          <w:sz w:val="20"/>
        </w:rPr>
        <w:t xml:space="preserve">Абзацы семнадцатый - восемнадцатый утратили силу. - </w:t>
      </w:r>
      <w:hyperlink w:history="0" r:id="rId385"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Для завершения строительства "проблемных" объектов и снижения финансовой нагрузки на граждан, вложивших денежные средства в их строительство, целесообразно оказание государственной поддержки для подключения данных объектов к инженерным сетям и благоустройства придомовой территории, что позволит решить часть проблем с завершением строительства данных объектов.</w:t>
      </w:r>
    </w:p>
    <w:p>
      <w:pPr>
        <w:pStyle w:val="0"/>
        <w:jc w:val="both"/>
      </w:pPr>
      <w:r>
        <w:rPr>
          <w:sz w:val="20"/>
        </w:rPr>
        <w:t xml:space="preserve">(в ред. </w:t>
      </w:r>
      <w:hyperlink w:history="0" r:id="rId386"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25.05.2015 N 198-п)</w:t>
      </w:r>
    </w:p>
    <w:p>
      <w:pPr>
        <w:pStyle w:val="0"/>
        <w:spacing w:before="200" w:line-rule="auto"/>
        <w:ind w:firstLine="540"/>
        <w:jc w:val="both"/>
      </w:pPr>
      <w:r>
        <w:rPr>
          <w:sz w:val="20"/>
        </w:rPr>
        <w:t xml:space="preserve">Кроме этого, меры по оказанию поддержки гражданам, вложившим денежные средства в строительство "проблемных" объектов, предусмотрены в рамках подпрограмм "</w:t>
      </w:r>
      <w:hyperlink w:history="0" w:anchor="P6436" w:tooltip="Подпрограмма">
        <w:r>
          <w:rPr>
            <w:sz w:val="20"/>
            <w:color w:val="0000ff"/>
          </w:rPr>
          <w:t xml:space="preserve">Государственная поддержка</w:t>
        </w:r>
      </w:hyperlink>
      <w:r>
        <w:rPr>
          <w:sz w:val="20"/>
        </w:rPr>
        <w:t xml:space="preserve"> граждан при приобретении (строительстве) жилья" и "</w:t>
      </w:r>
      <w:hyperlink w:history="0" w:anchor="P7008" w:tooltip="Подпрограмма">
        <w:r>
          <w:rPr>
            <w:sz w:val="20"/>
            <w:color w:val="0000ff"/>
          </w:rPr>
          <w:t xml:space="preserve">Государственная поддержка</w:t>
        </w:r>
      </w:hyperlink>
      <w:r>
        <w:rPr>
          <w:sz w:val="20"/>
        </w:rPr>
        <w:t xml:space="preserve"> отдельных категорий граждан, являющихся нанимателями по договорам коммерческого найма жилых помещений" государственной программы.</w:t>
      </w:r>
    </w:p>
    <w:p>
      <w:pPr>
        <w:pStyle w:val="0"/>
        <w:spacing w:before="200" w:line-rule="auto"/>
        <w:ind w:firstLine="540"/>
        <w:jc w:val="both"/>
      </w:pPr>
      <w:r>
        <w:rPr>
          <w:sz w:val="20"/>
        </w:rPr>
        <w:t xml:space="preserve">В рамках </w:t>
      </w:r>
      <w:hyperlink w:history="0" w:anchor="P6436" w:tooltip="Подпрограмма">
        <w:r>
          <w:rPr>
            <w:sz w:val="20"/>
            <w:color w:val="0000ff"/>
          </w:rPr>
          <w:t xml:space="preserve">подпрограммы</w:t>
        </w:r>
      </w:hyperlink>
      <w:r>
        <w:rPr>
          <w:sz w:val="20"/>
        </w:rPr>
        <w:t xml:space="preserve"> "Государственная поддержка граждан при приобретении (строительстве) жилья" государственной программы осуществляется предоставление субсидий гражданам, пострадавшим от действий недобросовестных застройщиков, в соответствии с </w:t>
      </w:r>
      <w:hyperlink w:history="0" r:id="rId387" w:tooltip="Постановление администрации Новосибирской области от 09.03.2010 N 80-па (ред. от 11.06.2019) &quot;Об оказании государственной поддержки гражданам, пострадавшим от действий недобросовестных застройщиков в Новосибирской области&quot; (вместе с &quot;Положением об условиях и порядке предоставления гражданам, пострадавшим от действий недобросовестных застройщиков, субсидий на оплату дополнительных расходов, необходимых для завершения строительства многоквартирных домов&quot;) {КонсультантПлюс}">
        <w:r>
          <w:rPr>
            <w:sz w:val="20"/>
            <w:color w:val="0000ff"/>
          </w:rPr>
          <w:t xml:space="preserve">постановлением</w:t>
        </w:r>
      </w:hyperlink>
      <w:r>
        <w:rPr>
          <w:sz w:val="20"/>
        </w:rPr>
        <w:t xml:space="preserve"> администрации Новосибирской области от 09.03.2010 N 80-па "Об оказании государственной поддержки гражданам, пострадавшим от действий недобросовестных застройщиков в Новосибирской области".</w:t>
      </w:r>
    </w:p>
    <w:p>
      <w:pPr>
        <w:pStyle w:val="0"/>
        <w:spacing w:before="200" w:line-rule="auto"/>
        <w:ind w:firstLine="540"/>
        <w:jc w:val="both"/>
      </w:pPr>
      <w:r>
        <w:rPr>
          <w:sz w:val="20"/>
        </w:rPr>
        <w:t xml:space="preserve">В рамках </w:t>
      </w:r>
      <w:hyperlink w:history="0" w:anchor="P7008" w:tooltip="Подпрограмма">
        <w:r>
          <w:rPr>
            <w:sz w:val="20"/>
            <w:color w:val="0000ff"/>
          </w:rPr>
          <w:t xml:space="preserve">подпрограммы</w:t>
        </w:r>
      </w:hyperlink>
      <w:r>
        <w:rPr>
          <w:sz w:val="20"/>
        </w:rPr>
        <w:t xml:space="preserve"> "Государственная поддержка отдельных категорий граждан, являющихся нанимателями по договорам коммерческого найма жилых помещений" государственной программы осуществляется предоставление субсидий на компенсацию части расходов по оплате коммерческого найма жилых помещений гражданам, пострадавшим от действий недобросовестных застройщиков, нуждающимся в улучшении жилищных условий, в соответствии с </w:t>
      </w:r>
      <w:hyperlink w:history="0" r:id="rId388" w:tooltip="Постановление Правительства Новосибирской области от 30.07.2012 N 366-п (ред. от 27.12.2016) &quot;О государственной поддержке отдельных категорий граждан, являющихся нанимателями по договорам коммерческого найма жилых помещений&quot; ------------ Утратил силу или отменен {КонсультантПлюс}">
        <w:r>
          <w:rPr>
            <w:sz w:val="20"/>
            <w:color w:val="0000ff"/>
          </w:rPr>
          <w:t xml:space="preserve">постановлением</w:t>
        </w:r>
      </w:hyperlink>
      <w:r>
        <w:rPr>
          <w:sz w:val="20"/>
        </w:rPr>
        <w:t xml:space="preserve"> Правительства Новосибирской области от 30.07.2012 N 366-п "О государственной поддержке отдельных категорий граждан, являющихся нанимателями по договорам коммерческого найма жилых помещений".</w:t>
      </w:r>
    </w:p>
    <w:p>
      <w:pPr>
        <w:pStyle w:val="0"/>
        <w:spacing w:before="200" w:line-rule="auto"/>
        <w:ind w:firstLine="540"/>
        <w:jc w:val="both"/>
      </w:pPr>
      <w:r>
        <w:rPr>
          <w:sz w:val="20"/>
        </w:rPr>
        <w:t xml:space="preserve">Также Минстрой НСО осуществляет оказание содействия в поиске и привлечении строительных компаний для завершения строительства "проблемных" объектов.</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Целью подпрограммы является содействие обеспечению земельных участков, определенных под комплексную застройку, инженерной инфраструктурой и сокращение количества "проблемных" объектов обманутых дольщиков.</w:t>
      </w:r>
    </w:p>
    <w:p>
      <w:pPr>
        <w:pStyle w:val="0"/>
        <w:spacing w:before="200" w:line-rule="auto"/>
        <w:ind w:firstLine="540"/>
        <w:jc w:val="both"/>
      </w:pPr>
      <w:r>
        <w:rPr>
          <w:sz w:val="20"/>
        </w:rPr>
        <w:t xml:space="preserve">Задачи подпрограммы:</w:t>
      </w:r>
    </w:p>
    <w:p>
      <w:pPr>
        <w:pStyle w:val="0"/>
        <w:spacing w:before="200" w:line-rule="auto"/>
        <w:ind w:firstLine="540"/>
        <w:jc w:val="both"/>
      </w:pPr>
      <w:r>
        <w:rPr>
          <w:sz w:val="20"/>
        </w:rPr>
        <w:t xml:space="preserve">1. Обеспечение инженерной инфраструктурой площадок комплексной застройки.</w:t>
      </w:r>
    </w:p>
    <w:p>
      <w:pPr>
        <w:pStyle w:val="0"/>
        <w:spacing w:before="200" w:line-rule="auto"/>
        <w:ind w:firstLine="540"/>
        <w:jc w:val="both"/>
      </w:pPr>
      <w:r>
        <w:rPr>
          <w:sz w:val="20"/>
        </w:rPr>
        <w:t xml:space="preserve">2.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p>
      <w:pPr>
        <w:pStyle w:val="0"/>
        <w:spacing w:before="200" w:line-rule="auto"/>
        <w:ind w:firstLine="540"/>
        <w:jc w:val="both"/>
      </w:pPr>
      <w:r>
        <w:rPr>
          <w:sz w:val="20"/>
        </w:rPr>
        <w:t xml:space="preserve">Основными целевыми индикаторами подпрограммы являются следующие:</w:t>
      </w:r>
    </w:p>
    <w:p>
      <w:pPr>
        <w:pStyle w:val="0"/>
        <w:spacing w:before="200" w:line-rule="auto"/>
        <w:ind w:firstLine="540"/>
        <w:jc w:val="both"/>
      </w:pPr>
      <w:r>
        <w:rPr>
          <w:sz w:val="20"/>
        </w:rPr>
        <w:t xml:space="preserve">1. Площадь земельных участков, обеспеченных инженерной инфраструктурой (нарастающим итогом), га.</w:t>
      </w:r>
    </w:p>
    <w:p>
      <w:pPr>
        <w:pStyle w:val="0"/>
        <w:spacing w:before="200" w:line-rule="auto"/>
        <w:ind w:firstLine="540"/>
        <w:jc w:val="both"/>
      </w:pPr>
      <w:r>
        <w:rPr>
          <w:sz w:val="20"/>
        </w:rPr>
        <w:t xml:space="preserve">2. Площадь жилья, ввод которого потенциально возможен в границах площадок комплексной застройки, обеспеченных инженерной инфраструктурой (нарастающим итогом), кв. м.</w:t>
      </w:r>
    </w:p>
    <w:p>
      <w:pPr>
        <w:pStyle w:val="0"/>
        <w:spacing w:before="200" w:line-rule="auto"/>
        <w:ind w:firstLine="540"/>
        <w:jc w:val="both"/>
      </w:pPr>
      <w:r>
        <w:rPr>
          <w:sz w:val="20"/>
        </w:rPr>
        <w:t xml:space="preserve">3. Количество земельных участков, предоставленных многодетным семьям на бесплатной основе, обеспеченных инженерной инфраструктурой (нарастающим итогом), шт.</w:t>
      </w:r>
    </w:p>
    <w:p>
      <w:pPr>
        <w:pStyle w:val="0"/>
        <w:spacing w:before="200" w:line-rule="auto"/>
        <w:ind w:firstLine="540"/>
        <w:jc w:val="both"/>
      </w:pPr>
      <w:r>
        <w:rPr>
          <w:sz w:val="20"/>
        </w:rPr>
        <w:t xml:space="preserve">4. Количество "проблемных" объектов, обеспеченных инженерной инфраструктурой и благоустройством придомовой территории, шт.</w:t>
      </w:r>
    </w:p>
    <w:p>
      <w:pPr>
        <w:pStyle w:val="0"/>
        <w:jc w:val="both"/>
      </w:pPr>
      <w:r>
        <w:rPr>
          <w:sz w:val="20"/>
        </w:rPr>
        <w:t xml:space="preserve">(в ред. </w:t>
      </w:r>
      <w:hyperlink w:history="0" r:id="rId389"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25.05.2015 N 198-п)</w:t>
      </w:r>
    </w:p>
    <w:p>
      <w:pPr>
        <w:pStyle w:val="0"/>
        <w:spacing w:before="200" w:line-rule="auto"/>
        <w:ind w:firstLine="540"/>
        <w:jc w:val="both"/>
      </w:pPr>
      <w:r>
        <w:rPr>
          <w:sz w:val="20"/>
        </w:rPr>
        <w:t xml:space="preserve">По указанным целевым индикаторам подпрограммы периодичность сбора информации - квартальная, вид временной характеристики - за отчетный период.</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В рамках подпрограммы реализуются следующие мероприятия:</w:t>
      </w:r>
    </w:p>
    <w:p>
      <w:pPr>
        <w:pStyle w:val="0"/>
        <w:spacing w:before="200" w:line-rule="auto"/>
        <w:ind w:firstLine="540"/>
        <w:jc w:val="both"/>
      </w:pPr>
      <w:r>
        <w:rPr>
          <w:sz w:val="20"/>
        </w:rPr>
        <w:t xml:space="preserve">1. Предоставление субсидий бюджетам муниципальных образований Новосибирской области на инженерное обустройство площадок комплексной застройки.</w:t>
      </w:r>
    </w:p>
    <w:p>
      <w:pPr>
        <w:pStyle w:val="0"/>
        <w:spacing w:before="200" w:line-rule="auto"/>
        <w:ind w:firstLine="540"/>
        <w:jc w:val="both"/>
      </w:pPr>
      <w:r>
        <w:rPr>
          <w:sz w:val="20"/>
        </w:rPr>
        <w:t xml:space="preserve">Распределение субсидий по муниципальным образованиям Новосибирской области на строительство объектов инженерной инфраструктуры площадок комплексной застройки осуществляется на конкурсной основе в соответствии с </w:t>
      </w:r>
      <w:hyperlink w:history="0" r:id="rId390" w:tooltip="Постановление Правительства Новосибирской области от 21.06.2011 N 265-п (ред. от 19.06.2018) &quot;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quot; {КонсультантПлюс}">
        <w:r>
          <w:rPr>
            <w:sz w:val="20"/>
            <w:color w:val="0000ff"/>
          </w:rPr>
          <w:t xml:space="preserve">Порядком</w:t>
        </w:r>
      </w:hyperlink>
      <w:r>
        <w:rPr>
          <w:sz w:val="20"/>
        </w:rPr>
        <w:t xml:space="preserve">, установленным постановлением Правительства Новосибирской области от 21.06.2011 N 265-п "Об утверждении Порядка проведения конкурса по отбору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 (далее - Порядок отбора).</w:t>
      </w:r>
    </w:p>
    <w:p>
      <w:pPr>
        <w:pStyle w:val="0"/>
        <w:spacing w:before="200" w:line-rule="auto"/>
        <w:ind w:firstLine="540"/>
        <w:jc w:val="both"/>
      </w:pPr>
      <w:r>
        <w:rPr>
          <w:sz w:val="20"/>
        </w:rPr>
        <w:t xml:space="preserve">Данная форма государственной поддержки позволит комплексно обеспечить инженерной инфраструктурой площадки комплексной застройки, сформированные муниципальными образованиями для жилищного строительства, в том числе для бесплатного предоставления многодетным семьям.</w:t>
      </w:r>
    </w:p>
    <w:p>
      <w:pPr>
        <w:pStyle w:val="0"/>
        <w:spacing w:before="200" w:line-rule="auto"/>
        <w:ind w:firstLine="540"/>
        <w:jc w:val="both"/>
      </w:pPr>
      <w:r>
        <w:rPr>
          <w:sz w:val="20"/>
        </w:rPr>
        <w:t xml:space="preserve">В настоящее время на территории Новосибирской области осуществляется освоение 122 площадок комплексного жилищного строительства, в том числе в рамках комплексной застройки, комплексного освоения в целях жилищного строительства, а также земельных участков, по которым принято решение о развитии застроенных территорий. Сетевой </w:t>
      </w:r>
      <w:hyperlink w:history="0" w:anchor="P7253" w:tooltip="СЕТЕВОЙ ГРАФИК">
        <w:r>
          <w:rPr>
            <w:sz w:val="20"/>
            <w:color w:val="0000ff"/>
          </w:rPr>
          <w:t xml:space="preserve">график</w:t>
        </w:r>
      </w:hyperlink>
      <w:r>
        <w:rPr>
          <w:sz w:val="20"/>
        </w:rPr>
        <w:t xml:space="preserve"> реализации основных мероприятий комплексного освоения земельных участков в целях жилищного строительства в Новосибирской области приведен в приложении N 12 к государственной программе.</w:t>
      </w:r>
    </w:p>
    <w:p>
      <w:pPr>
        <w:pStyle w:val="0"/>
        <w:spacing w:before="200" w:line-rule="auto"/>
        <w:ind w:firstLine="540"/>
        <w:jc w:val="both"/>
      </w:pPr>
      <w:r>
        <w:rPr>
          <w:sz w:val="20"/>
        </w:rPr>
        <w:t xml:space="preserve">В соответствии с </w:t>
      </w:r>
      <w:hyperlink w:history="0" r:id="rId391" w:tooltip="Указ Президента РФ от 07.05.2012 N 600 &quot;О мерах по обеспечению граждан Российской Федерации доступным и комфортным жильем и повышению качества жилищно-коммунальных услуг&quot; {КонсультантПлюс}">
        <w:r>
          <w:rPr>
            <w:sz w:val="20"/>
            <w:color w:val="0000ff"/>
          </w:rPr>
          <w:t xml:space="preserve">Указом</w:t>
        </w:r>
      </w:hyperlink>
      <w:r>
        <w:rPr>
          <w:sz w:val="20"/>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необходимо 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pPr>
        <w:pStyle w:val="0"/>
        <w:spacing w:before="200" w:line-rule="auto"/>
        <w:ind w:firstLine="540"/>
        <w:jc w:val="both"/>
      </w:pPr>
      <w:r>
        <w:rPr>
          <w:sz w:val="20"/>
        </w:rPr>
        <w:t xml:space="preserve">Предоставление земельных участков из земель, находящихся в государственной собственности Новосибирской области, для индивидуального жилищного строительства гражданам, имеющим трех и более детей, осуществляется в соответствии со </w:t>
      </w:r>
      <w:hyperlink w:history="0" r:id="rId392" w:tooltip="&quot;Земельный кодекс Российской Федерации&quot; от 25.10.2001 N 136-ФЗ (ред. от 03.04.2023) {КонсультантПлюс}">
        <w:r>
          <w:rPr>
            <w:sz w:val="20"/>
            <w:color w:val="0000ff"/>
          </w:rPr>
          <w:t xml:space="preserve">статьей 28</w:t>
        </w:r>
      </w:hyperlink>
      <w:r>
        <w:rPr>
          <w:sz w:val="20"/>
        </w:rPr>
        <w:t xml:space="preserve"> Земельного кодекса Российской Федерации, </w:t>
      </w:r>
      <w:hyperlink w:history="0" r:id="rId393" w:tooltip="Закон Новосибирской области от 14.04.2003 N 108-ОЗ (ред. от 01.07.2015) &quot;Об использовании земель на территории Новосибирской области&quot; (принят постановлением Новосибирского областного Совета депутатов от 27.03.2003 N 108-ОСД) ------------ Утратил силу или отменен {КонсультантПлюс}">
        <w:r>
          <w:rPr>
            <w:sz w:val="20"/>
            <w:color w:val="0000ff"/>
          </w:rPr>
          <w:t xml:space="preserve">Законом</w:t>
        </w:r>
      </w:hyperlink>
      <w:r>
        <w:rPr>
          <w:sz w:val="20"/>
        </w:rPr>
        <w:t xml:space="preserve"> Новосибирской области от 14.04.2003 N 108-ОЗ "Об использовании земель на территории Новосибирской области" и </w:t>
      </w:r>
      <w:hyperlink w:history="0" r:id="rId394" w:tooltip="Постановление администрации Новосибирской области от 19.04.2010 N 133-па (ред. от 25.03.2014) &quot;Об утверждении Порядка учета и рассмотрения заявлений о бесплатном предоставлении в собственность граждан земельных участков, находящихся в собственности Новосибирской области&quot; ------------ Утратил силу или отменен {КонсультантПлюс}">
        <w:r>
          <w:rPr>
            <w:sz w:val="20"/>
            <w:color w:val="0000ff"/>
          </w:rPr>
          <w:t xml:space="preserve">постановлением</w:t>
        </w:r>
      </w:hyperlink>
      <w:r>
        <w:rPr>
          <w:sz w:val="20"/>
        </w:rPr>
        <w:t xml:space="preserve"> администрации Новосибирской области от 19.04.2010 N 133-па "Об утверждении Порядка учета и рассмотрения заявлений о бесплатном предоставлении в собственность граждан земельных участков, находящихся в собственности Новосибирской области".</w:t>
      </w:r>
    </w:p>
    <w:p>
      <w:pPr>
        <w:pStyle w:val="0"/>
        <w:spacing w:before="200" w:line-rule="auto"/>
        <w:ind w:firstLine="540"/>
        <w:jc w:val="both"/>
      </w:pPr>
      <w:r>
        <w:rPr>
          <w:sz w:val="20"/>
        </w:rPr>
        <w:t xml:space="preserve">Предоставленные земельные участки на бесплатной основе многодетным семьям должны быть обеспечены инженерно-технической инфраструктурой.</w:t>
      </w:r>
    </w:p>
    <w:p>
      <w:pPr>
        <w:pStyle w:val="0"/>
        <w:spacing w:before="200" w:line-rule="auto"/>
        <w:ind w:firstLine="540"/>
        <w:jc w:val="both"/>
      </w:pPr>
      <w:r>
        <w:rPr>
          <w:sz w:val="20"/>
        </w:rPr>
        <w:t xml:space="preserve">Субсидии бюджетам муниципальных образований Новосибирской области позволят обеспечить инженерной инфраструктурой земельные участки, формируемые муниципальными образованиями, и предоставлять многодетным семьям участки, обеспеченные инженерной инфраструктурой.</w:t>
      </w:r>
    </w:p>
    <w:p>
      <w:pPr>
        <w:pStyle w:val="0"/>
        <w:spacing w:before="200" w:line-rule="auto"/>
        <w:ind w:firstLine="540"/>
        <w:jc w:val="both"/>
      </w:pPr>
      <w:r>
        <w:rPr>
          <w:sz w:val="20"/>
        </w:rPr>
        <w:t xml:space="preserve">В настоящее время объем бюджетного финансирования в инженерную подготовку площадок комплексного жилищного строительства не удовлетворяет потребностям, что в свою очередь сдерживает вовлечение подготовленных площадок в строительный оборот. Вместе с тем строительство инженерной инфраструктуры также осуществляется непосредственно застройщиками, реализующими проекты комплексного освоения территорий, как в рамках выполнения технических мероприятий по присоединению к сетям инженерно-технической инфраструктуры, так и в рамках платы за присоединение через инвестиционные программы организаций коммунального комплекса.</w:t>
      </w:r>
    </w:p>
    <w:p>
      <w:pPr>
        <w:pStyle w:val="0"/>
        <w:spacing w:before="200" w:line-rule="auto"/>
        <w:ind w:firstLine="540"/>
        <w:jc w:val="both"/>
      </w:pPr>
      <w:r>
        <w:rPr>
          <w:sz w:val="20"/>
        </w:rPr>
        <w:t xml:space="preserve">2. Выполнение проектных работ на строительство объектов инженерной инфраструктуры к земельным участкам, находящимся в государственной собственности Новосибирской области, осуществляется в целях организации строительства объектов инженерной инфраструктуры к площадкам комплексной застройки, сформированным из состава земель, находящихся в государственной собственности Новосибирской области.</w:t>
      </w:r>
    </w:p>
    <w:p>
      <w:pPr>
        <w:pStyle w:val="0"/>
        <w:spacing w:before="200" w:line-rule="auto"/>
        <w:ind w:firstLine="540"/>
        <w:jc w:val="both"/>
      </w:pPr>
      <w:r>
        <w:rPr>
          <w:sz w:val="20"/>
        </w:rPr>
        <w:t xml:space="preserve">3. Организация комплексного освоения земельных участков в рамках деятельности АО "АРЖС НСО".</w:t>
      </w:r>
    </w:p>
    <w:p>
      <w:pPr>
        <w:pStyle w:val="0"/>
        <w:jc w:val="both"/>
      </w:pPr>
      <w:r>
        <w:rPr>
          <w:sz w:val="20"/>
        </w:rPr>
        <w:t xml:space="preserve">(в ред. </w:t>
      </w:r>
      <w:hyperlink w:history="0" r:id="rId39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В целях внедрения новых инновационных механизмов стимулирования жилищного строительства в Новосибирской области создано АО "Агентство развития жилищного строительства Новосибирской области" (далее - АО "АРЖС НСО").</w:t>
      </w:r>
    </w:p>
    <w:p>
      <w:pPr>
        <w:pStyle w:val="0"/>
        <w:jc w:val="both"/>
      </w:pPr>
      <w:r>
        <w:rPr>
          <w:sz w:val="20"/>
        </w:rPr>
        <w:t xml:space="preserve">(в ред. </w:t>
      </w:r>
      <w:hyperlink w:history="0" r:id="rId396"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Одна из основных задач АО "АРЖС НСО" - создание условий для обеспечения доступным и комфортным жильем граждан Новосибирской области, в том числе льготных категорий, путем организации комплексного, в первую очередь малоэтажного, жилищного строительства с применением следующих подходов:</w:t>
      </w:r>
    </w:p>
    <w:p>
      <w:pPr>
        <w:pStyle w:val="0"/>
        <w:jc w:val="both"/>
      </w:pPr>
      <w:r>
        <w:rPr>
          <w:sz w:val="20"/>
        </w:rPr>
        <w:t xml:space="preserve">(в ред. </w:t>
      </w:r>
      <w:hyperlink w:history="0" r:id="rId397"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применение плановых подходов развития территории Новосибирской области, в том числе на федеральных земельных участках, для возможности консолидации ресурсов на создание инженерной, транспортной и социальной инфраструктуры в соответствии с утвержденной стратегией развития Новосибирской области;</w:t>
      </w:r>
    </w:p>
    <w:p>
      <w:pPr>
        <w:pStyle w:val="0"/>
        <w:spacing w:before="200" w:line-rule="auto"/>
        <w:ind w:firstLine="540"/>
        <w:jc w:val="both"/>
      </w:pPr>
      <w:r>
        <w:rPr>
          <w:sz w:val="20"/>
        </w:rPr>
        <w:t xml:space="preserve">рациональное развитие всех сегментов рынка жилья с учетом интересов и возможностей всех групп населения и перспективных планов развития территорий Новосибирской области;</w:t>
      </w:r>
    </w:p>
    <w:p>
      <w:pPr>
        <w:pStyle w:val="0"/>
        <w:spacing w:before="200" w:line-rule="auto"/>
        <w:ind w:firstLine="540"/>
        <w:jc w:val="both"/>
      </w:pPr>
      <w:r>
        <w:rPr>
          <w:sz w:val="20"/>
        </w:rPr>
        <w:t xml:space="preserve">консолидация ресурсов и координация усилий основных участников жилищного строительства: органов власти, предприятий, инвесторов и населения;</w:t>
      </w:r>
    </w:p>
    <w:p>
      <w:pPr>
        <w:pStyle w:val="0"/>
        <w:spacing w:before="200" w:line-rule="auto"/>
        <w:ind w:firstLine="540"/>
        <w:jc w:val="both"/>
      </w:pPr>
      <w:r>
        <w:rPr>
          <w:sz w:val="20"/>
        </w:rPr>
        <w:t xml:space="preserve">использование современных организационных, технологических, финансовых механизмов при подготовке и реализации проектов комплексной жилой застройки.</w:t>
      </w:r>
    </w:p>
    <w:p>
      <w:pPr>
        <w:pStyle w:val="0"/>
        <w:spacing w:before="200" w:line-rule="auto"/>
        <w:ind w:firstLine="540"/>
        <w:jc w:val="both"/>
      </w:pPr>
      <w:r>
        <w:rPr>
          <w:sz w:val="20"/>
        </w:rPr>
        <w:t xml:space="preserve">Поэтому в первую очередь необходимо обеспечить предоставление рынку качественно нового продукта, а это комплексно обеспеченные земельные участки, в части:</w:t>
      </w:r>
    </w:p>
    <w:p>
      <w:pPr>
        <w:pStyle w:val="0"/>
        <w:spacing w:before="200" w:line-rule="auto"/>
        <w:ind w:firstLine="540"/>
        <w:jc w:val="both"/>
      </w:pPr>
      <w:r>
        <w:rPr>
          <w:sz w:val="20"/>
        </w:rPr>
        <w:t xml:space="preserve">разработки и утверждения необходимой градостроительной, планировочной и проектной документации;</w:t>
      </w:r>
    </w:p>
    <w:p>
      <w:pPr>
        <w:pStyle w:val="0"/>
        <w:spacing w:before="200" w:line-rule="auto"/>
        <w:ind w:firstLine="540"/>
        <w:jc w:val="both"/>
      </w:pPr>
      <w:r>
        <w:rPr>
          <w:sz w:val="20"/>
        </w:rPr>
        <w:t xml:space="preserve">регулярного мониторинга и резервирования земельных участков перспективного развития Новосибирской области в корреляции с документами территориального планирования;</w:t>
      </w:r>
    </w:p>
    <w:p>
      <w:pPr>
        <w:pStyle w:val="0"/>
        <w:spacing w:before="200" w:line-rule="auto"/>
        <w:ind w:firstLine="540"/>
        <w:jc w:val="both"/>
      </w:pPr>
      <w:r>
        <w:rPr>
          <w:sz w:val="20"/>
        </w:rPr>
        <w:t xml:space="preserve">обеспечения земельных участков всей необходимой магистральной инженерной и транспортной инфраструктурой за счет средств бюджетов различных уровней;</w:t>
      </w:r>
    </w:p>
    <w:p>
      <w:pPr>
        <w:pStyle w:val="0"/>
        <w:spacing w:before="200" w:line-rule="auto"/>
        <w:ind w:firstLine="540"/>
        <w:jc w:val="both"/>
      </w:pPr>
      <w:r>
        <w:rPr>
          <w:sz w:val="20"/>
        </w:rPr>
        <w:t xml:space="preserve">обеспечения в необходимом количестве ввода социальных объектов (детские сады, школы, поликлиники и т.д.) по мере освоения земельного участка;</w:t>
      </w:r>
    </w:p>
    <w:p>
      <w:pPr>
        <w:pStyle w:val="0"/>
        <w:spacing w:before="200" w:line-rule="auto"/>
        <w:ind w:firstLine="540"/>
        <w:jc w:val="both"/>
      </w:pPr>
      <w:r>
        <w:rPr>
          <w:sz w:val="20"/>
        </w:rPr>
        <w:t xml:space="preserve">обеспечения реализации построенных инженерных сооружений сетевым организациям для дальнейшей их эксплуатации и обеспечения коммунальными услугами жителей.</w:t>
      </w:r>
    </w:p>
    <w:p>
      <w:pPr>
        <w:pStyle w:val="0"/>
        <w:spacing w:before="200" w:line-rule="auto"/>
        <w:ind w:firstLine="540"/>
        <w:jc w:val="both"/>
      </w:pPr>
      <w:r>
        <w:rPr>
          <w:sz w:val="20"/>
        </w:rPr>
        <w:t xml:space="preserve">Реализация на строительном рынке уже комплексно обеспеченных земельных участков в необходимом объеме позволит уменьшить стоимость строительства на один квадратный метр возводимого жилья за счет:</w:t>
      </w:r>
    </w:p>
    <w:p>
      <w:pPr>
        <w:pStyle w:val="0"/>
        <w:spacing w:before="200" w:line-rule="auto"/>
        <w:ind w:firstLine="540"/>
        <w:jc w:val="both"/>
      </w:pPr>
      <w:r>
        <w:rPr>
          <w:sz w:val="20"/>
        </w:rPr>
        <w:t xml:space="preserve">снижения расходов по инженерному обеспечению площадок;</w:t>
      </w:r>
    </w:p>
    <w:p>
      <w:pPr>
        <w:pStyle w:val="0"/>
        <w:spacing w:before="200" w:line-rule="auto"/>
        <w:ind w:firstLine="540"/>
        <w:jc w:val="both"/>
      </w:pPr>
      <w:r>
        <w:rPr>
          <w:sz w:val="20"/>
        </w:rPr>
        <w:t xml:space="preserve">сокращения сроков строительства и ввода жилых объектов.</w:t>
      </w:r>
    </w:p>
    <w:p>
      <w:pPr>
        <w:pStyle w:val="0"/>
        <w:spacing w:before="200" w:line-rule="auto"/>
        <w:ind w:firstLine="540"/>
        <w:jc w:val="both"/>
      </w:pPr>
      <w:r>
        <w:rPr>
          <w:sz w:val="20"/>
        </w:rPr>
        <w:t xml:space="preserve">Но при отсутствии достаточного объема предложения как по подготовленным земельным участкам, так и квартирам населению цена реализации жилья за 1 кв. м будет сформирована рынком, а не фактической себестоимостью. Новосибирской области для поддержания конкурентной среды и выполнения поставленных задач по объему ввода жилья необходимо ежегодно предоставлять рынку ориентировочно 200 - 300 га комплексно подготовленных земельных участков.</w:t>
      </w:r>
    </w:p>
    <w:p>
      <w:pPr>
        <w:pStyle w:val="0"/>
        <w:spacing w:before="200" w:line-rule="auto"/>
        <w:ind w:firstLine="540"/>
        <w:jc w:val="both"/>
      </w:pPr>
      <w:r>
        <w:rPr>
          <w:sz w:val="20"/>
        </w:rPr>
        <w:t xml:space="preserve">На сегодняшний день АО "АРЖС НСО" ведет подготовку следующих проектов комплексной жилищной застройки земельных участков, планируемых к реализации в период 2015 - 2020 гг.:</w:t>
      </w:r>
    </w:p>
    <w:p>
      <w:pPr>
        <w:pStyle w:val="0"/>
        <w:jc w:val="both"/>
      </w:pPr>
      <w:r>
        <w:rPr>
          <w:sz w:val="20"/>
        </w:rPr>
        <w:t xml:space="preserve">(в ред. </w:t>
      </w:r>
      <w:hyperlink w:history="0" r:id="rId39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Реализация проекта комплексного жилищного строительства на земельном участке площадью 68,7 га в п. Ложок Барышевского сельсовета Новосибирского района Новосибирской области. Общий объем жилых помещений - 111 тыс. кв. м. Ориентировочное количество жителей - 4000 человек. Общие финансовые затраты составят около 4000,0 млн. рублей, в том числе затраты на инженерное обустройство площадки - 500,0 млн. рублей. Финансирование будет произведено из разных источников, в том числе финансовых средств частных инвесторов.</w:t>
      </w:r>
    </w:p>
    <w:p>
      <w:pPr>
        <w:pStyle w:val="0"/>
        <w:spacing w:before="200" w:line-rule="auto"/>
        <w:ind w:firstLine="540"/>
        <w:jc w:val="both"/>
      </w:pPr>
      <w:r>
        <w:rPr>
          <w:sz w:val="20"/>
        </w:rPr>
        <w:t xml:space="preserve">Реализация проекта комплексного жилищного строительства на земельном участке площадью 60 га в районе ЗАО "Приобское" Новосибирского района Новосибирской области. Общий объем жилых помещений - 140 тыс. кв. м. Ориентировочное количество жителей - 5000 человек. Общие финансовые затраты составят около 5000,0 млн. рублей, в том числе затраты на инженерное обустройство площадки - 700,0 млн. рублей. Финансирование будет произведено из разных источников, в том числе финансовых средств частных инвесторов.</w:t>
      </w:r>
    </w:p>
    <w:p>
      <w:pPr>
        <w:pStyle w:val="0"/>
        <w:spacing w:before="200" w:line-rule="auto"/>
        <w:ind w:firstLine="540"/>
        <w:jc w:val="both"/>
      </w:pPr>
      <w:r>
        <w:rPr>
          <w:sz w:val="20"/>
        </w:rPr>
        <w:t xml:space="preserve">Реализация проекта комплексного жилищного строительства на земельном участке площадью 42 га в п. Садовый Новосибирского района Новосибирской области. Общий объем жилых помещений - 110 тыс. кв. м. Ориентировочное количество жителей - 4000 человек. Общие финансовые затраты составят около 4000,0 млн. рублей, в том числе затраты на инженерное обустройство площадки - 500,0 млн. рублей. Финансирование будет произведено из разных источников, в том числе финансовых средств частных инвесторов.</w:t>
      </w:r>
    </w:p>
    <w:p>
      <w:pPr>
        <w:pStyle w:val="0"/>
        <w:spacing w:before="200" w:line-rule="auto"/>
        <w:ind w:firstLine="540"/>
        <w:jc w:val="both"/>
      </w:pPr>
      <w:r>
        <w:rPr>
          <w:sz w:val="20"/>
        </w:rPr>
        <w:t xml:space="preserve">Реализация проекта комплексного жилищного строительства на земельном участке площадью 12 га в р.п. Кольцово Новосибирского района Новосибирской области. Общий объем жилых помещений - 60 тыс. кв. м. Ориентировочное количество жителей - 3000 человек. Общие финансовые затраты составят около 2200,0 млн. рублей, в том числе затраты на инженерное обустройство площадки - 300,0 млн. рублей. Финансирование будет произведено из разных источников, в том числе финансовых средств частных инвесторов.</w:t>
      </w:r>
    </w:p>
    <w:p>
      <w:pPr>
        <w:pStyle w:val="0"/>
        <w:spacing w:before="200" w:line-rule="auto"/>
        <w:ind w:firstLine="540"/>
        <w:jc w:val="both"/>
      </w:pPr>
      <w:r>
        <w:rPr>
          <w:sz w:val="20"/>
        </w:rPr>
        <w:t xml:space="preserve">Реализация проекта комплексного жилищного строительства на земельном участке площадью 40 га в п. Красномайский Новосибирского района Новосибирской области. Общий объем жилых помещений - 110 тыс. кв. м. Ориентировочное количество жителей - 4000 человек. Общие финансовые затраты составят около 4000,0 млн. рублей, в том числе затраты на инженерное обустройство площадки - 500,0 млн. рублей. Финансирование будет произведено из разных источников, в том числе финансовых средств частных инвесторов.</w:t>
      </w:r>
    </w:p>
    <w:p>
      <w:pPr>
        <w:pStyle w:val="0"/>
        <w:spacing w:before="200" w:line-rule="auto"/>
        <w:ind w:firstLine="540"/>
        <w:jc w:val="both"/>
      </w:pPr>
      <w:r>
        <w:rPr>
          <w:sz w:val="20"/>
        </w:rPr>
        <w:t xml:space="preserve">Также Правительством Новосибирской области совместно с Фондом "РЖС" в рамках реализации Федерального </w:t>
      </w:r>
      <w:hyperlink w:history="0" r:id="rId399"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закона</w:t>
        </w:r>
      </w:hyperlink>
      <w:r>
        <w:rPr>
          <w:sz w:val="20"/>
        </w:rPr>
        <w:t xml:space="preserve"> от 24.07.2008 N 161-ФЗ "О содействии развитию жилищного строительства" осуществляется взаимодействие по вовлечению в строительный оборот земельных участков, находящихся в федеральной собственности, по согласованию с федеральными органами.</w:t>
      </w:r>
    </w:p>
    <w:p>
      <w:pPr>
        <w:pStyle w:val="0"/>
        <w:spacing w:before="200" w:line-rule="auto"/>
        <w:ind w:firstLine="540"/>
        <w:jc w:val="both"/>
      </w:pPr>
      <w:r>
        <w:rPr>
          <w:sz w:val="20"/>
        </w:rPr>
        <w:t xml:space="preserve">Работа с Фондом "РЖС" осуществляется по следующим основным направлениям:</w:t>
      </w:r>
    </w:p>
    <w:p>
      <w:pPr>
        <w:pStyle w:val="0"/>
        <w:spacing w:before="200" w:line-rule="auto"/>
        <w:ind w:firstLine="540"/>
        <w:jc w:val="both"/>
      </w:pPr>
      <w:r>
        <w:rPr>
          <w:sz w:val="20"/>
        </w:rPr>
        <w:t xml:space="preserve">предоставление земельных участков и содействие их комплексному освоению в целях жилищного строительства;</w:t>
      </w:r>
    </w:p>
    <w:p>
      <w:pPr>
        <w:pStyle w:val="0"/>
        <w:spacing w:before="200" w:line-rule="auto"/>
        <w:ind w:firstLine="540"/>
        <w:jc w:val="both"/>
      </w:pPr>
      <w:r>
        <w:rPr>
          <w:sz w:val="20"/>
        </w:rPr>
        <w:t xml:space="preserve">предоставление земельных участков под строительство жилья экономкласса для продажи отдельным категориям граждан;</w:t>
      </w:r>
    </w:p>
    <w:p>
      <w:pPr>
        <w:pStyle w:val="0"/>
        <w:spacing w:before="200" w:line-rule="auto"/>
        <w:ind w:firstLine="540"/>
        <w:jc w:val="both"/>
      </w:pPr>
      <w:r>
        <w:rPr>
          <w:sz w:val="20"/>
        </w:rPr>
        <w:t xml:space="preserve">предоставление участков на безвозмездной основе жилищно-строительным кооперативам.</w:t>
      </w:r>
    </w:p>
    <w:p>
      <w:pPr>
        <w:pStyle w:val="0"/>
        <w:spacing w:before="200" w:line-rule="auto"/>
        <w:ind w:firstLine="540"/>
        <w:jc w:val="both"/>
      </w:pPr>
      <w:r>
        <w:rPr>
          <w:sz w:val="20"/>
        </w:rPr>
        <w:t xml:space="preserve">Фондом "РЖС" на территории Новосибирской области реализуется 14 проектов жилищного строительства. В стадии разработки планировочной документации, проектирования, строительства жилья и ввода объектов в эксплуатацию находится 1400 тыс. кв. м. Доля жилья экономического класса в проектах жилищного строительства составит от 10 до 100%.</w:t>
      </w:r>
    </w:p>
    <w:p>
      <w:pPr>
        <w:pStyle w:val="0"/>
        <w:spacing w:before="200" w:line-rule="auto"/>
        <w:ind w:firstLine="540"/>
        <w:jc w:val="both"/>
      </w:pPr>
      <w:r>
        <w:rPr>
          <w:sz w:val="20"/>
        </w:rPr>
        <w:t xml:space="preserve">4. Предоставление субсидий бюджетам муниципальных образований на покрытие части расходов на оплату по договорам технологического присоединения к сетям электро-, тепло-, водоснабжения и водоотведения, на установку лифтового оборудования, а также на проведение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p>
      <w:pPr>
        <w:pStyle w:val="0"/>
        <w:jc w:val="both"/>
      </w:pPr>
      <w:r>
        <w:rPr>
          <w:sz w:val="20"/>
        </w:rPr>
        <w:t xml:space="preserve">(в ред. </w:t>
      </w:r>
      <w:hyperlink w:history="0" r:id="rId400"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25.05.2015 N 198-п)</w:t>
      </w:r>
    </w:p>
    <w:p>
      <w:pPr>
        <w:pStyle w:val="0"/>
        <w:spacing w:before="200" w:line-rule="auto"/>
        <w:ind w:firstLine="540"/>
        <w:jc w:val="both"/>
      </w:pPr>
      <w:r>
        <w:rPr>
          <w:sz w:val="20"/>
        </w:rPr>
        <w:t xml:space="preserve">Данное мероприятие предусмотрено в целях решения вопросов "проблемных" объектов и снижения финансовой нагрузки на граждан, пострадавших от действий недобросовестных застройщиков в муниципальных образованиях, на территории которых расположены данные объекты.</w:t>
      </w:r>
    </w:p>
    <w:p>
      <w:pPr>
        <w:pStyle w:val="0"/>
        <w:spacing w:before="200" w:line-rule="auto"/>
        <w:ind w:firstLine="540"/>
        <w:jc w:val="both"/>
      </w:pPr>
      <w:r>
        <w:rPr>
          <w:sz w:val="20"/>
        </w:rPr>
        <w:t xml:space="preserve">Субсидии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а также на проведение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(далее - объект жилищного строительства) в эксплуатацию и передаче гражданам жилых помещений, предоставляются бюджетам муниципальных образований, на территории которых расположены объекты жилищного строительства.</w:t>
      </w:r>
    </w:p>
    <w:p>
      <w:pPr>
        <w:pStyle w:val="0"/>
        <w:jc w:val="both"/>
      </w:pPr>
      <w:r>
        <w:rPr>
          <w:sz w:val="20"/>
        </w:rPr>
        <w:t xml:space="preserve">(в ред. </w:t>
      </w:r>
      <w:hyperlink w:history="0" r:id="rId401"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25.05.2015 N 198-п)</w:t>
      </w:r>
    </w:p>
    <w:p>
      <w:pPr>
        <w:pStyle w:val="0"/>
        <w:spacing w:before="200" w:line-rule="auto"/>
        <w:ind w:firstLine="540"/>
        <w:jc w:val="both"/>
      </w:pPr>
      <w:r>
        <w:rPr>
          <w:sz w:val="20"/>
        </w:rPr>
        <w:t xml:space="preserve">Субсидия предоставляется на софинансирование расходных обязательств муниципальных образований Новосибирской области, связанных с реализацией муниципальных актов, предусматривающих предоставление средств из местных бюджетов юридическим лицам для покрытия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w:t>
      </w:r>
    </w:p>
    <w:p>
      <w:pPr>
        <w:pStyle w:val="0"/>
        <w:jc w:val="both"/>
      </w:pPr>
      <w:r>
        <w:rPr>
          <w:sz w:val="20"/>
        </w:rPr>
        <w:t xml:space="preserve">(в ред. </w:t>
      </w:r>
      <w:hyperlink w:history="0" r:id="rId402"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25.05.2015 N 198-п)</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jc w:val="center"/>
      </w:pPr>
      <w:r>
        <w:rPr>
          <w:sz w:val="20"/>
        </w:rPr>
        <w:t xml:space="preserve">(в ред. </w:t>
      </w:r>
      <w:hyperlink w:history="0" r:id="rId40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06.07.2018 N 287-п)</w:t>
      </w:r>
    </w:p>
    <w:p>
      <w:pPr>
        <w:pStyle w:val="0"/>
        <w:jc w:val="center"/>
      </w:pPr>
      <w:r>
        <w:rPr>
          <w:sz w:val="20"/>
        </w:rPr>
        <w:t xml:space="preserve">(в ред. </w:t>
      </w:r>
      <w:hyperlink w:history="0" r:id="rId404"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15.02.2017 N 44-п)</w:t>
      </w:r>
    </w:p>
    <w:p>
      <w:pPr>
        <w:pStyle w:val="0"/>
        <w:ind w:firstLine="540"/>
        <w:jc w:val="both"/>
      </w:pPr>
      <w:r>
        <w:rPr>
          <w:sz w:val="20"/>
        </w:rPr>
      </w:r>
    </w:p>
    <w:p>
      <w:pPr>
        <w:pStyle w:val="0"/>
        <w:ind w:firstLine="540"/>
        <w:jc w:val="both"/>
      </w:pPr>
      <w:r>
        <w:rPr>
          <w:sz w:val="20"/>
        </w:rPr>
        <w:t xml:space="preserve">За счет реализации подпрограммы планируется достичь следующих результатов:</w:t>
      </w:r>
    </w:p>
    <w:p>
      <w:pPr>
        <w:pStyle w:val="0"/>
        <w:spacing w:before="200" w:line-rule="auto"/>
        <w:ind w:firstLine="540"/>
        <w:jc w:val="both"/>
      </w:pPr>
      <w:r>
        <w:rPr>
          <w:sz w:val="20"/>
        </w:rPr>
        <w:t xml:space="preserve">провести работы по обеспечению инженерной инфраструктурой 109,8 га земельных участков, что составляет 2,78% от общей площади земельных участков комплексной застройки, формируемых муниципальными образованиями, на которых необходимо проведение работ по обеспечению инженерной инфраструктурой;</w:t>
      </w:r>
    </w:p>
    <w:p>
      <w:pPr>
        <w:pStyle w:val="0"/>
        <w:spacing w:before="200" w:line-rule="auto"/>
        <w:ind w:firstLine="540"/>
        <w:jc w:val="both"/>
      </w:pPr>
      <w:r>
        <w:rPr>
          <w:sz w:val="20"/>
        </w:rPr>
        <w:t xml:space="preserve">обеспечить инженерной инфраструктурой и благоустройством придомовой территории 31 "проблемный" объект - 52,54% от общего количества "проблемных" объектов, по которым требуется обеспечение инженерной инфраструктурой и благоустройство придомовой территории, удовлетворяющих критериям отбора для получения государственной поддержки, что позволит защитить права и законные интересы 874 граждан, пострадавших от действий недобросовестных застройщиков.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6143" w:name="P6143"/>
    <w:bookmarkEnd w:id="6143"/>
    <w:p>
      <w:pPr>
        <w:pStyle w:val="2"/>
        <w:jc w:val="center"/>
      </w:pPr>
      <w:r>
        <w:rPr>
          <w:sz w:val="20"/>
        </w:rPr>
        <w:t xml:space="preserve">Подпрограмма</w:t>
      </w:r>
    </w:p>
    <w:p>
      <w:pPr>
        <w:pStyle w:val="2"/>
        <w:jc w:val="center"/>
      </w:pPr>
      <w:r>
        <w:rPr>
          <w:sz w:val="20"/>
        </w:rPr>
        <w:t xml:space="preserve">"Земельные ресурсы и инфраструктура" государственной</w:t>
      </w:r>
    </w:p>
    <w:p>
      <w:pPr>
        <w:pStyle w:val="2"/>
        <w:jc w:val="center"/>
      </w:pPr>
      <w:r>
        <w:rPr>
          <w:sz w:val="20"/>
        </w:rPr>
        <w:t xml:space="preserve">программы Новосибирской области "Стимулирование</w:t>
      </w:r>
    </w:p>
    <w:p>
      <w:pPr>
        <w:pStyle w:val="2"/>
        <w:jc w:val="center"/>
      </w:pPr>
      <w:r>
        <w:rPr>
          <w:sz w:val="20"/>
        </w:rPr>
        <w:t xml:space="preserve">развития жилищного 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405"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15.02.2017 N 44-п;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23.10.2017 </w:t>
            </w:r>
            <w:hyperlink w:history="0" r:id="rId406"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color w:val="392c69"/>
              </w:rPr>
              <w:t xml:space="preserve">, от 27.12.2017 </w:t>
            </w:r>
            <w:hyperlink w:history="0" r:id="rId407" w:tooltip="Постановление Правительства Новосибирской области от 27.12.2017 N 474-п &quot;О внесении изменений в постановление Правительства Новосибирской области от 20.02.2015 N 68-п&quot; {КонсультантПлюс}">
              <w:r>
                <w:rPr>
                  <w:sz w:val="20"/>
                  <w:color w:val="0000ff"/>
                </w:rPr>
                <w:t xml:space="preserve">N 474-п</w:t>
              </w:r>
            </w:hyperlink>
            <w:r>
              <w:rPr>
                <w:sz w:val="20"/>
                <w:color w:val="392c69"/>
              </w:rPr>
              <w:t xml:space="preserve">, от 06.07.2018 </w:t>
            </w:r>
            <w:hyperlink w:history="0" r:id="rId40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w:t>
            </w:r>
          </w:p>
          <w:p>
            <w:pPr>
              <w:pStyle w:val="0"/>
              <w:jc w:val="center"/>
            </w:pPr>
            <w:r>
              <w:rPr>
                <w:sz w:val="20"/>
                <w:color w:val="392c69"/>
              </w:rPr>
              <w:t xml:space="preserve">от 19.11.2018 </w:t>
            </w:r>
            <w:hyperlink w:history="0" r:id="rId409"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 от 05.02.2019 </w:t>
            </w:r>
            <w:hyperlink w:history="0" r:id="rId410"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color w:val="392c69"/>
              </w:rPr>
              <w:t xml:space="preserve">, от 19.03.2019 </w:t>
            </w:r>
            <w:hyperlink w:history="0" r:id="rId41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w:t>
            </w:r>
          </w:p>
          <w:p>
            <w:pPr>
              <w:pStyle w:val="0"/>
              <w:jc w:val="center"/>
            </w:pPr>
            <w:r>
              <w:rPr>
                <w:sz w:val="20"/>
                <w:color w:val="392c69"/>
              </w:rPr>
              <w:t xml:space="preserve">от 28.10.2019 </w:t>
            </w:r>
            <w:hyperlink w:history="0" r:id="rId412"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color w:val="392c69"/>
              </w:rPr>
              <w:t xml:space="preserve">, от 02.06.2020 </w:t>
            </w:r>
            <w:hyperlink w:history="0" r:id="rId413"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 от 29.09.2020 </w:t>
            </w:r>
            <w:hyperlink w:history="0" r:id="rId414"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color w:val="392c69"/>
              </w:rPr>
              <w:t xml:space="preserve">,</w:t>
            </w:r>
          </w:p>
          <w:p>
            <w:pPr>
              <w:pStyle w:val="0"/>
              <w:jc w:val="center"/>
            </w:pPr>
            <w:r>
              <w:rPr>
                <w:sz w:val="20"/>
                <w:color w:val="392c69"/>
              </w:rPr>
              <w:t xml:space="preserve">от 10.11.2020 </w:t>
            </w:r>
            <w:hyperlink w:history="0" r:id="rId415"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N 466-п</w:t>
              </w:r>
            </w:hyperlink>
            <w:r>
              <w:rPr>
                <w:sz w:val="20"/>
                <w:color w:val="392c69"/>
              </w:rPr>
              <w:t xml:space="preserve">, от 25.03.2021 </w:t>
            </w:r>
            <w:hyperlink w:history="0" r:id="rId416"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color w:val="392c69"/>
              </w:rPr>
              <w:t xml:space="preserve">, от 15.03.2022 </w:t>
            </w:r>
            <w:hyperlink w:history="0" r:id="rId417"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w:t>
            </w:r>
          </w:p>
          <w:p>
            <w:pPr>
              <w:pStyle w:val="0"/>
              <w:jc w:val="center"/>
            </w:pPr>
            <w:r>
              <w:rPr>
                <w:sz w:val="20"/>
                <w:color w:val="392c69"/>
              </w:rPr>
              <w:t xml:space="preserve">от 29.12.2022 </w:t>
            </w:r>
            <w:hyperlink w:history="0" r:id="rId418"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color w:val="392c69"/>
              </w:rPr>
              <w:t xml:space="preserve">, от 21.03.2023 </w:t>
            </w:r>
            <w:hyperlink w:history="0" r:id="rId419"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N 100-п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143"/>
      </w:tblGrid>
      <w:tr>
        <w:tblPrEx>
          <w:tblBorders>
            <w:insideH w:val="nil"/>
          </w:tblBorders>
        </w:tblPrEx>
        <w:tc>
          <w:tcPr>
            <w:tcW w:w="1928"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42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8"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"Земельные ресурсы и инфраструктура" государственной программы (далее - подпрограмма)</w:t>
            </w:r>
          </w:p>
        </w:tc>
      </w:tr>
      <w:tr>
        <w:tblPrEx>
          <w:tblBorders>
            <w:insideH w:val="nil"/>
          </w:tblBorders>
        </w:tblPrEx>
        <w:tc>
          <w:tcPr>
            <w:tcW w:w="1928" w:type="dxa"/>
            <w:tcBorders>
              <w:bottom w:val="nil"/>
            </w:tcBorders>
          </w:tcPr>
          <w:p>
            <w:pPr>
              <w:pStyle w:val="0"/>
            </w:pPr>
            <w:r>
              <w:rPr>
                <w:sz w:val="20"/>
              </w:rPr>
              <w:t xml:space="preserve">Разработчики подпрограммы</w:t>
            </w:r>
          </w:p>
        </w:tc>
        <w:tc>
          <w:tcPr>
            <w:tcW w:w="7143" w:type="dxa"/>
            <w:tcBorders>
              <w:bottom w:val="nil"/>
            </w:tcBorders>
          </w:tcPr>
          <w:p>
            <w:pPr>
              <w:pStyle w:val="0"/>
              <w:jc w:val="both"/>
            </w:pPr>
            <w:r>
              <w:rPr>
                <w:sz w:val="20"/>
              </w:rPr>
              <w:t xml:space="preserve">Министерство строительства Новосибирской области (далее - 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421"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422"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Государственный заказчик (государственный заказчик-координатор) подпрограммы</w:t>
            </w:r>
          </w:p>
        </w:tc>
        <w:tc>
          <w:tcPr>
            <w:tcW w:w="7143" w:type="dxa"/>
            <w:tcBorders>
              <w:bottom w:val="nil"/>
            </w:tcBorders>
          </w:tcPr>
          <w:p>
            <w:pPr>
              <w:pStyle w:val="0"/>
              <w:jc w:val="both"/>
            </w:pPr>
            <w:r>
              <w:rPr>
                <w:sz w:val="20"/>
              </w:rPr>
              <w:t xml:space="preserve">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42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424"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Руководитель</w:t>
            </w:r>
          </w:p>
          <w:p>
            <w:pPr>
              <w:pStyle w:val="0"/>
              <w:jc w:val="both"/>
            </w:pPr>
            <w:r>
              <w:rPr>
                <w:sz w:val="20"/>
              </w:rPr>
              <w:t xml:space="preserve">подпрограммы</w:t>
            </w:r>
          </w:p>
        </w:tc>
        <w:tc>
          <w:tcPr>
            <w:tcW w:w="7143" w:type="dxa"/>
            <w:tcBorders>
              <w:bottom w:val="nil"/>
            </w:tcBorders>
          </w:tcPr>
          <w:p>
            <w:pPr>
              <w:pStyle w:val="0"/>
              <w:jc w:val="both"/>
            </w:pPr>
            <w:r>
              <w:rPr>
                <w:sz w:val="20"/>
              </w:rPr>
              <w:t xml:space="preserve">Министр строительства Новосибирской области - Колмаков А.В.</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42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426"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15.03.2022 </w:t>
            </w:r>
            <w:hyperlink w:history="0" r:id="rId427"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 от 29.12.2022 </w:t>
            </w:r>
            <w:hyperlink w:history="0" r:id="rId428"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Цели и задачи подпрограммы</w:t>
            </w:r>
          </w:p>
        </w:tc>
        <w:tc>
          <w:tcPr>
            <w:tcW w:w="7143" w:type="dxa"/>
            <w:tcBorders>
              <w:bottom w:val="nil"/>
            </w:tcBorders>
          </w:tcPr>
          <w:p>
            <w:pPr>
              <w:pStyle w:val="0"/>
              <w:jc w:val="both"/>
            </w:pPr>
            <w:r>
              <w:rPr>
                <w:sz w:val="20"/>
              </w:rPr>
              <w:t xml:space="preserve">Цель подпрограммы: содействие эффективному использованию земельных участков под жилищное строительство.</w:t>
            </w:r>
          </w:p>
          <w:p>
            <w:pPr>
              <w:pStyle w:val="0"/>
              <w:jc w:val="both"/>
            </w:pPr>
            <w:r>
              <w:rPr>
                <w:sz w:val="20"/>
              </w:rPr>
              <w:t xml:space="preserve">Задачи подпрограммы:</w:t>
            </w:r>
          </w:p>
          <w:p>
            <w:pPr>
              <w:pStyle w:val="0"/>
              <w:jc w:val="both"/>
            </w:pPr>
            <w:r>
              <w:rPr>
                <w:sz w:val="20"/>
              </w:rPr>
              <w:t xml:space="preserve">1. Обеспечение инженерной инфраструктурой площадок комплексной застройки.</w:t>
            </w:r>
          </w:p>
          <w:p>
            <w:pPr>
              <w:pStyle w:val="0"/>
              <w:jc w:val="both"/>
            </w:pPr>
            <w:r>
              <w:rPr>
                <w:sz w:val="20"/>
              </w:rPr>
              <w:t xml:space="preserve">2.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p>
            <w:pPr>
              <w:pStyle w:val="0"/>
              <w:jc w:val="both"/>
            </w:pPr>
            <w:r>
              <w:rPr>
                <w:sz w:val="20"/>
              </w:rPr>
              <w:t xml:space="preserve">3. Создание условий для вовлечения в жилищное строительство земельных участков, находящихся в федеральной собственности, не используемых по назначению и пригодных для жилищного строительства.</w:t>
            </w:r>
          </w:p>
          <w:p>
            <w:pPr>
              <w:pStyle w:val="0"/>
              <w:jc w:val="both"/>
            </w:pPr>
            <w:r>
              <w:rPr>
                <w:sz w:val="20"/>
              </w:rPr>
              <w:t xml:space="preserve">4. Создание условий для вовлечения в жилищное строительство земельных участков, находящихся в частной собственности.</w:t>
            </w:r>
          </w:p>
          <w:p>
            <w:pPr>
              <w:pStyle w:val="0"/>
              <w:jc w:val="both"/>
            </w:pPr>
            <w:r>
              <w:rPr>
                <w:sz w:val="20"/>
              </w:rPr>
              <w:t xml:space="preserve">5. Стимулирование программ развития на площадках комплексной застройки в рамках федерального проекта "Жилье" государственной </w:t>
            </w:r>
            <w:hyperlink w:history="0" r:id="rId429"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19.11.2018 </w:t>
            </w:r>
            <w:hyperlink w:history="0" r:id="rId430"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05.02.2019 </w:t>
            </w:r>
            <w:hyperlink w:history="0" r:id="rId431"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43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- 2017 - 2025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19.03.2019 </w:t>
            </w:r>
            <w:hyperlink w:history="0" r:id="rId43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434"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29.12.2022 </w:t>
            </w:r>
            <w:hyperlink w:history="0" r:id="rId435"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Объемы финансирования подпрограммы</w:t>
            </w:r>
          </w:p>
        </w:tc>
        <w:tc>
          <w:tcPr>
            <w:tcW w:w="7143" w:type="dxa"/>
            <w:tcBorders>
              <w:bottom w:val="nil"/>
            </w:tcBorders>
          </w:tcPr>
          <w:p>
            <w:pPr>
              <w:pStyle w:val="0"/>
            </w:pPr>
            <w:r>
              <w:rPr>
                <w:sz w:val="20"/>
              </w:rPr>
              <w:t xml:space="preserve">Общий объем ассигнований на реализацию подпрограммы составляет 12 394 776,6 тыс. руб.,</w:t>
            </w:r>
          </w:p>
          <w:p>
            <w:pPr>
              <w:pStyle w:val="0"/>
            </w:pPr>
            <w:r>
              <w:rPr>
                <w:sz w:val="20"/>
              </w:rPr>
              <w:t xml:space="preserve">в том числе по годам:</w:t>
            </w:r>
          </w:p>
          <w:p>
            <w:pPr>
              <w:pStyle w:val="0"/>
            </w:pPr>
            <w:r>
              <w:rPr>
                <w:sz w:val="20"/>
              </w:rPr>
              <w:t xml:space="preserve">2017 год - 123 035,4 тыс. руб.;</w:t>
            </w:r>
          </w:p>
          <w:p>
            <w:pPr>
              <w:pStyle w:val="0"/>
            </w:pPr>
            <w:r>
              <w:rPr>
                <w:sz w:val="20"/>
              </w:rPr>
              <w:t xml:space="preserve">2018 год - 38 486,8 тыс. руб.;</w:t>
            </w:r>
          </w:p>
          <w:p>
            <w:pPr>
              <w:pStyle w:val="0"/>
            </w:pPr>
            <w:r>
              <w:rPr>
                <w:sz w:val="20"/>
              </w:rPr>
              <w:t xml:space="preserve">2019 год - 139 729,8 тыс. руб.;</w:t>
            </w:r>
          </w:p>
          <w:p>
            <w:pPr>
              <w:pStyle w:val="0"/>
            </w:pPr>
            <w:r>
              <w:rPr>
                <w:sz w:val="20"/>
              </w:rPr>
              <w:t xml:space="preserve">2020 год - 0,0 тыс. руб.;</w:t>
            </w:r>
          </w:p>
          <w:p>
            <w:pPr>
              <w:pStyle w:val="0"/>
            </w:pPr>
            <w:r>
              <w:rPr>
                <w:sz w:val="20"/>
              </w:rPr>
              <w:t xml:space="preserve">2021 год - 0,0 тыс. руб.;</w:t>
            </w:r>
          </w:p>
          <w:p>
            <w:pPr>
              <w:pStyle w:val="0"/>
            </w:pPr>
            <w:r>
              <w:rPr>
                <w:sz w:val="20"/>
              </w:rPr>
              <w:t xml:space="preserve">2022 год - 2 870 106,1 тыс. руб.;</w:t>
            </w:r>
          </w:p>
          <w:p>
            <w:pPr>
              <w:pStyle w:val="0"/>
            </w:pPr>
            <w:r>
              <w:rPr>
                <w:sz w:val="20"/>
              </w:rPr>
              <w:t xml:space="preserve">2023 год - 3 615 667,7 тыс. руб.;</w:t>
            </w:r>
          </w:p>
          <w:p>
            <w:pPr>
              <w:pStyle w:val="0"/>
            </w:pPr>
            <w:r>
              <w:rPr>
                <w:sz w:val="20"/>
              </w:rPr>
              <w:t xml:space="preserve">2024 год - 5 605 750,8 тыс. руб.;</w:t>
            </w:r>
          </w:p>
          <w:p>
            <w:pPr>
              <w:pStyle w:val="0"/>
            </w:pPr>
            <w:r>
              <w:rPr>
                <w:sz w:val="20"/>
              </w:rPr>
              <w:t xml:space="preserve">2025 год - 0,0 тыс. руб.</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436"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tc>
      </w:tr>
      <w:tr>
        <w:tblPrEx>
          <w:tblBorders>
            <w:insideH w:val="nil"/>
          </w:tblBorders>
        </w:tblPrEx>
        <w:tc>
          <w:tcPr>
            <w:tcW w:w="1928" w:type="dxa"/>
            <w:tcBorders>
              <w:bottom w:val="nil"/>
            </w:tcBorders>
          </w:tcPr>
          <w:p>
            <w:pPr>
              <w:pStyle w:val="0"/>
            </w:pPr>
            <w:r>
              <w:rPr>
                <w:sz w:val="20"/>
              </w:rPr>
              <w:t xml:space="preserve">Основные целевые индикаторы подпрограммы</w:t>
            </w:r>
          </w:p>
        </w:tc>
        <w:tc>
          <w:tcPr>
            <w:tcW w:w="7143" w:type="dxa"/>
            <w:tcBorders>
              <w:bottom w:val="nil"/>
            </w:tcBorders>
          </w:tcPr>
          <w:p>
            <w:pPr>
              <w:pStyle w:val="0"/>
              <w:jc w:val="both"/>
            </w:pPr>
            <w:r>
              <w:rPr>
                <w:sz w:val="20"/>
              </w:rPr>
              <w:t xml:space="preserve">Площадь земельных участков, по которым выполнены мероприятия по обеспечению инженерной инфраструктурой;</w:t>
            </w:r>
          </w:p>
          <w:p>
            <w:pPr>
              <w:pStyle w:val="0"/>
              <w:jc w:val="both"/>
            </w:pPr>
            <w:r>
              <w:rPr>
                <w:sz w:val="20"/>
              </w:rPr>
              <w:t xml:space="preserve">площадь жилья, ввод которого потенциально возможен в границах площадок комплексной застройки, по которым выполнены мероприятия по обеспечению инженерной инфраструктурой;</w:t>
            </w:r>
          </w:p>
          <w:p>
            <w:pPr>
              <w:pStyle w:val="0"/>
              <w:jc w:val="both"/>
            </w:pPr>
            <w:r>
              <w:rPr>
                <w:sz w:val="20"/>
              </w:rPr>
              <w:t xml:space="preserve">количество земельных участков, зарезервированных для предоставления многодетным семьям на бесплатной основе, по которым выполнены мероприятия по обеспечению инженерной инфраструктурой;</w:t>
            </w:r>
          </w:p>
          <w:p>
            <w:pPr>
              <w:pStyle w:val="0"/>
              <w:jc w:val="both"/>
            </w:pPr>
            <w:r>
              <w:rPr>
                <w:sz w:val="20"/>
              </w:rPr>
              <w:t xml:space="preserve">количество объектов инженерной и транспортной инфраструктуры, необходимых для обеспечения земельных участков для комплексного жилищного строительства;</w:t>
            </w:r>
          </w:p>
          <w:p>
            <w:pPr>
              <w:pStyle w:val="0"/>
              <w:jc w:val="both"/>
            </w:pPr>
            <w:r>
              <w:rPr>
                <w:sz w:val="20"/>
              </w:rPr>
              <w:t xml:space="preserve">количество "проблемных" объектов, по которым выполнены мероприятия по обеспечению инженерной инфраструктурой и благоустройством придомовой территории;</w:t>
            </w:r>
          </w:p>
          <w:p>
            <w:pPr>
              <w:pStyle w:val="0"/>
              <w:jc w:val="both"/>
            </w:pPr>
            <w:r>
              <w:rPr>
                <w:sz w:val="20"/>
              </w:rPr>
              <w:t xml:space="preserve">площадь земельных участков, в отношении которых сформирован перечень земельных участков, находящихся в федеральной собственности, не используемых по назначению и пригодных для жилищного строительства;</w:t>
            </w:r>
          </w:p>
          <w:p>
            <w:pPr>
              <w:pStyle w:val="0"/>
              <w:jc w:val="both"/>
            </w:pPr>
            <w:r>
              <w:rPr>
                <w:sz w:val="20"/>
              </w:rPr>
              <w:t xml:space="preserve">площадь земельных участков, находящихся в частной собственности, в отношении которых приняты решения о комплексном устойчивом развитии территорий;</w:t>
            </w:r>
          </w:p>
          <w:p>
            <w:pPr>
              <w:pStyle w:val="0"/>
              <w:jc w:val="both"/>
            </w:pPr>
            <w:r>
              <w:rPr>
                <w:sz w:val="20"/>
              </w:rPr>
              <w:t xml:space="preserve">ввод жилья на площадках комплексной застройки в рамках федерального проекта "Жилье", тыс. кв. м.</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23.10.2017 </w:t>
            </w:r>
            <w:hyperlink w:history="0" r:id="rId437"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rPr>
              <w:t xml:space="preserve">, от 27.12.2017 </w:t>
            </w:r>
            <w:hyperlink w:history="0" r:id="rId438" w:tooltip="Постановление Правительства Новосибирской области от 27.12.2017 N 474-п &quot;О внесении изменений в постановление Правительства Новосибирской области от 20.02.2015 N 68-п&quot; {КонсультантПлюс}">
              <w:r>
                <w:rPr>
                  <w:sz w:val="20"/>
                  <w:color w:val="0000ff"/>
                </w:rPr>
                <w:t xml:space="preserve">N 474-п</w:t>
              </w:r>
            </w:hyperlink>
            <w:r>
              <w:rPr>
                <w:sz w:val="20"/>
              </w:rPr>
              <w:t xml:space="preserve">, от 19.11.2018 </w:t>
            </w:r>
            <w:hyperlink w:history="0" r:id="rId439"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19.03.2019 </w:t>
            </w:r>
            <w:hyperlink w:history="0" r:id="rId44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15.03.2022 </w:t>
            </w:r>
            <w:hyperlink w:history="0" r:id="rId441"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За счет реализации подпрограммы планируется:</w:t>
            </w:r>
          </w:p>
          <w:p>
            <w:pPr>
              <w:pStyle w:val="0"/>
              <w:jc w:val="both"/>
            </w:pPr>
            <w:r>
              <w:rPr>
                <w:sz w:val="20"/>
              </w:rPr>
              <w:t xml:space="preserve">выполнение мероприятий по обеспечению инженерной инфраструктурой земельных участков комплексной застройки, формируемых муниципальными образованиями, на которых необходимо выполнение мероприятий по обеспечению инженерной инфраструктурой;</w:t>
            </w:r>
          </w:p>
          <w:p>
            <w:pPr>
              <w:pStyle w:val="0"/>
              <w:jc w:val="both"/>
            </w:pPr>
            <w:r>
              <w:rPr>
                <w:sz w:val="20"/>
              </w:rPr>
              <w:t xml:space="preserve">к концу 2017 года выполнить мероприятия по обеспечению инженерной инфраструктурой и благоустройством придомовой территории 12 "проблемных" объектов - 54,5% от общего количества "проблемных" объектов, по которым требуется обеспечение инженерной инфраструктурой и благоустройство придомовой территории, удовлетворяющих критериям отбора для получения государственной поддержки, что позволит защитить права и законные интересы 296 граждан, пострадавших от действий недобросовестных застройщиков;</w:t>
            </w:r>
          </w:p>
          <w:p>
            <w:pPr>
              <w:pStyle w:val="0"/>
              <w:jc w:val="both"/>
            </w:pPr>
            <w:r>
              <w:rPr>
                <w:sz w:val="20"/>
              </w:rPr>
              <w:t xml:space="preserve">в период с 2017 по 2022 год формирование и направление в Единый институт развития в жилищной сфере перечня земельных участков, находящихся в федеральной собственности, не используемых по назначению и пригодных для жилищного строительства, за весь период реализации подпрограммы площадью 739 га;</w:t>
            </w:r>
          </w:p>
          <w:p>
            <w:pPr>
              <w:pStyle w:val="0"/>
              <w:jc w:val="both"/>
            </w:pPr>
            <w:r>
              <w:rPr>
                <w:sz w:val="20"/>
              </w:rPr>
              <w:t xml:space="preserve">создать условия для вовлечения неэффективно используемых земельных участков площадью 45 га, находящихся в частной собственности, в отношении которых будут приняты решения о комплексном устойчивом развитии территорий;</w:t>
            </w:r>
          </w:p>
          <w:p>
            <w:pPr>
              <w:pStyle w:val="0"/>
              <w:jc w:val="both"/>
            </w:pPr>
            <w:r>
              <w:rPr>
                <w:sz w:val="20"/>
              </w:rPr>
              <w:t xml:space="preserve">абзац утратил силу. - </w:t>
            </w:r>
            <w:hyperlink w:history="0" r:id="rId442"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10.11.2020 N 466-п</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23.10.2017 </w:t>
            </w:r>
            <w:hyperlink w:history="0" r:id="rId443"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rPr>
              <w:t xml:space="preserve">, от 27.12.2017 </w:t>
            </w:r>
            <w:hyperlink w:history="0" r:id="rId444" w:tooltip="Постановление Правительства Новосибирской области от 27.12.2017 N 474-п &quot;О внесении изменений в постановление Правительства Новосибирской области от 20.02.2015 N 68-п&quot; {КонсультантПлюс}">
              <w:r>
                <w:rPr>
                  <w:sz w:val="20"/>
                  <w:color w:val="0000ff"/>
                </w:rPr>
                <w:t xml:space="preserve">N 474-п</w:t>
              </w:r>
            </w:hyperlink>
            <w:r>
              <w:rPr>
                <w:sz w:val="20"/>
              </w:rPr>
              <w:t xml:space="preserve">, от 06.07.2018 </w:t>
            </w:r>
            <w:hyperlink w:history="0" r:id="rId44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446"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19.03.2019 </w:t>
            </w:r>
            <w:hyperlink w:history="0" r:id="rId44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448"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10.11.2020 </w:t>
            </w:r>
            <w:hyperlink w:history="0" r:id="rId449"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N 466-п</w:t>
              </w:r>
            </w:hyperlink>
            <w:r>
              <w:rPr>
                <w:sz w:val="20"/>
              </w:rPr>
              <w:t xml:space="preserve">, от 29.12.2022 </w:t>
            </w:r>
            <w:hyperlink w:history="0" r:id="rId450"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bl>
    <w:p>
      <w:pPr>
        <w:pStyle w:val="0"/>
        <w:ind w:firstLine="540"/>
        <w:jc w:val="both"/>
      </w:pPr>
      <w:r>
        <w:rPr>
          <w:sz w:val="20"/>
        </w:rPr>
      </w:r>
    </w:p>
    <w:p>
      <w:pPr>
        <w:pStyle w:val="2"/>
        <w:outlineLvl w:val="2"/>
        <w:jc w:val="center"/>
      </w:pPr>
      <w:r>
        <w:rPr>
          <w:sz w:val="20"/>
        </w:rPr>
        <w:t xml:space="preserve">II. Характеристика сферы деятельности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451"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452"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В целях решения задач подпрограммы осуществляется:</w:t>
      </w:r>
    </w:p>
    <w:p>
      <w:pPr>
        <w:pStyle w:val="0"/>
        <w:jc w:val="both"/>
      </w:pPr>
      <w:r>
        <w:rPr>
          <w:sz w:val="20"/>
        </w:rPr>
        <w:t xml:space="preserve">(в ред. </w:t>
      </w:r>
      <w:hyperlink w:history="0" r:id="rId45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1. Предоставление субсидий бюджетам муниципальных образований Новосибирской области на инженерное обустройство площадок комплексной застройки.</w:t>
      </w:r>
    </w:p>
    <w:p>
      <w:pPr>
        <w:pStyle w:val="0"/>
        <w:spacing w:before="200" w:line-rule="auto"/>
        <w:ind w:firstLine="540"/>
        <w:jc w:val="both"/>
      </w:pPr>
      <w:r>
        <w:rPr>
          <w:sz w:val="20"/>
        </w:rPr>
        <w:t xml:space="preserve">Распределение субсидий по муниципальным образованиям Новосибирской области на строительство объектов инженерной инфраструктуры площадок комплексной застройки осуществляется на основе отбора в соответствии с </w:t>
      </w:r>
      <w:hyperlink w:history="0" r:id="rId454" w:tooltip="Постановление Правительства Новосибирской области от 21.06.2011 N 265-п (ред. от 19.06.2018) &quot;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quot; {КонсультантПлюс}">
        <w:r>
          <w:rPr>
            <w:sz w:val="20"/>
            <w:color w:val="0000ff"/>
          </w:rPr>
          <w:t xml:space="preserve">Порядком</w:t>
        </w:r>
      </w:hyperlink>
      <w:r>
        <w:rPr>
          <w:sz w:val="20"/>
        </w:rPr>
        <w:t xml:space="preserve">, установленным постановлением Правительства Новосибирской области от 21.06.2011 N 265-п "Об утверждении Порядка проведения конкурса по отбору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 (далее - Порядок отбора).</w:t>
      </w:r>
    </w:p>
    <w:p>
      <w:pPr>
        <w:pStyle w:val="0"/>
        <w:jc w:val="both"/>
      </w:pPr>
      <w:r>
        <w:rPr>
          <w:sz w:val="20"/>
        </w:rPr>
        <w:t xml:space="preserve">(в ред. </w:t>
      </w:r>
      <w:hyperlink w:history="0" r:id="rId455"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Данная форма государственной поддержки позволит комплексно обеспечить инженерной инфраструктурой площадки комплексной застройки, сформированные муниципальными образованиями для жилищного строительства, в том числе для бесплатного предоставления многодетным семьям.</w:t>
      </w:r>
    </w:p>
    <w:p>
      <w:pPr>
        <w:pStyle w:val="0"/>
        <w:spacing w:before="200" w:line-rule="auto"/>
        <w:ind w:firstLine="540"/>
        <w:jc w:val="both"/>
      </w:pPr>
      <w:r>
        <w:rPr>
          <w:sz w:val="20"/>
        </w:rPr>
        <w:t xml:space="preserve">Сетевой </w:t>
      </w:r>
      <w:hyperlink w:history="0" w:anchor="P7253" w:tooltip="СЕТЕВОЙ ГРАФИК">
        <w:r>
          <w:rPr>
            <w:sz w:val="20"/>
            <w:color w:val="0000ff"/>
          </w:rPr>
          <w:t xml:space="preserve">график</w:t>
        </w:r>
      </w:hyperlink>
      <w:r>
        <w:rPr>
          <w:sz w:val="20"/>
        </w:rPr>
        <w:t xml:space="preserve"> реализации основных мероприятий комплексного освоения земельных участков в целях жилищного строительства в Новосибирской области приведен в приложении N 12 к государственной программе.</w:t>
      </w:r>
    </w:p>
    <w:p>
      <w:pPr>
        <w:pStyle w:val="0"/>
        <w:spacing w:before="200" w:line-rule="auto"/>
        <w:ind w:firstLine="540"/>
        <w:jc w:val="both"/>
      </w:pPr>
      <w:r>
        <w:rPr>
          <w:sz w:val="20"/>
        </w:rPr>
        <w:t xml:space="preserve">В настоящее время объем бюджетного финансирования в инженерную подготовку площадок комплексного жилищного строительства не удовлетворяет потребностям, что в свою очередь сдерживает вовлечение подготовленных площадок в строительный оборот. Вместе с тем строительство инженерной инфраструктуры также осуществляется непосредственно застройщиками, реализующими проекты комплексного освоения территорий, как в рамках выполнения технических мероприятий по присоединению к сетям инженерно-технической инфраструктуры, так и в рамках платы за присоединение через инвестиционные программы организаций коммунального комплекса.</w:t>
      </w:r>
    </w:p>
    <w:p>
      <w:pPr>
        <w:pStyle w:val="0"/>
        <w:spacing w:before="200" w:line-rule="auto"/>
        <w:ind w:firstLine="540"/>
        <w:jc w:val="both"/>
      </w:pPr>
      <w:r>
        <w:rPr>
          <w:sz w:val="20"/>
        </w:rPr>
        <w:t xml:space="preserve">2. Выполнение проектных работ на строительство объектов инженерной инфраструктуры к земельным участкам, находящимся в государственной собственности Новосибирской области, осуществляется в целях организации строительства объектов инженерной инфраструктуры к площадкам комплексной застройки, сформированным из состава земель, находящихся в государственной собственности Новосибирской области.</w:t>
      </w:r>
    </w:p>
    <w:p>
      <w:pPr>
        <w:pStyle w:val="0"/>
        <w:spacing w:before="200" w:line-rule="auto"/>
        <w:ind w:firstLine="540"/>
        <w:jc w:val="both"/>
      </w:pPr>
      <w:r>
        <w:rPr>
          <w:sz w:val="20"/>
        </w:rPr>
        <w:t xml:space="preserve">3. Предоставление субсидий бюджетам муниципальных образований Новосибирской области на покрытие части расходов на оплату по договорам технологического присоединения к сетям электро-, тепло-, водоснабжения и водоотведения, на установку лифтового оборудования, а также на проведение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 (с 2018 года реализация мероприятия в рамках </w:t>
      </w:r>
      <w:hyperlink w:history="0" w:anchor="P6315" w:tooltip="Подпрограмма">
        <w:r>
          <w:rPr>
            <w:sz w:val="20"/>
            <w:color w:val="0000ff"/>
          </w:rPr>
          <w:t xml:space="preserve">подпрограммы</w:t>
        </w:r>
      </w:hyperlink>
      <w:r>
        <w:rPr>
          <w:sz w:val="20"/>
        </w:rPr>
        <w:t xml:space="preserve"> "Государственная поддержка при завершении строительства "проблемных" жилых домов").</w:t>
      </w:r>
    </w:p>
    <w:p>
      <w:pPr>
        <w:pStyle w:val="0"/>
        <w:jc w:val="both"/>
      </w:pPr>
      <w:r>
        <w:rPr>
          <w:sz w:val="20"/>
        </w:rPr>
        <w:t xml:space="preserve">(в ред. </w:t>
      </w:r>
      <w:hyperlink w:history="0" r:id="rId456"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Субсидии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а также на проведение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(далее - объект жилищного строительства) в эксплуатацию и передаче гражданам жилых помещений предоставляются бюджетам муниципальных образований, на территории которых расположены объекты жилищного строительства.</w:t>
      </w:r>
    </w:p>
    <w:p>
      <w:pPr>
        <w:pStyle w:val="0"/>
        <w:spacing w:before="200" w:line-rule="auto"/>
        <w:ind w:firstLine="540"/>
        <w:jc w:val="both"/>
      </w:pPr>
      <w:r>
        <w:rPr>
          <w:sz w:val="20"/>
        </w:rPr>
        <w:t xml:space="preserve">Субсидия предоставляется на софинансирование расходных обязательств муниципальных образований Новосибирской области, связанных с реализацией муниципальных актов, предусматривающих предоставление средств из местных бюджетов юридическим лицам для покрытия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w:t>
      </w:r>
    </w:p>
    <w:p>
      <w:pPr>
        <w:pStyle w:val="0"/>
        <w:spacing w:before="200" w:line-rule="auto"/>
        <w:ind w:firstLine="540"/>
        <w:jc w:val="both"/>
      </w:pPr>
      <w:r>
        <w:rPr>
          <w:sz w:val="20"/>
        </w:rPr>
        <w:t xml:space="preserve">4. Формирование перечня земельных участков, находящихся в федеральной собственности, не используемых по назначению и пригодных для жилищного строительства.</w:t>
      </w:r>
    </w:p>
    <w:p>
      <w:pPr>
        <w:pStyle w:val="0"/>
        <w:spacing w:before="200" w:line-rule="auto"/>
        <w:ind w:firstLine="540"/>
        <w:jc w:val="both"/>
      </w:pPr>
      <w:r>
        <w:rPr>
          <w:sz w:val="20"/>
        </w:rPr>
        <w:t xml:space="preserve">Данное мероприятие осуществляется путем инвентаризации земельных участков органами местного самоуправления на соответствие градостроительной документации текущего использования земельных участков. Выполнение данного мероприятия создаст основу для эффективного развития свободных территорий и позволит оценить эффективность существующей застройки.</w:t>
      </w:r>
    </w:p>
    <w:p>
      <w:pPr>
        <w:pStyle w:val="0"/>
        <w:spacing w:before="200" w:line-rule="auto"/>
        <w:ind w:firstLine="540"/>
        <w:jc w:val="both"/>
      </w:pPr>
      <w:r>
        <w:rPr>
          <w:sz w:val="20"/>
        </w:rPr>
        <w:t xml:space="preserve">Вовлечение земельных участков, находящихся в федеральной собственности, не используемых по назначению и пригодных для жилищного строительства, в оборот в целях жилищного строительства реализуется совместно с Единым институтом развития в рамках реализации Федерального </w:t>
      </w:r>
      <w:hyperlink w:history="0" r:id="rId457"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закона</w:t>
        </w:r>
      </w:hyperlink>
      <w:r>
        <w:rPr>
          <w:sz w:val="20"/>
        </w:rPr>
        <w:t xml:space="preserve"> от 24.07.2008 N 161-ФЗ "О содействии развитию жилищного строительства" и органами местного самоуправления. Минстрой НСО ежегодно формирует предложения по неэффективно используемым земельным участкам и направляет для рассмотрения в Единый институт развития, обеспечивающий формирование повестки заседаний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w:t>
      </w:r>
    </w:p>
    <w:p>
      <w:pPr>
        <w:pStyle w:val="0"/>
        <w:jc w:val="both"/>
      </w:pPr>
      <w:r>
        <w:rPr>
          <w:sz w:val="20"/>
        </w:rPr>
        <w:t xml:space="preserve">(в ред. </w:t>
      </w:r>
      <w:hyperlink w:history="0" r:id="rId458"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Областным исполнительным органом государственной власти Новосибирской области, уполномоченным Правительством Новосибирской области в сфере управления и распоряжения государственным имуществом Новосибирской области, осуществляется:</w:t>
      </w:r>
    </w:p>
    <w:p>
      <w:pPr>
        <w:pStyle w:val="0"/>
        <w:spacing w:before="200" w:line-rule="auto"/>
        <w:ind w:firstLine="540"/>
        <w:jc w:val="both"/>
      </w:pPr>
      <w:r>
        <w:rPr>
          <w:sz w:val="20"/>
        </w:rPr>
        <w:t xml:space="preserve">предоставление земельных участков и содействие их комплексному освоению в целях жилищного строительства;</w:t>
      </w:r>
    </w:p>
    <w:p>
      <w:pPr>
        <w:pStyle w:val="0"/>
        <w:spacing w:before="200" w:line-rule="auto"/>
        <w:ind w:firstLine="540"/>
        <w:jc w:val="both"/>
      </w:pPr>
      <w:r>
        <w:rPr>
          <w:sz w:val="20"/>
        </w:rPr>
        <w:t xml:space="preserve">предоставление земельных участков под строительство жилья экономкласса для продажи отдельным категориям граждан;</w:t>
      </w:r>
    </w:p>
    <w:p>
      <w:pPr>
        <w:pStyle w:val="0"/>
        <w:spacing w:before="200" w:line-rule="auto"/>
        <w:ind w:firstLine="540"/>
        <w:jc w:val="both"/>
      </w:pPr>
      <w:r>
        <w:rPr>
          <w:sz w:val="20"/>
        </w:rPr>
        <w:t xml:space="preserve">предоставление участков на безвозмездной основе жилищно-строительным кооперативам.</w:t>
      </w:r>
    </w:p>
    <w:p>
      <w:pPr>
        <w:pStyle w:val="0"/>
        <w:spacing w:before="200" w:line-rule="auto"/>
        <w:ind w:firstLine="540"/>
        <w:jc w:val="both"/>
      </w:pPr>
      <w:r>
        <w:rPr>
          <w:sz w:val="20"/>
        </w:rPr>
        <w:t xml:space="preserve">5. Формирование перечня земельных участков, находящихся в частной собственности, не используемых по назначению и пригодных для жилищного строительства.</w:t>
      </w:r>
    </w:p>
    <w:p>
      <w:pPr>
        <w:pStyle w:val="0"/>
        <w:spacing w:before="200" w:line-rule="auto"/>
        <w:ind w:firstLine="540"/>
        <w:jc w:val="both"/>
      </w:pPr>
      <w:r>
        <w:rPr>
          <w:sz w:val="20"/>
        </w:rPr>
        <w:t xml:space="preserve">Законодательством определен порядок и условия комплексного и устойчивого развития территорий. Инициатором изменения функционального назначения территорий с целью жилищного строительства могут являться как собственники земельных участков, так и органы местного самоуправления. По итогам инвентаризации неэффективно используемых земельных участков органы местного самоуправления принимают решение о комплексном развитии территории. На основании решения органа местного самоуправления о комплексном развитии осуществляется заключение договора с победителем аукциона, обязательным условием которого является распределение обязанностей по созданию объектов инфраструктуры, а также порядок приобретения имущественных прав на объекты недвижимости, расположенные в границах развиваемой территории.</w:t>
      </w:r>
    </w:p>
    <w:p>
      <w:pPr>
        <w:pStyle w:val="0"/>
        <w:spacing w:before="200" w:line-rule="auto"/>
        <w:ind w:firstLine="540"/>
        <w:jc w:val="both"/>
      </w:pPr>
      <w:r>
        <w:rPr>
          <w:sz w:val="20"/>
        </w:rPr>
        <w:t xml:space="preserve">Деятельность по комплексному и устойчивому развитию в долгосрочной перспективе способствует вовлечению в экономический оборот неэффективно используемых участков, находящихся в частной собственности на территории Новосибирской области, и размещению на них нового жилья, объектов социальной, инженерной и транспортной инфраструктуры.</w:t>
      </w:r>
    </w:p>
    <w:p>
      <w:pPr>
        <w:pStyle w:val="0"/>
        <w:spacing w:before="200" w:line-rule="auto"/>
        <w:ind w:firstLine="540"/>
        <w:jc w:val="both"/>
      </w:pPr>
      <w:r>
        <w:rPr>
          <w:sz w:val="20"/>
        </w:rPr>
        <w:t xml:space="preserve">6. Проведение мониторинга объектов жилищного строительства, по которым застройщиком не исполнены обязательства по вводу в эксплуатацию многоквартирного дома в соответствии с условиями договора участия в долевом строительстве (с 2018 года реализация мероприятия в рамках </w:t>
      </w:r>
      <w:hyperlink w:history="0" w:anchor="P6315" w:tooltip="Подпрограмма">
        <w:r>
          <w:rPr>
            <w:sz w:val="20"/>
            <w:color w:val="0000ff"/>
          </w:rPr>
          <w:t xml:space="preserve">подпрограммы</w:t>
        </w:r>
      </w:hyperlink>
      <w:r>
        <w:rPr>
          <w:sz w:val="20"/>
        </w:rPr>
        <w:t xml:space="preserve"> "Государственная поддержка при завершении строительства "проблемных" жилых домов").</w:t>
      </w:r>
    </w:p>
    <w:p>
      <w:pPr>
        <w:pStyle w:val="0"/>
        <w:jc w:val="both"/>
      </w:pPr>
      <w:r>
        <w:rPr>
          <w:sz w:val="20"/>
        </w:rPr>
        <w:t xml:space="preserve">(в ред. </w:t>
      </w:r>
      <w:hyperlink w:history="0" r:id="rId45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Данное мероприятие реализуется путем проведения анализа сведений, отраженных в ежеквартальной отчетности застройщика об осуществлении деятельности, связанной с привлечением денежных средств участников долевого строительства, а также информации, поступающей от участников долевого строительства, от органов государственной власти, органов местного самоуправления, из средств массовой информации, информационно-телекоммуникационной сети "Интернет".</w:t>
      </w:r>
    </w:p>
    <w:p>
      <w:pPr>
        <w:pStyle w:val="0"/>
        <w:spacing w:before="200" w:line-rule="auto"/>
        <w:ind w:firstLine="540"/>
        <w:jc w:val="both"/>
      </w:pPr>
      <w:r>
        <w:rPr>
          <w:sz w:val="20"/>
        </w:rPr>
        <w:t xml:space="preserve">На основе данного мероприятия будет приниматься решение о проведении контрольных мероприятий с целью выявления и устранения нарушений требований законодательства о долевом строительстве.</w:t>
      </w:r>
    </w:p>
    <w:p>
      <w:pPr>
        <w:pStyle w:val="0"/>
        <w:jc w:val="both"/>
      </w:pPr>
      <w:r>
        <w:rPr>
          <w:sz w:val="20"/>
        </w:rPr>
        <w:t xml:space="preserve">(п. 6 введен </w:t>
      </w:r>
      <w:hyperlink w:history="0" r:id="rId460"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7. Организация комплексного освоения земельных участков в рамках деятельности АО "Агентство развития жилищного строительства Новосибирской области" (далее - АО "АРЖС НСО").</w:t>
      </w:r>
    </w:p>
    <w:p>
      <w:pPr>
        <w:pStyle w:val="0"/>
        <w:spacing w:before="200" w:line-rule="auto"/>
        <w:ind w:firstLine="540"/>
        <w:jc w:val="both"/>
      </w:pPr>
      <w:r>
        <w:rPr>
          <w:sz w:val="20"/>
        </w:rPr>
        <w:t xml:space="preserve">В целях внедрения новых инновационных механизмов стимулирования жилищного строительства в Новосибирской области создано АО "АРЖС НСО".</w:t>
      </w:r>
    </w:p>
    <w:p>
      <w:pPr>
        <w:pStyle w:val="0"/>
        <w:spacing w:before="200" w:line-rule="auto"/>
        <w:ind w:firstLine="540"/>
        <w:jc w:val="both"/>
      </w:pPr>
      <w:r>
        <w:rPr>
          <w:sz w:val="20"/>
        </w:rPr>
        <w:t xml:space="preserve">Одна из основных задач АО "АРЖС НСО" - создание условий для обеспечения доступным и комфортным жильем граждан Новосибирской области, в том числе льготных категорий, путем организации комплексного, в первую очередь малоэтажного, жилищного строительства с применением следующих подходов:</w:t>
      </w:r>
    </w:p>
    <w:p>
      <w:pPr>
        <w:pStyle w:val="0"/>
        <w:spacing w:before="200" w:line-rule="auto"/>
        <w:ind w:firstLine="540"/>
        <w:jc w:val="both"/>
      </w:pPr>
      <w:r>
        <w:rPr>
          <w:sz w:val="20"/>
        </w:rPr>
        <w:t xml:space="preserve">применение плановых подходов развития территории Новосибирской области, в том числе на федеральных земельных участках, для возможности консолидации ресурсов на создание инженерной, транспортной и социальной инфраструктуры в соответствии с документами территориально планирования;</w:t>
      </w:r>
    </w:p>
    <w:p>
      <w:pPr>
        <w:pStyle w:val="0"/>
        <w:spacing w:before="200" w:line-rule="auto"/>
        <w:ind w:firstLine="540"/>
        <w:jc w:val="both"/>
      </w:pPr>
      <w:r>
        <w:rPr>
          <w:sz w:val="20"/>
        </w:rPr>
        <w:t xml:space="preserve">рациональное развитие всех сегментов рынка жилья с учетом интересов и возможностей всех групп населения и перспективных планов развития территорий Новосибирской области;</w:t>
      </w:r>
    </w:p>
    <w:p>
      <w:pPr>
        <w:pStyle w:val="0"/>
        <w:spacing w:before="200" w:line-rule="auto"/>
        <w:ind w:firstLine="540"/>
        <w:jc w:val="both"/>
      </w:pPr>
      <w:r>
        <w:rPr>
          <w:sz w:val="20"/>
        </w:rPr>
        <w:t xml:space="preserve">консолидация ресурсов и координация усилий основных участников жилищного строительства: органов власти, предприятий, инвесторов и населения;</w:t>
      </w:r>
    </w:p>
    <w:p>
      <w:pPr>
        <w:pStyle w:val="0"/>
        <w:spacing w:before="200" w:line-rule="auto"/>
        <w:ind w:firstLine="540"/>
        <w:jc w:val="both"/>
      </w:pPr>
      <w:r>
        <w:rPr>
          <w:sz w:val="20"/>
        </w:rPr>
        <w:t xml:space="preserve">использование современных организационных, технологических, финансовых механизмов при подготовке и реализации проектов комплексной жилой застройки.</w:t>
      </w:r>
    </w:p>
    <w:p>
      <w:pPr>
        <w:pStyle w:val="0"/>
        <w:spacing w:before="200" w:line-rule="auto"/>
        <w:ind w:firstLine="540"/>
        <w:jc w:val="both"/>
      </w:pPr>
      <w:r>
        <w:rPr>
          <w:sz w:val="20"/>
        </w:rPr>
        <w:t xml:space="preserve">Поэтому в первую очередь необходимо обеспечить предоставление рынку качественно нового продукта, а это комплексно обеспеченные земельные участки, в части:</w:t>
      </w:r>
    </w:p>
    <w:p>
      <w:pPr>
        <w:pStyle w:val="0"/>
        <w:spacing w:before="200" w:line-rule="auto"/>
        <w:ind w:firstLine="540"/>
        <w:jc w:val="both"/>
      </w:pPr>
      <w:r>
        <w:rPr>
          <w:sz w:val="20"/>
        </w:rPr>
        <w:t xml:space="preserve">разработки и утверждения необходимой градостроительной, планировочной и проектной документации;</w:t>
      </w:r>
    </w:p>
    <w:p>
      <w:pPr>
        <w:pStyle w:val="0"/>
        <w:spacing w:before="200" w:line-rule="auto"/>
        <w:ind w:firstLine="540"/>
        <w:jc w:val="both"/>
      </w:pPr>
      <w:r>
        <w:rPr>
          <w:sz w:val="20"/>
        </w:rPr>
        <w:t xml:space="preserve">регулярного мониторинга и резервирования земельных участков перспективного развития Новосибирской области в корреляции с документами территориального планирования;</w:t>
      </w:r>
    </w:p>
    <w:p>
      <w:pPr>
        <w:pStyle w:val="0"/>
        <w:spacing w:before="200" w:line-rule="auto"/>
        <w:ind w:firstLine="540"/>
        <w:jc w:val="both"/>
      </w:pPr>
      <w:r>
        <w:rPr>
          <w:sz w:val="20"/>
        </w:rPr>
        <w:t xml:space="preserve">обеспечения земельных участков всей необходимой инженерной и транспортной инфраструктурой за счет средств бюджетов различных уровней;</w:t>
      </w:r>
    </w:p>
    <w:p>
      <w:pPr>
        <w:pStyle w:val="0"/>
        <w:jc w:val="both"/>
      </w:pPr>
      <w:r>
        <w:rPr>
          <w:sz w:val="20"/>
        </w:rPr>
        <w:t xml:space="preserve">(в ред. </w:t>
      </w:r>
      <w:hyperlink w:history="0" r:id="rId461"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15.03.2022 N 82-п)</w:t>
      </w:r>
    </w:p>
    <w:p>
      <w:pPr>
        <w:pStyle w:val="0"/>
        <w:spacing w:before="200" w:line-rule="auto"/>
        <w:ind w:firstLine="540"/>
        <w:jc w:val="both"/>
      </w:pPr>
      <w:r>
        <w:rPr>
          <w:sz w:val="20"/>
        </w:rPr>
        <w:t xml:space="preserve">обеспечения в необходимом количестве ввода социальных объектов (детские сады, школы, поликлиники и т.д.) по мере освоения земельного участка;</w:t>
      </w:r>
    </w:p>
    <w:p>
      <w:pPr>
        <w:pStyle w:val="0"/>
        <w:spacing w:before="200" w:line-rule="auto"/>
        <w:ind w:firstLine="540"/>
        <w:jc w:val="both"/>
      </w:pPr>
      <w:r>
        <w:rPr>
          <w:sz w:val="20"/>
        </w:rPr>
        <w:t xml:space="preserve">обеспечения реализации построенных инженерных сооружений сетевым организациям для дальнейшей их эксплуатации и обеспечения коммунальными услугами жителей.</w:t>
      </w:r>
    </w:p>
    <w:p>
      <w:pPr>
        <w:pStyle w:val="0"/>
        <w:spacing w:before="200" w:line-rule="auto"/>
        <w:ind w:firstLine="540"/>
        <w:jc w:val="both"/>
      </w:pPr>
      <w:hyperlink w:history="0" w:anchor="P9543" w:tooltip="ПОРЯДОК">
        <w:r>
          <w:rPr>
            <w:sz w:val="20"/>
            <w:color w:val="0000ff"/>
          </w:rPr>
          <w:t xml:space="preserve">Порядок</w:t>
        </w:r>
      </w:hyperlink>
      <w:r>
        <w:rPr>
          <w:sz w:val="20"/>
        </w:rPr>
        <w:t xml:space="preserve"> определения объема и предоставления субсидий из областного бюджета Новосибирской области акционерному обществу "Агентство развития жилищного строительства Новосибирской области", приведенный в приложении N 16 к государственной программе, предусматривает предоставление АО "АРЖС НСО" субсидий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w:t>
      </w:r>
    </w:p>
    <w:p>
      <w:pPr>
        <w:pStyle w:val="0"/>
        <w:jc w:val="both"/>
      </w:pPr>
      <w:r>
        <w:rPr>
          <w:sz w:val="20"/>
        </w:rPr>
        <w:t xml:space="preserve">(абзац введен </w:t>
      </w:r>
      <w:hyperlink w:history="0" r:id="rId462"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15.03.2022 N 82-п; в ред. </w:t>
      </w:r>
      <w:hyperlink w:history="0" r:id="rId463"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29.12.2022 N 652-п)</w:t>
      </w:r>
    </w:p>
    <w:p>
      <w:pPr>
        <w:pStyle w:val="0"/>
        <w:spacing w:before="200" w:line-rule="auto"/>
        <w:ind w:firstLine="540"/>
        <w:jc w:val="both"/>
      </w:pPr>
      <w:r>
        <w:rPr>
          <w:sz w:val="20"/>
        </w:rPr>
        <w:t xml:space="preserve">Реализация на строительном рынке уже комплексно обеспеченных земельных участков в необходимом объеме позволит уменьшить стоимость строительства на один квадратный метр возводимого жилья за счет:</w:t>
      </w:r>
    </w:p>
    <w:p>
      <w:pPr>
        <w:pStyle w:val="0"/>
        <w:spacing w:before="200" w:line-rule="auto"/>
        <w:ind w:firstLine="540"/>
        <w:jc w:val="both"/>
      </w:pPr>
      <w:r>
        <w:rPr>
          <w:sz w:val="20"/>
        </w:rPr>
        <w:t xml:space="preserve">снижения расходов по инженерному обеспечению площадок;</w:t>
      </w:r>
    </w:p>
    <w:p>
      <w:pPr>
        <w:pStyle w:val="0"/>
        <w:spacing w:before="200" w:line-rule="auto"/>
        <w:ind w:firstLine="540"/>
        <w:jc w:val="both"/>
      </w:pPr>
      <w:r>
        <w:rPr>
          <w:sz w:val="20"/>
        </w:rPr>
        <w:t xml:space="preserve">сокращения сроков строительства и ввода жилых объектов.</w:t>
      </w:r>
    </w:p>
    <w:p>
      <w:pPr>
        <w:pStyle w:val="0"/>
        <w:spacing w:before="200" w:line-rule="auto"/>
        <w:ind w:firstLine="540"/>
        <w:jc w:val="both"/>
      </w:pPr>
      <w:r>
        <w:rPr>
          <w:sz w:val="20"/>
        </w:rPr>
        <w:t xml:space="preserve">Но при отсутствии достаточного объема предложений как по подготовленным земельным участкам, так и квартирам населению цена реализации жилья за 1 кв. м будет сформирована рынком, а не фактической себестоимостью. Новосибирской области для поддержания конкурентной среды и выполнения поставленных задач по объему ввода жилья необходимо ежегодно предоставлять рынку ориентировочно 200 - 300 га комплексно подготовленных земельных участков.</w:t>
      </w:r>
    </w:p>
    <w:p>
      <w:pPr>
        <w:pStyle w:val="0"/>
        <w:spacing w:before="200" w:line-rule="auto"/>
        <w:ind w:firstLine="540"/>
        <w:jc w:val="both"/>
      </w:pPr>
      <w:r>
        <w:rPr>
          <w:sz w:val="20"/>
        </w:rPr>
        <w:t xml:space="preserve">АО "АРЖС НСО" в рамках </w:t>
      </w:r>
      <w:hyperlink w:history="0" r:id="rId464" w:tooltip="Постановление Правительства РФ от 19.10.2020 N 1704 (ред. от 09.12.2022) &quot;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КонсультантПлюс}">
        <w:r>
          <w:rPr>
            <w:sz w:val="20"/>
            <w:color w:val="0000ff"/>
          </w:rPr>
          <w:t xml:space="preserve">постановления</w:t>
        </w:r>
      </w:hyperlink>
      <w:r>
        <w:rPr>
          <w:sz w:val="20"/>
        </w:rP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ведет реализацию нового инвестиционного проекта "Территория поселка Клюквенный (ул. Подневича) в Калининском районе г. Новосибирска", площадью 182,5 га, на котором предполагается возвести 951,3 тыс. кв. м жилья, с расчетной численностью населения 34 тыс. человек и затратами на инженерное обустройство 5232,8 млн рублей.</w:t>
      </w:r>
    </w:p>
    <w:p>
      <w:pPr>
        <w:pStyle w:val="0"/>
        <w:jc w:val="both"/>
      </w:pPr>
      <w:r>
        <w:rPr>
          <w:sz w:val="20"/>
        </w:rPr>
        <w:t xml:space="preserve">(абзац введен </w:t>
      </w:r>
      <w:hyperlink w:history="0" r:id="rId465"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29.12.2022 N 652-п)</w:t>
      </w:r>
    </w:p>
    <w:p>
      <w:pPr>
        <w:pStyle w:val="0"/>
        <w:spacing w:before="200" w:line-rule="auto"/>
        <w:ind w:firstLine="540"/>
        <w:jc w:val="both"/>
      </w:pPr>
      <w:r>
        <w:rPr>
          <w:sz w:val="20"/>
        </w:rPr>
        <w:t xml:space="preserve">Абзацы девятнадцатый - двадцать второй утратили силу. - </w:t>
      </w:r>
      <w:hyperlink w:history="0" r:id="rId466"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29.12.2022 N 652-п.</w:t>
      </w:r>
    </w:p>
    <w:p>
      <w:pPr>
        <w:pStyle w:val="0"/>
        <w:spacing w:before="200" w:line-rule="auto"/>
        <w:ind w:firstLine="540"/>
        <w:jc w:val="both"/>
      </w:pPr>
      <w:r>
        <w:rPr>
          <w:sz w:val="20"/>
        </w:rPr>
        <w:t xml:space="preserve">Также Правительством Новосибирской области совместно с Единым институтом развития в жилищной сфере в рамках реализации Федерального </w:t>
      </w:r>
      <w:hyperlink w:history="0" r:id="rId467"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закона</w:t>
        </w:r>
      </w:hyperlink>
      <w:r>
        <w:rPr>
          <w:sz w:val="20"/>
        </w:rPr>
        <w:t xml:space="preserve"> от 24.07.2008 N 161-ФЗ "О содействии развитию жилищного строительства" (далее - Закон) осуществляется взаимодействие по вовлечению в строительный оборот земельных участков, находящихся в федеральной собственности, по согласованию с федеральными органами.</w:t>
      </w:r>
    </w:p>
    <w:p>
      <w:pPr>
        <w:pStyle w:val="0"/>
        <w:spacing w:before="200" w:line-rule="auto"/>
        <w:ind w:firstLine="540"/>
        <w:jc w:val="both"/>
      </w:pPr>
      <w:r>
        <w:rPr>
          <w:sz w:val="20"/>
        </w:rPr>
        <w:t xml:space="preserve">Единым институтом развития в жилищной сфере на территории Новосибирской области реализуется 14 проектов жилищного строительства. В стадии разработки планировочной документации, проектирования, строительства жилья и ввода объектов в эксплуатацию находится 1400 тыс. кв. м. Доля жилья экономического класса в проектах жилищного строительства составит от 10 до 100%.</w:t>
      </w:r>
    </w:p>
    <w:p>
      <w:pPr>
        <w:pStyle w:val="0"/>
        <w:jc w:val="both"/>
      </w:pPr>
      <w:r>
        <w:rPr>
          <w:sz w:val="20"/>
        </w:rPr>
        <w:t xml:space="preserve">(п. 7 введен </w:t>
      </w:r>
      <w:hyperlink w:history="0" r:id="rId46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8. Содействие строительству на площадках комплексной застройки.</w:t>
      </w:r>
    </w:p>
    <w:p>
      <w:pPr>
        <w:pStyle w:val="0"/>
        <w:jc w:val="both"/>
      </w:pPr>
      <w:r>
        <w:rPr>
          <w:sz w:val="20"/>
        </w:rPr>
        <w:t xml:space="preserve">(в ред. </w:t>
      </w:r>
      <w:hyperlink w:history="0" r:id="rId46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утвержденных Министерству строительства и жилищно-коммунального хозяйства Российской Федерации, на строительство (реконструкцию) объектов социальной инфраструктуры (дошкольных учреждений, образовательных учреждений и учреждений здравоохранения), транспортной и инженерной инфраструктуры в рамках реализации проектов по развитию территорий по итогам отбора субъектов Российской Федерации на соответствующий финансовый период (далее - Субсидия).</w:t>
      </w:r>
    </w:p>
    <w:p>
      <w:pPr>
        <w:pStyle w:val="0"/>
        <w:jc w:val="both"/>
      </w:pPr>
      <w:r>
        <w:rPr>
          <w:sz w:val="20"/>
        </w:rPr>
        <w:t xml:space="preserve">(в ред. </w:t>
      </w:r>
      <w:hyperlink w:history="0" r:id="rId470"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25.03.2021 N 88-п)</w:t>
      </w:r>
    </w:p>
    <w:p>
      <w:pPr>
        <w:pStyle w:val="0"/>
        <w:spacing w:before="200" w:line-rule="auto"/>
        <w:ind w:firstLine="540"/>
        <w:jc w:val="both"/>
      </w:pPr>
      <w:r>
        <w:rPr>
          <w:sz w:val="20"/>
        </w:rPr>
        <w:t xml:space="preserve">Предоставление субсидий за счет средств федерального бюджета на соответствующий финансовый год и плановый период осуществляется посредством заключения соглашения между Министерством строительства и жилищно-коммунального хозяйства Российской Федерации и Правительством Новосибирской области.</w:t>
      </w:r>
    </w:p>
    <w:p>
      <w:pPr>
        <w:pStyle w:val="0"/>
        <w:spacing w:before="200" w:line-rule="auto"/>
        <w:ind w:firstLine="540"/>
        <w:jc w:val="both"/>
      </w:pPr>
      <w:r>
        <w:rPr>
          <w:sz w:val="20"/>
        </w:rPr>
        <w:t xml:space="preserve">Софинансирование за счет средств областного бюджета Новосибирской области на реализацию федерального проекта осуществляется в рамках государственных программ Новосибирской области соответствующей отраслевой направленности, в которых предусматривается строительство (реконструкция) объектов социальной и транспортной инфраструктуры в соответствии с </w:t>
      </w:r>
      <w:hyperlink w:history="0" w:anchor="P8891" w:tooltip="Информация">
        <w:r>
          <w:rPr>
            <w:sz w:val="20"/>
            <w:color w:val="0000ff"/>
          </w:rPr>
          <w:t xml:space="preserve">приложением N 13</w:t>
        </w:r>
      </w:hyperlink>
      <w:r>
        <w:rPr>
          <w:sz w:val="20"/>
        </w:rPr>
        <w:t xml:space="preserve"> к государственной программе.</w:t>
      </w:r>
    </w:p>
    <w:p>
      <w:pPr>
        <w:pStyle w:val="0"/>
        <w:jc w:val="both"/>
      </w:pPr>
      <w:r>
        <w:rPr>
          <w:sz w:val="20"/>
        </w:rPr>
        <w:t xml:space="preserve">(в ред. постановлений Правительства Новосибирской области от 19.03.2019 </w:t>
      </w:r>
      <w:hyperlink w:history="0" r:id="rId47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28.10.2019 </w:t>
      </w:r>
      <w:hyperlink w:history="0" r:id="rId472"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25.03.2021 </w:t>
      </w:r>
      <w:hyperlink w:history="0" r:id="rId473"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w:t>
      </w:r>
    </w:p>
    <w:p>
      <w:pPr>
        <w:pStyle w:val="0"/>
        <w:spacing w:before="200" w:line-rule="auto"/>
        <w:ind w:firstLine="540"/>
        <w:jc w:val="both"/>
      </w:pPr>
      <w:r>
        <w:rPr>
          <w:sz w:val="20"/>
        </w:rPr>
        <w:t xml:space="preserve">Региональным проектом "Жилье" предусмотрено строительство объектов водоснабжения и водоотведения, которые отражены в </w:t>
      </w:r>
      <w:hyperlink w:history="0" w:anchor="P8891" w:tooltip="Информация">
        <w:r>
          <w:rPr>
            <w:sz w:val="20"/>
            <w:color w:val="0000ff"/>
          </w:rPr>
          <w:t xml:space="preserve">приложении N 13</w:t>
        </w:r>
      </w:hyperlink>
      <w:r>
        <w:rPr>
          <w:sz w:val="20"/>
        </w:rPr>
        <w:t xml:space="preserve"> к государственной программе, софинансирование осуществляется за счет средств местных бюджетов.</w:t>
      </w:r>
    </w:p>
    <w:p>
      <w:pPr>
        <w:pStyle w:val="0"/>
        <w:jc w:val="both"/>
      </w:pPr>
      <w:r>
        <w:rPr>
          <w:sz w:val="20"/>
        </w:rPr>
        <w:t xml:space="preserve">(абзац введен </w:t>
      </w:r>
      <w:hyperlink w:history="0" r:id="rId474"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25.03.2021 N 88-п)</w:t>
      </w:r>
    </w:p>
    <w:p>
      <w:pPr>
        <w:pStyle w:val="0"/>
        <w:spacing w:before="200" w:line-rule="auto"/>
        <w:ind w:firstLine="540"/>
        <w:jc w:val="both"/>
      </w:pPr>
      <w:r>
        <w:rPr>
          <w:sz w:val="20"/>
        </w:rPr>
        <w:t xml:space="preserve">Территории, на которых предусматривается строительство жилья определены Сетевым графиком в соответствии с </w:t>
      </w:r>
      <w:hyperlink w:history="0" w:anchor="P7253" w:tooltip="СЕТЕВОЙ ГРАФИК">
        <w:r>
          <w:rPr>
            <w:sz w:val="20"/>
            <w:color w:val="0000ff"/>
          </w:rPr>
          <w:t xml:space="preserve">приложением N 12</w:t>
        </w:r>
      </w:hyperlink>
      <w:r>
        <w:rPr>
          <w:sz w:val="20"/>
        </w:rPr>
        <w:t xml:space="preserve"> к государственной программе.</w:t>
      </w:r>
    </w:p>
    <w:p>
      <w:pPr>
        <w:pStyle w:val="0"/>
        <w:jc w:val="both"/>
      </w:pPr>
      <w:r>
        <w:rPr>
          <w:sz w:val="20"/>
        </w:rPr>
        <w:t xml:space="preserve">(п. 8 введен </w:t>
      </w:r>
      <w:hyperlink w:history="0" r:id="rId475"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9. Организация комплексного освоения земельных участков в рамках новых инвестиционных проектов и инфраструктурных бюджетных кредитов.</w:t>
      </w:r>
    </w:p>
    <w:p>
      <w:pPr>
        <w:pStyle w:val="0"/>
        <w:spacing w:before="200" w:line-rule="auto"/>
        <w:ind w:firstLine="540"/>
        <w:jc w:val="both"/>
      </w:pPr>
      <w:r>
        <w:rPr>
          <w:sz w:val="20"/>
        </w:rPr>
        <w:t xml:space="preserve">В рамках мероприятия планируется реализация новых инвестиционных проектов, связанных с жилищным строительством, за счет средств бюджета Новосибирской области, высвобождаемых в результате снижения объема погашения задолженности перед Российской Федерацией по бюджетным кредитам в рамках </w:t>
      </w:r>
      <w:hyperlink w:history="0" r:id="rId476" w:tooltip="Постановление Правительства РФ от 19.10.2020 N 1704 (ред. от 09.12.2022) &quot;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КонсультантПлюс}">
        <w:r>
          <w:rPr>
            <w:sz w:val="20"/>
            <w:color w:val="0000ff"/>
          </w:rPr>
          <w:t xml:space="preserve">постановления</w:t>
        </w:r>
      </w:hyperlink>
      <w:r>
        <w:rPr>
          <w:sz w:val="20"/>
        </w:rP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и реализация проектов, связанных с жилищным строительством,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в рамках </w:t>
      </w:r>
      <w:hyperlink w:history="0" r:id="rId477" w:tooltip="Постановление Правительства РФ от 14.07.2021 N 1189 (ред. от 16.01.2023)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14.07.2021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pPr>
        <w:pStyle w:val="0"/>
        <w:spacing w:before="200" w:line-rule="auto"/>
        <w:ind w:firstLine="540"/>
        <w:jc w:val="both"/>
      </w:pPr>
      <w:r>
        <w:rPr>
          <w:sz w:val="20"/>
        </w:rPr>
        <w:t xml:space="preserve">Реализация мероприятия осуществляется путем предоставления иных межбюджетных трансфертов на строительство объектов инженерной инфраструктуры бюджетам муниципальных образований Новосибирской области в соответствии с </w:t>
      </w:r>
      <w:hyperlink w:history="0" w:anchor="P9659" w:tooltip="МЕТОДИКА">
        <w:r>
          <w:rPr>
            <w:sz w:val="20"/>
            <w:color w:val="0000ff"/>
          </w:rPr>
          <w:t xml:space="preserve">методикой</w:t>
        </w:r>
      </w:hyperlink>
      <w:r>
        <w:rPr>
          <w:sz w:val="20"/>
        </w:rPr>
        <w:t xml:space="preserve"> распределения иных межбюджетных трансфертов из бюджета Новосибирской области и правилами их предоставления из областного бюджета Новосибирской области бюджетам муниципальных образований Новосибирской области на реализацию мероприятий в рамках подпрограммы "Земельные ресурсы и инфраструктура" государственной программы Новосибирской области "Стимулирование развития жилищного строительства в Новосибирской области", приведенными в приложении N 17 к государственной программе.</w:t>
      </w:r>
    </w:p>
    <w:p>
      <w:pPr>
        <w:pStyle w:val="0"/>
        <w:jc w:val="both"/>
      </w:pPr>
      <w:r>
        <w:rPr>
          <w:sz w:val="20"/>
        </w:rPr>
        <w:t xml:space="preserve">(п. 9 введен </w:t>
      </w:r>
      <w:hyperlink w:history="0" r:id="rId478"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29.12.2022 N 652-п)</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ind w:firstLine="540"/>
        <w:jc w:val="both"/>
      </w:pPr>
      <w:r>
        <w:rPr>
          <w:sz w:val="20"/>
        </w:rPr>
      </w:r>
    </w:p>
    <w:p>
      <w:pPr>
        <w:pStyle w:val="0"/>
        <w:ind w:firstLine="540"/>
        <w:jc w:val="both"/>
      </w:pPr>
      <w:r>
        <w:rPr>
          <w:sz w:val="20"/>
        </w:rPr>
        <w:t xml:space="preserve">Утратил силу. - </w:t>
      </w:r>
      <w:hyperlink w:history="0" r:id="rId479"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5.2</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6315" w:name="P6315"/>
    <w:bookmarkEnd w:id="6315"/>
    <w:p>
      <w:pPr>
        <w:pStyle w:val="2"/>
        <w:jc w:val="center"/>
      </w:pPr>
      <w:r>
        <w:rPr>
          <w:sz w:val="20"/>
        </w:rPr>
        <w:t xml:space="preserve">Подпрограмма</w:t>
      </w:r>
    </w:p>
    <w:p>
      <w:pPr>
        <w:pStyle w:val="2"/>
        <w:jc w:val="center"/>
      </w:pPr>
      <w:r>
        <w:rPr>
          <w:sz w:val="20"/>
        </w:rPr>
        <w:t xml:space="preserve">"Государственная поддержка при завершении строительства</w:t>
      </w:r>
    </w:p>
    <w:p>
      <w:pPr>
        <w:pStyle w:val="2"/>
        <w:jc w:val="center"/>
      </w:pPr>
      <w:r>
        <w:rPr>
          <w:sz w:val="20"/>
        </w:rPr>
        <w:t xml:space="preserve">"проблемных" жилых домов" государственной программы</w:t>
      </w:r>
    </w:p>
    <w:p>
      <w:pPr>
        <w:pStyle w:val="2"/>
        <w:jc w:val="center"/>
      </w:pPr>
      <w:r>
        <w:rPr>
          <w:sz w:val="20"/>
        </w:rPr>
        <w:t xml:space="preserve">Новосибирской области "Стимулирование развития жилищного</w:t>
      </w:r>
    </w:p>
    <w:p>
      <w:pPr>
        <w:pStyle w:val="2"/>
        <w:jc w:val="center"/>
      </w:pPr>
      <w:r>
        <w:rPr>
          <w:sz w:val="20"/>
        </w:rPr>
        <w:t xml:space="preserve">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48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06.07.2018 N 287-п;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19.11.2018 </w:t>
            </w:r>
            <w:hyperlink w:history="0" r:id="rId481"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 от 05.02.2019 </w:t>
            </w:r>
            <w:hyperlink w:history="0" r:id="rId482"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color w:val="392c69"/>
              </w:rPr>
              <w:t xml:space="preserve">, от 19.03.2019 </w:t>
            </w:r>
            <w:hyperlink w:history="0" r:id="rId48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w:t>
            </w:r>
          </w:p>
          <w:p>
            <w:pPr>
              <w:pStyle w:val="0"/>
              <w:jc w:val="center"/>
            </w:pPr>
            <w:r>
              <w:rPr>
                <w:sz w:val="20"/>
                <w:color w:val="392c69"/>
              </w:rPr>
              <w:t xml:space="preserve">от 28.10.2019 </w:t>
            </w:r>
            <w:hyperlink w:history="0" r:id="rId484"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color w:val="392c69"/>
              </w:rPr>
              <w:t xml:space="preserve">, от 02.06.2020 </w:t>
            </w:r>
            <w:hyperlink w:history="0" r:id="rId485"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 от 29.09.2020 </w:t>
            </w:r>
            <w:hyperlink w:history="0" r:id="rId486"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color w:val="392c69"/>
              </w:rPr>
              <w:t xml:space="preserve">,</w:t>
            </w:r>
          </w:p>
          <w:p>
            <w:pPr>
              <w:pStyle w:val="0"/>
              <w:jc w:val="center"/>
            </w:pPr>
            <w:r>
              <w:rPr>
                <w:sz w:val="20"/>
                <w:color w:val="392c69"/>
              </w:rPr>
              <w:t xml:space="preserve">от 10.11.2020 </w:t>
            </w:r>
            <w:hyperlink w:history="0" r:id="rId487"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N 466-п</w:t>
              </w:r>
            </w:hyperlink>
            <w:r>
              <w:rPr>
                <w:sz w:val="20"/>
                <w:color w:val="392c69"/>
              </w:rPr>
              <w:t xml:space="preserve">, от 25.03.2021 </w:t>
            </w:r>
            <w:hyperlink w:history="0" r:id="rId488"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color w:val="392c69"/>
              </w:rPr>
              <w:t xml:space="preserve">, от 15.03.2022 </w:t>
            </w:r>
            <w:hyperlink w:history="0" r:id="rId489"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w:t>
            </w:r>
          </w:p>
          <w:p>
            <w:pPr>
              <w:pStyle w:val="0"/>
              <w:jc w:val="center"/>
            </w:pPr>
            <w:r>
              <w:rPr>
                <w:sz w:val="20"/>
                <w:color w:val="392c69"/>
              </w:rPr>
              <w:t xml:space="preserve">от 29.12.2022 </w:t>
            </w:r>
            <w:hyperlink w:history="0" r:id="rId490"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color w:val="392c69"/>
              </w:rPr>
              <w:t xml:space="preserve">, от 21.03.2023 </w:t>
            </w:r>
            <w:hyperlink w:history="0" r:id="rId491"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N 100-п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7"/>
        <w:gridCol w:w="7143"/>
      </w:tblGrid>
      <w:tr>
        <w:tblPrEx>
          <w:tblBorders>
            <w:insideH w:val="nil"/>
          </w:tblBorders>
        </w:tblPrEx>
        <w:tc>
          <w:tcPr>
            <w:tcW w:w="1927"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49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7"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"Государственная поддержка при завершении строительства "проблемных" жилых домов" государственной программы (далее - подпрограмма)</w:t>
            </w:r>
          </w:p>
        </w:tc>
      </w:tr>
      <w:tr>
        <w:tc>
          <w:tcPr>
            <w:tcW w:w="1927" w:type="dxa"/>
          </w:tcPr>
          <w:p>
            <w:pPr>
              <w:pStyle w:val="0"/>
            </w:pPr>
            <w:r>
              <w:rPr>
                <w:sz w:val="20"/>
              </w:rPr>
              <w:t xml:space="preserve">Разработчики подпрограммы</w:t>
            </w:r>
          </w:p>
        </w:tc>
        <w:tc>
          <w:tcPr>
            <w:tcW w:w="7143" w:type="dxa"/>
          </w:tcPr>
          <w:p>
            <w:pPr>
              <w:pStyle w:val="0"/>
              <w:jc w:val="both"/>
            </w:pPr>
            <w:r>
              <w:rPr>
                <w:sz w:val="20"/>
              </w:rPr>
              <w:t xml:space="preserve">Министерство строительства Новосибирской области (далее - Минстрой НСО)</w:t>
            </w:r>
          </w:p>
        </w:tc>
      </w:tr>
      <w:tr>
        <w:tc>
          <w:tcPr>
            <w:tcW w:w="1927" w:type="dxa"/>
          </w:tcPr>
          <w:p>
            <w:pPr>
              <w:pStyle w:val="0"/>
            </w:pPr>
            <w:r>
              <w:rPr>
                <w:sz w:val="20"/>
              </w:rPr>
              <w:t xml:space="preserve">Государственный заказчик (государственный заказчик-координатор) подпрограммы</w:t>
            </w:r>
          </w:p>
        </w:tc>
        <w:tc>
          <w:tcPr>
            <w:tcW w:w="7143" w:type="dxa"/>
          </w:tcPr>
          <w:p>
            <w:pPr>
              <w:pStyle w:val="0"/>
              <w:jc w:val="both"/>
            </w:pPr>
            <w:r>
              <w:rPr>
                <w:sz w:val="20"/>
              </w:rPr>
              <w:t xml:space="preserve">Минстрой НСО</w:t>
            </w:r>
          </w:p>
        </w:tc>
      </w:tr>
      <w:tr>
        <w:tblPrEx>
          <w:tblBorders>
            <w:insideH w:val="nil"/>
          </w:tblBorders>
        </w:tblPrEx>
        <w:tc>
          <w:tcPr>
            <w:tcW w:w="1927" w:type="dxa"/>
            <w:tcBorders>
              <w:bottom w:val="nil"/>
            </w:tcBorders>
          </w:tcPr>
          <w:p>
            <w:pPr>
              <w:pStyle w:val="0"/>
            </w:pPr>
            <w:r>
              <w:rPr>
                <w:sz w:val="20"/>
              </w:rPr>
              <w:t xml:space="preserve">Руководитель подпрограммы</w:t>
            </w:r>
          </w:p>
        </w:tc>
        <w:tc>
          <w:tcPr>
            <w:tcW w:w="7143" w:type="dxa"/>
            <w:tcBorders>
              <w:bottom w:val="nil"/>
            </w:tcBorders>
          </w:tcPr>
          <w:p>
            <w:pPr>
              <w:pStyle w:val="0"/>
              <w:jc w:val="both"/>
            </w:pPr>
            <w:r>
              <w:rPr>
                <w:sz w:val="20"/>
              </w:rPr>
              <w:t xml:space="preserve">Министр строительства Новосибирской области - Колмаков А.В.</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Новосибирской области от 19.11.2018 </w:t>
            </w:r>
            <w:hyperlink w:history="0" r:id="rId493"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15.03.2022 </w:t>
            </w:r>
            <w:hyperlink w:history="0" r:id="rId494"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 от 29.12.2022 </w:t>
            </w:r>
            <w:hyperlink w:history="0" r:id="rId495"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r>
        <w:tc>
          <w:tcPr>
            <w:tcW w:w="1927" w:type="dxa"/>
          </w:tcPr>
          <w:p>
            <w:pPr>
              <w:pStyle w:val="0"/>
            </w:pPr>
            <w:r>
              <w:rPr>
                <w:sz w:val="20"/>
              </w:rPr>
              <w:t xml:space="preserve">Цели и задачи подпрограммы</w:t>
            </w:r>
          </w:p>
        </w:tc>
        <w:tc>
          <w:tcPr>
            <w:tcW w:w="7143" w:type="dxa"/>
          </w:tcPr>
          <w:p>
            <w:pPr>
              <w:pStyle w:val="0"/>
              <w:jc w:val="both"/>
            </w:pPr>
            <w:r>
              <w:rPr>
                <w:sz w:val="20"/>
              </w:rPr>
              <w:t xml:space="preserve">Цель подпрограммы: принятие мер по соблюдению законных интересов граждан, чьи денежные средства привлечены для строительства многоквартирных жилых домов.</w:t>
            </w:r>
          </w:p>
          <w:p>
            <w:pPr>
              <w:pStyle w:val="0"/>
              <w:jc w:val="both"/>
            </w:pPr>
            <w:r>
              <w:rPr>
                <w:sz w:val="20"/>
              </w:rPr>
              <w:t xml:space="preserve">Задачи подпрограммы:</w:t>
            </w:r>
          </w:p>
          <w:p>
            <w:pPr>
              <w:pStyle w:val="0"/>
              <w:jc w:val="both"/>
            </w:pPr>
            <w:r>
              <w:rPr>
                <w:sz w:val="20"/>
              </w:rPr>
              <w:t xml:space="preserve">1. Обеспечение инженерной инфраструктурой "проблемных" объектов незавершенного строительства.</w:t>
            </w:r>
          </w:p>
          <w:p>
            <w:pPr>
              <w:pStyle w:val="0"/>
              <w:jc w:val="both"/>
            </w:pPr>
            <w:r>
              <w:rPr>
                <w:sz w:val="20"/>
              </w:rPr>
              <w:t xml:space="preserve">2. Компенсация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w:t>
            </w:r>
          </w:p>
          <w:p>
            <w:pPr>
              <w:pStyle w:val="0"/>
              <w:jc w:val="both"/>
            </w:pPr>
            <w:r>
              <w:rPr>
                <w:sz w:val="20"/>
              </w:rPr>
              <w:t xml:space="preserve">3. Профилактика возникновения новых случаев недобросовестных действий застройщиков при строительстве многоквартирных жилых домов в Новосибирской области</w:t>
            </w:r>
          </w:p>
        </w:tc>
      </w:tr>
      <w:tr>
        <w:tblPrEx>
          <w:tblBorders>
            <w:insideH w:val="nil"/>
          </w:tblBorders>
        </w:tblPrEx>
        <w:tc>
          <w:tcPr>
            <w:tcW w:w="1927"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- 2018 - 2025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Новосибирской области от 19.03.2019 </w:t>
            </w:r>
            <w:hyperlink w:history="0" r:id="rId49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497"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29.12.2022 </w:t>
            </w:r>
            <w:hyperlink w:history="0" r:id="rId498"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r>
        <w:tblPrEx>
          <w:tblBorders>
            <w:insideH w:val="nil"/>
          </w:tblBorders>
        </w:tblPrEx>
        <w:tc>
          <w:tcPr>
            <w:tcW w:w="1927" w:type="dxa"/>
            <w:tcBorders>
              <w:bottom w:val="nil"/>
            </w:tcBorders>
          </w:tcPr>
          <w:p>
            <w:pPr>
              <w:pStyle w:val="0"/>
            </w:pPr>
            <w:r>
              <w:rPr>
                <w:sz w:val="20"/>
              </w:rPr>
              <w:t xml:space="preserve">Объемы финансирования подпрограммы</w:t>
            </w:r>
          </w:p>
        </w:tc>
        <w:tc>
          <w:tcPr>
            <w:tcW w:w="7143" w:type="dxa"/>
            <w:tcBorders>
              <w:bottom w:val="nil"/>
            </w:tcBorders>
          </w:tcPr>
          <w:p>
            <w:pPr>
              <w:pStyle w:val="0"/>
            </w:pPr>
            <w:r>
              <w:rPr>
                <w:sz w:val="20"/>
              </w:rPr>
              <w:t xml:space="preserve">Общий объем ассигнований на реализацию подпрограммы составляет 849 551,8 тыс. руб.,</w:t>
            </w:r>
          </w:p>
          <w:p>
            <w:pPr>
              <w:pStyle w:val="0"/>
            </w:pPr>
            <w:r>
              <w:rPr>
                <w:sz w:val="20"/>
              </w:rPr>
              <w:t xml:space="preserve">в том числе по годам:</w:t>
            </w:r>
          </w:p>
          <w:p>
            <w:pPr>
              <w:pStyle w:val="0"/>
            </w:pPr>
            <w:r>
              <w:rPr>
                <w:sz w:val="20"/>
              </w:rPr>
              <w:t xml:space="preserve">2018 год - 57 202,1 тыс. руб.;</w:t>
            </w:r>
          </w:p>
          <w:p>
            <w:pPr>
              <w:pStyle w:val="0"/>
            </w:pPr>
            <w:r>
              <w:rPr>
                <w:sz w:val="20"/>
              </w:rPr>
              <w:t xml:space="preserve">2019 год - 112 238,9 тыс. руб.;</w:t>
            </w:r>
          </w:p>
          <w:p>
            <w:pPr>
              <w:pStyle w:val="0"/>
            </w:pPr>
            <w:r>
              <w:rPr>
                <w:sz w:val="20"/>
              </w:rPr>
              <w:t xml:space="preserve">2020 год - 42 210,9 тыс. руб.;</w:t>
            </w:r>
          </w:p>
          <w:p>
            <w:pPr>
              <w:pStyle w:val="0"/>
            </w:pPr>
            <w:r>
              <w:rPr>
                <w:sz w:val="20"/>
              </w:rPr>
              <w:t xml:space="preserve">2021 год - 70 429,6 тыс. руб.;</w:t>
            </w:r>
          </w:p>
          <w:p>
            <w:pPr>
              <w:pStyle w:val="0"/>
            </w:pPr>
            <w:r>
              <w:rPr>
                <w:sz w:val="20"/>
              </w:rPr>
              <w:t xml:space="preserve">2022 год - 87 382,7 тыс. руб.;</w:t>
            </w:r>
          </w:p>
          <w:p>
            <w:pPr>
              <w:pStyle w:val="0"/>
            </w:pPr>
            <w:r>
              <w:rPr>
                <w:sz w:val="20"/>
              </w:rPr>
              <w:t xml:space="preserve">2023 год - 160 029,2 тыс. руб.;</w:t>
            </w:r>
          </w:p>
          <w:p>
            <w:pPr>
              <w:pStyle w:val="0"/>
            </w:pPr>
            <w:r>
              <w:rPr>
                <w:sz w:val="20"/>
              </w:rPr>
              <w:t xml:space="preserve">2024 год - 160 029,2 тыс. руб.;</w:t>
            </w:r>
          </w:p>
          <w:p>
            <w:pPr>
              <w:pStyle w:val="0"/>
            </w:pPr>
            <w:r>
              <w:rPr>
                <w:sz w:val="20"/>
              </w:rPr>
              <w:t xml:space="preserve">2025 год - 160 029,2 тыс. руб.</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499"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tc>
      </w:tr>
      <w:tr>
        <w:tc>
          <w:tcPr>
            <w:tcW w:w="1927" w:type="dxa"/>
          </w:tcPr>
          <w:p>
            <w:pPr>
              <w:pStyle w:val="0"/>
            </w:pPr>
            <w:r>
              <w:rPr>
                <w:sz w:val="20"/>
              </w:rPr>
              <w:t xml:space="preserve">Основные целевые индикаторы подпрограммы</w:t>
            </w:r>
          </w:p>
        </w:tc>
        <w:tc>
          <w:tcPr>
            <w:tcW w:w="7143" w:type="dxa"/>
          </w:tcPr>
          <w:p>
            <w:pPr>
              <w:pStyle w:val="0"/>
              <w:jc w:val="both"/>
            </w:pPr>
            <w:r>
              <w:rPr>
                <w:sz w:val="20"/>
              </w:rPr>
              <w:t xml:space="preserve">Количество "проблемных" объектов, по которым выполнены мероприятия по обеспечению инженерной инфраструктурой и благоустройством придомовой территории;</w:t>
            </w:r>
          </w:p>
          <w:p>
            <w:pPr>
              <w:pStyle w:val="0"/>
              <w:jc w:val="both"/>
            </w:pPr>
            <w:r>
              <w:rPr>
                <w:sz w:val="20"/>
              </w:rPr>
              <w:t xml:space="preserve">количество граждан, пострадавших от действий недобросовестных застройщиков, получивших субсидии;</w:t>
            </w:r>
          </w:p>
          <w:p>
            <w:pPr>
              <w:pStyle w:val="0"/>
              <w:jc w:val="both"/>
            </w:pPr>
            <w:r>
              <w:rPr>
                <w:sz w:val="20"/>
              </w:rPr>
              <w:t xml:space="preserve">количество "проблемных" объектов, введенных в эксплуатацию, из общего количества незавершенных строительством "проблемных" объектов</w:t>
            </w:r>
          </w:p>
        </w:tc>
      </w:tr>
      <w:tr>
        <w:tblPrEx>
          <w:tblBorders>
            <w:insideH w:val="nil"/>
          </w:tblBorders>
        </w:tblPrEx>
        <w:tc>
          <w:tcPr>
            <w:tcW w:w="1927"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За счет реализации подпрограммы планируется:</w:t>
            </w:r>
          </w:p>
          <w:p>
            <w:pPr>
              <w:pStyle w:val="0"/>
              <w:jc w:val="both"/>
            </w:pPr>
            <w:r>
              <w:rPr>
                <w:sz w:val="20"/>
              </w:rPr>
              <w:t xml:space="preserve">выполнить мероприятия по обеспечению инженерной инфраструктурой и благоустройством придомовой территории 17 "проблемных" объектов - 100% от общего количества "проблемных" объектов, по которым требуется обеспечение инженерной инфраструктурой и благоустройство придомовой территории, согласно условиям предоставления государственной поддержки, что позволит защитить права и законные интересы 2419 граждан, пострадавших от действий недобросовестных застройщиков;</w:t>
            </w:r>
          </w:p>
          <w:p>
            <w:pPr>
              <w:pStyle w:val="0"/>
              <w:jc w:val="both"/>
            </w:pPr>
            <w:r>
              <w:rPr>
                <w:sz w:val="20"/>
              </w:rPr>
              <w:t xml:space="preserve">государственную поддержку получат 189 граждан, пострадавших от действий недобросовестных застройщиков;</w:t>
            </w:r>
          </w:p>
          <w:p>
            <w:pPr>
              <w:pStyle w:val="0"/>
              <w:jc w:val="both"/>
            </w:pPr>
            <w:r>
              <w:rPr>
                <w:sz w:val="20"/>
              </w:rPr>
              <w:t xml:space="preserve">достижение удельного веса "проблемных" объектов, введенных в эксплуатацию, в общем количестве не завершенных строительством "проблемных" объектов к концу 2024 года составит 100%</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Новосибирской области от 05.02.2019 </w:t>
            </w:r>
            <w:hyperlink w:history="0" r:id="rId500"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50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28.10.2019 </w:t>
            </w:r>
            <w:hyperlink w:history="0" r:id="rId502"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02.06.2020 </w:t>
            </w:r>
            <w:hyperlink w:history="0" r:id="rId503"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25.03.2021 </w:t>
            </w:r>
            <w:hyperlink w:history="0" r:id="rId504"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 от 15.03.2022 </w:t>
            </w:r>
            <w:hyperlink w:history="0" r:id="rId505"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 от 29.12.2022 </w:t>
            </w:r>
            <w:hyperlink w:history="0" r:id="rId506"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bl>
    <w:p>
      <w:pPr>
        <w:pStyle w:val="0"/>
        <w:ind w:firstLine="540"/>
        <w:jc w:val="both"/>
      </w:pPr>
      <w:r>
        <w:rPr>
          <w:sz w:val="20"/>
        </w:rPr>
      </w:r>
    </w:p>
    <w:p>
      <w:pPr>
        <w:pStyle w:val="2"/>
        <w:outlineLvl w:val="2"/>
        <w:jc w:val="center"/>
      </w:pPr>
      <w:r>
        <w:rPr>
          <w:sz w:val="20"/>
        </w:rPr>
        <w:t xml:space="preserve">II. Характеристика сферы деятельности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507"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508"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Абзац утратил силу. - </w:t>
      </w:r>
      <w:hyperlink w:history="0" r:id="rId50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Решение задачи по обеспечению инженерной инфраструктурой "проблемных" объектов незавершенного строительства обеспечивается за счет:</w:t>
      </w:r>
    </w:p>
    <w:p>
      <w:pPr>
        <w:pStyle w:val="0"/>
        <w:jc w:val="both"/>
      </w:pPr>
      <w:r>
        <w:rPr>
          <w:sz w:val="20"/>
        </w:rPr>
        <w:t xml:space="preserve">(в ред. </w:t>
      </w:r>
      <w:hyperlink w:history="0" r:id="rId51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предоставления субсидий и иных межбюджетных трансфертов бюджетам муниципальных образований Новосибирской области на покрытие части расходов на оплату по договорам технологического присоединения к сетям электро-, тепло-, водоснабжения и водоотведения,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 (далее - государственная поддержка, объект жилищного строительства).</w:t>
      </w:r>
    </w:p>
    <w:p>
      <w:pPr>
        <w:pStyle w:val="0"/>
        <w:jc w:val="both"/>
      </w:pPr>
      <w:r>
        <w:rPr>
          <w:sz w:val="20"/>
        </w:rPr>
        <w:t xml:space="preserve">(в ред. постановлений Правительства Новосибирской области от 19.03.2019 </w:t>
      </w:r>
      <w:hyperlink w:history="0" r:id="rId51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28.10.2019 </w:t>
      </w:r>
      <w:hyperlink w:history="0" r:id="rId512"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10.11.2020 </w:t>
      </w:r>
      <w:hyperlink w:history="0" r:id="rId513"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N 466-п</w:t>
        </w:r>
      </w:hyperlink>
      <w:r>
        <w:rPr>
          <w:sz w:val="20"/>
        </w:rPr>
        <w:t xml:space="preserve">)</w:t>
      </w:r>
    </w:p>
    <w:p>
      <w:pPr>
        <w:pStyle w:val="0"/>
        <w:spacing w:before="200" w:line-rule="auto"/>
        <w:ind w:firstLine="540"/>
        <w:jc w:val="both"/>
      </w:pPr>
      <w:r>
        <w:rPr>
          <w:sz w:val="20"/>
        </w:rPr>
        <w:t xml:space="preserve">Государственная поддержка осуществляется в соответствии с </w:t>
      </w:r>
      <w:hyperlink w:history="0" w:anchor="P9236" w:tooltip="Порядок">
        <w:r>
          <w:rPr>
            <w:sz w:val="20"/>
            <w:color w:val="0000ff"/>
          </w:rPr>
          <w:t xml:space="preserve">Порядком</w:t>
        </w:r>
      </w:hyperlink>
      <w:r>
        <w:rPr>
          <w:sz w:val="20"/>
        </w:rPr>
        <w:t xml:space="preserve"> предоставления и распределения субсидий из областного бюджета Новосибирской области местным бюджетам на реализацию государственной программы согласно приложению N 14 к государственной программе Новосибирской области "Стимулирование развития жилищного строительства в Новосибирской области" и </w:t>
      </w:r>
      <w:hyperlink w:history="0" w:anchor="P9485" w:tooltip="МЕТОДИКА">
        <w:r>
          <w:rPr>
            <w:sz w:val="20"/>
            <w:color w:val="0000ff"/>
          </w:rPr>
          <w:t xml:space="preserve">Методикой</w:t>
        </w:r>
      </w:hyperlink>
      <w:r>
        <w:rPr>
          <w:sz w:val="20"/>
        </w:rPr>
        <w:t xml:space="preserve"> распределения иных межбюджетных трансфертов и правилами их предоставления из областного бюджета Новосибирской области местным бюджетам на реализацию мероприятий в рамках подпрограммы "Государственная поддержка при завершении строительства "проблемных" жилых домов" государственной программы Новосибирской области "Стимулирование развития жилищного строительства в Новосибирской области" согласно приложению N 15 к государственной программе.</w:t>
      </w:r>
    </w:p>
    <w:p>
      <w:pPr>
        <w:pStyle w:val="0"/>
        <w:jc w:val="both"/>
      </w:pPr>
      <w:r>
        <w:rPr>
          <w:sz w:val="20"/>
        </w:rPr>
        <w:t xml:space="preserve">(в ред. постановлений Правительства Новосибирской области от 19.03.2019 </w:t>
      </w:r>
      <w:hyperlink w:history="0" r:id="rId51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29.09.2020 </w:t>
      </w:r>
      <w:hyperlink w:history="0" r:id="rId515"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rPr>
        <w:t xml:space="preserve">, от 10.11.2020 </w:t>
      </w:r>
      <w:hyperlink w:history="0" r:id="rId516"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N 466-п</w:t>
        </w:r>
      </w:hyperlink>
      <w:r>
        <w:rPr>
          <w:sz w:val="20"/>
        </w:rPr>
        <w:t xml:space="preserve">)</w:t>
      </w:r>
    </w:p>
    <w:p>
      <w:pPr>
        <w:pStyle w:val="0"/>
        <w:spacing w:before="200" w:line-rule="auto"/>
        <w:ind w:firstLine="540"/>
        <w:jc w:val="both"/>
      </w:pPr>
      <w:r>
        <w:rPr>
          <w:sz w:val="20"/>
        </w:rPr>
        <w:t xml:space="preserve">Организация и проведение отбора объектов жилищного строительства, по которым требуется покрытие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 осуществляется органами местного самоуправления муниципальных образований, на территории которых находятся объекты жилищного строительства.</w:t>
      </w:r>
    </w:p>
    <w:p>
      <w:pPr>
        <w:pStyle w:val="0"/>
        <w:spacing w:before="200" w:line-rule="auto"/>
        <w:ind w:firstLine="540"/>
        <w:jc w:val="both"/>
      </w:pPr>
      <w:r>
        <w:rPr>
          <w:sz w:val="20"/>
        </w:rPr>
        <w:t xml:space="preserve">С 2020 года завершение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осуществляется за счет денежных средств, предоставляемых публично-правовой компанией "Фонд защиты прав граждан - участников долевого строительства".</w:t>
      </w:r>
    </w:p>
    <w:p>
      <w:pPr>
        <w:pStyle w:val="0"/>
        <w:jc w:val="both"/>
      </w:pPr>
      <w:r>
        <w:rPr>
          <w:sz w:val="20"/>
        </w:rPr>
        <w:t xml:space="preserve">(абзац введен </w:t>
      </w:r>
      <w:hyperlink w:history="0" r:id="rId517"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02.06.2020 N 215-п)</w:t>
      </w:r>
    </w:p>
    <w:p>
      <w:pPr>
        <w:pStyle w:val="0"/>
        <w:spacing w:before="200" w:line-rule="auto"/>
        <w:ind w:firstLine="540"/>
        <w:jc w:val="both"/>
      </w:pPr>
      <w:r>
        <w:rPr>
          <w:sz w:val="20"/>
        </w:rPr>
        <w:t xml:space="preserve">На основании соглашения между Минстроем НСО и Фондом защиты прав граждан - участников долевого строительства Новосибирской области предоставление субсидий осуществляется в виде имущественного взноса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установленных Минстрою НСО в целях обеспечения реализации мероприятий, связанных с завершением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Федеральным </w:t>
      </w:r>
      <w:hyperlink w:history="0" r:id="rId518"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целью урегулирования обязательств застройщиков, осуществляющих строительство многоквартирных домов на территории Новосибирской области и признанных банкротами, перед участниками долевого строительства, и (или) завершением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w:t>
      </w:r>
    </w:p>
    <w:p>
      <w:pPr>
        <w:pStyle w:val="0"/>
        <w:jc w:val="both"/>
      </w:pPr>
      <w:r>
        <w:rPr>
          <w:sz w:val="20"/>
        </w:rPr>
        <w:t xml:space="preserve">(абзац введен </w:t>
      </w:r>
      <w:hyperlink w:history="0" r:id="rId519"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02.06.2020 N 215-п)</w:t>
      </w:r>
    </w:p>
    <w:p>
      <w:pPr>
        <w:pStyle w:val="0"/>
        <w:spacing w:before="200" w:line-rule="auto"/>
        <w:ind w:firstLine="540"/>
        <w:jc w:val="both"/>
      </w:pPr>
      <w:r>
        <w:rPr>
          <w:sz w:val="20"/>
        </w:rPr>
        <w:t xml:space="preserve">Решение задачи по компенсации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 обеспечивается за счет:</w:t>
      </w:r>
    </w:p>
    <w:p>
      <w:pPr>
        <w:pStyle w:val="0"/>
        <w:jc w:val="both"/>
      </w:pPr>
      <w:r>
        <w:rPr>
          <w:sz w:val="20"/>
        </w:rPr>
        <w:t xml:space="preserve">(в ред. </w:t>
      </w:r>
      <w:hyperlink w:history="0" r:id="rId52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предоставления субсидий гражданам, пострадавшим от недобросовестных застройщиков.</w:t>
      </w:r>
    </w:p>
    <w:p>
      <w:pPr>
        <w:pStyle w:val="0"/>
        <w:jc w:val="both"/>
      </w:pPr>
      <w:r>
        <w:rPr>
          <w:sz w:val="20"/>
        </w:rPr>
        <w:t xml:space="preserve">(в ред. </w:t>
      </w:r>
      <w:hyperlink w:history="0" r:id="rId52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Предоставление данных субсидий осуществляется в соответствии с </w:t>
      </w:r>
      <w:hyperlink w:history="0" r:id="rId522" w:tooltip="Постановление администрации Новосибирской области от 09.03.2010 N 80-па (ред. от 11.06.2019) &quot;Об оказании государственной поддержки гражданам, пострадавшим от действий недобросовестных застройщиков в Новосибирской области&quot; (вместе с &quot;Положением об условиях и порядке предоставления гражданам, пострадавшим от действий недобросовестных застройщиков, субсидий на оплату дополнительных расходов, необходимых для завершения строительства многоквартирных домов&quot;) {КонсультантПлюс}">
        <w:r>
          <w:rPr>
            <w:sz w:val="20"/>
            <w:color w:val="0000ff"/>
          </w:rPr>
          <w:t xml:space="preserve">постановлением</w:t>
        </w:r>
      </w:hyperlink>
      <w:r>
        <w:rPr>
          <w:sz w:val="20"/>
        </w:rPr>
        <w:t xml:space="preserve"> администрации Новосибирской области от 09.03.2010 N 80-па "Об оказании государственной поддержки гражданам, пострадавшим от действий недобросовестных застройщиков в Новосибирской области".</w:t>
      </w:r>
    </w:p>
    <w:p>
      <w:pPr>
        <w:pStyle w:val="0"/>
        <w:spacing w:before="200" w:line-rule="auto"/>
        <w:ind w:firstLine="540"/>
        <w:jc w:val="both"/>
      </w:pPr>
      <w:r>
        <w:rPr>
          <w:sz w:val="20"/>
        </w:rPr>
        <w:t xml:space="preserve">В рамках реализации данного направления гражданам, вложившим денежные средства в строительство многоквартирных домов в Новосибирской области и пострадавшим от действий недобросовестных застройщиков, нуждающимся в жилых помещениях, предоставляются субсидии из областного бюджета Новосибирской области на оплату дополнительных расходов, необходимых для завершения строительства многоквартирных домов.</w:t>
      </w:r>
    </w:p>
    <w:p>
      <w:pPr>
        <w:pStyle w:val="0"/>
        <w:spacing w:before="200" w:line-rule="auto"/>
        <w:ind w:firstLine="540"/>
        <w:jc w:val="both"/>
      </w:pPr>
      <w:r>
        <w:rPr>
          <w:sz w:val="20"/>
        </w:rPr>
        <w:t xml:space="preserve">Решение задачи по профилактике возникновения новых случаев недобросовестных действий застройщиков при строительстве многоквартирных жилых домов в Новосибирской области обеспечивается за счет:</w:t>
      </w:r>
    </w:p>
    <w:p>
      <w:pPr>
        <w:pStyle w:val="0"/>
        <w:jc w:val="both"/>
      </w:pPr>
      <w:r>
        <w:rPr>
          <w:sz w:val="20"/>
        </w:rPr>
        <w:t xml:space="preserve">(в ред. </w:t>
      </w:r>
      <w:hyperlink w:history="0" r:id="rId52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1. Проведения мониторинга объектов жилищного строительства, по которым застройщиком не исполнены обязательства по вводу в эксплуатацию многоквартирного дома в соответствии с условиями договора участия в долевом строительстве.</w:t>
      </w:r>
    </w:p>
    <w:p>
      <w:pPr>
        <w:pStyle w:val="0"/>
        <w:jc w:val="both"/>
      </w:pPr>
      <w:r>
        <w:rPr>
          <w:sz w:val="20"/>
        </w:rPr>
        <w:t xml:space="preserve">(в ред. </w:t>
      </w:r>
      <w:hyperlink w:history="0" r:id="rId52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Данное мероприятие реализуется путем проведения анализа сведений, отраженных в ежеквартальной отчетности об осуществлении деятельности застройщика, связанной с привлечением денежных средств участников долевого строительства, а также информации, поступающей от участников долевого строительства, от органов государственной власти, органов местного самоуправления, из средств массовой информации, информационно-телекоммуникационной сети "Интернет".</w:t>
      </w:r>
    </w:p>
    <w:p>
      <w:pPr>
        <w:pStyle w:val="0"/>
        <w:spacing w:before="200" w:line-rule="auto"/>
        <w:ind w:firstLine="540"/>
        <w:jc w:val="both"/>
      </w:pPr>
      <w:r>
        <w:rPr>
          <w:sz w:val="20"/>
        </w:rPr>
        <w:t xml:space="preserve">2. Проведения контрольно-проверочных мероприятий, направленных на соблюдение требований законодательства о долевом строительстве, на основании анализа отчетности застройщиков и информации органов местного самоуправления.</w:t>
      </w:r>
    </w:p>
    <w:p>
      <w:pPr>
        <w:pStyle w:val="0"/>
        <w:jc w:val="both"/>
      </w:pPr>
      <w:r>
        <w:rPr>
          <w:sz w:val="20"/>
        </w:rPr>
        <w:t xml:space="preserve">(в ред. </w:t>
      </w:r>
      <w:hyperlink w:history="0" r:id="rId52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Данное мероприятие реализуется следующим образом:</w:t>
      </w:r>
    </w:p>
    <w:p>
      <w:pPr>
        <w:pStyle w:val="0"/>
        <w:spacing w:before="200" w:line-rule="auto"/>
        <w:ind w:firstLine="540"/>
        <w:jc w:val="both"/>
      </w:pPr>
      <w:r>
        <w:rPr>
          <w:sz w:val="20"/>
        </w:rPr>
        <w:t xml:space="preserve">проведение плановых и внеплановых проверок деятельности застройщиков при строительстве объектов недвижимости, в том числе проверок целевого использования денежных средств участников долевого строительства в соответствии с полномочиями Минстроя НСО на основании </w:t>
      </w:r>
      <w:hyperlink w:history="0" r:id="rId526" w:tooltip="Постановление Правительства Новосибирской области от 02.10.2014 N 398-п (ред. от 25.08.2022) &quot;О министерстве стро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02.10.2014 N 398-п "О министерстве строительства Новосибирской области";</w:t>
      </w:r>
    </w:p>
    <w:p>
      <w:pPr>
        <w:pStyle w:val="0"/>
        <w:spacing w:before="200" w:line-rule="auto"/>
        <w:ind w:firstLine="540"/>
        <w:jc w:val="both"/>
      </w:pPr>
      <w:r>
        <w:rPr>
          <w:sz w:val="20"/>
        </w:rPr>
        <w:t xml:space="preserve">принятие мер, необходимых для привлечения лиц, привлекающих денежные средства граждан для строительства (их должностных лиц), к ответственности, установленной </w:t>
      </w:r>
      <w:hyperlink w:history="0" r:id="rId527"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пунктом 10 части 6 статьи 23</w:t>
        </w:r>
      </w:hyperlink>
      <w:r>
        <w:rPr>
          <w:sz w:val="20"/>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N 214-ФЗ);</w:t>
      </w:r>
    </w:p>
    <w:p>
      <w:pPr>
        <w:pStyle w:val="0"/>
        <w:spacing w:before="200" w:line-rule="auto"/>
        <w:ind w:firstLine="540"/>
        <w:jc w:val="both"/>
      </w:pPr>
      <w:r>
        <w:rPr>
          <w:sz w:val="20"/>
        </w:rPr>
        <w:t xml:space="preserve">направление застройщикам предписаний об устранении нарушений Федерального </w:t>
      </w:r>
      <w:hyperlink w:history="0" r:id="rId528"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N 214-ФЗ, нормативных правовых актов Президента Российской Федерации, нормативных правовых актов Правительства Российской Федерации с установлением сроков устранения таких нарушений, а также отслеживание их исполнения;</w:t>
      </w:r>
    </w:p>
    <w:p>
      <w:pPr>
        <w:pStyle w:val="0"/>
        <w:spacing w:before="200" w:line-rule="auto"/>
        <w:ind w:firstLine="540"/>
        <w:jc w:val="both"/>
      </w:pPr>
      <w:r>
        <w:rPr>
          <w:sz w:val="20"/>
        </w:rPr>
        <w:t xml:space="preserve">обращение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w:history="0" r:id="rId529"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частями 15</w:t>
        </w:r>
      </w:hyperlink>
      <w:r>
        <w:rPr>
          <w:sz w:val="20"/>
        </w:rPr>
        <w:t xml:space="preserve">, </w:t>
      </w:r>
      <w:hyperlink w:history="0" r:id="rId530"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16 статьи 23</w:t>
        </w:r>
      </w:hyperlink>
      <w:r>
        <w:rPr>
          <w:sz w:val="20"/>
        </w:rPr>
        <w:t xml:space="preserve"> Федерального закона N 214-ФЗ.</w:t>
      </w:r>
    </w:p>
    <w:p>
      <w:pPr>
        <w:pStyle w:val="0"/>
        <w:spacing w:before="200" w:line-rule="auto"/>
        <w:ind w:firstLine="540"/>
        <w:jc w:val="both"/>
      </w:pPr>
      <w:r>
        <w:rPr>
          <w:sz w:val="20"/>
        </w:rPr>
        <w:t xml:space="preserve">3. Проведения консультационной работы с гражданами.</w:t>
      </w:r>
    </w:p>
    <w:p>
      <w:pPr>
        <w:pStyle w:val="0"/>
        <w:jc w:val="both"/>
      </w:pPr>
      <w:r>
        <w:rPr>
          <w:sz w:val="20"/>
        </w:rPr>
        <w:t xml:space="preserve">(в ред. </w:t>
      </w:r>
      <w:hyperlink w:history="0" r:id="rId53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Данное мероприятие реализуется путем проведения консультационной работы по разъяснению положений законодательства о долевом строительстве; рассмотрения обращений граждан и юридических лиц, связанных с нарушениями требований Федерального </w:t>
      </w:r>
      <w:hyperlink w:history="0" r:id="rId532" w:tooltip="Федеральный закон от 30.12.2004 N 214-ФЗ (ред. от 28.12.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N 214-ФЗ, осуществления взаимодействия с правоохранительными органами различных уровней путем обмена информацией.</w:t>
      </w:r>
    </w:p>
    <w:p>
      <w:pPr>
        <w:pStyle w:val="0"/>
        <w:spacing w:before="200" w:line-rule="auto"/>
        <w:ind w:firstLine="540"/>
        <w:jc w:val="both"/>
      </w:pPr>
      <w:r>
        <w:rPr>
          <w:sz w:val="20"/>
        </w:rPr>
        <w:t xml:space="preserve">Комплекс мероприятий, предусмотренный в рамках задачи по профилактике возникновения новых случаев недобросовестных действий застройщиков при строительстве многоквартирных жилых домов в Новосибирской области, направлен на сокращение общего количества незавершенных строительством "проблемных" объектов.</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ind w:firstLine="540"/>
        <w:jc w:val="both"/>
      </w:pPr>
      <w:r>
        <w:rPr>
          <w:sz w:val="20"/>
        </w:rPr>
      </w:r>
    </w:p>
    <w:p>
      <w:pPr>
        <w:pStyle w:val="0"/>
        <w:ind w:firstLine="540"/>
        <w:jc w:val="both"/>
      </w:pPr>
      <w:r>
        <w:rPr>
          <w:sz w:val="20"/>
        </w:rPr>
        <w:t xml:space="preserve">Утратил силу. - </w:t>
      </w:r>
      <w:hyperlink w:history="0" r:id="rId533"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6436" w:name="P6436"/>
    <w:bookmarkEnd w:id="6436"/>
    <w:p>
      <w:pPr>
        <w:pStyle w:val="2"/>
        <w:jc w:val="center"/>
      </w:pPr>
      <w:r>
        <w:rPr>
          <w:sz w:val="20"/>
        </w:rPr>
        <w:t xml:space="preserve">Подпрограмма</w:t>
      </w:r>
    </w:p>
    <w:p>
      <w:pPr>
        <w:pStyle w:val="2"/>
        <w:jc w:val="center"/>
      </w:pPr>
      <w:r>
        <w:rPr>
          <w:sz w:val="20"/>
        </w:rPr>
        <w:t xml:space="preserve">"Государственная поддержка граждан при приобретении</w:t>
      </w:r>
    </w:p>
    <w:p>
      <w:pPr>
        <w:pStyle w:val="2"/>
        <w:jc w:val="center"/>
      </w:pPr>
      <w:r>
        <w:rPr>
          <w:sz w:val="20"/>
        </w:rPr>
        <w:t xml:space="preserve">(строительстве) жилья и стимулирование развития ипотечного</w:t>
      </w:r>
    </w:p>
    <w:p>
      <w:pPr>
        <w:pStyle w:val="2"/>
        <w:jc w:val="center"/>
      </w:pPr>
      <w:r>
        <w:rPr>
          <w:sz w:val="20"/>
        </w:rPr>
        <w:t xml:space="preserve">кредитования" государственной программы Новосибирской</w:t>
      </w:r>
    </w:p>
    <w:p>
      <w:pPr>
        <w:pStyle w:val="2"/>
        <w:jc w:val="center"/>
      </w:pPr>
      <w:r>
        <w:rPr>
          <w:sz w:val="20"/>
        </w:rPr>
        <w:t xml:space="preserve">области "Стимулирование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15.02.2017 </w:t>
            </w:r>
            <w:hyperlink w:history="0" r:id="rId534"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color w:val="392c69"/>
              </w:rPr>
              <w:t xml:space="preserve">, от 06.07.2018 </w:t>
            </w:r>
            <w:hyperlink w:history="0" r:id="rId53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 от 19.11.2018 </w:t>
            </w:r>
            <w:hyperlink w:history="0" r:id="rId536"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w:t>
            </w:r>
          </w:p>
          <w:p>
            <w:pPr>
              <w:pStyle w:val="0"/>
              <w:jc w:val="center"/>
            </w:pPr>
            <w:r>
              <w:rPr>
                <w:sz w:val="20"/>
                <w:color w:val="392c69"/>
              </w:rPr>
              <w:t xml:space="preserve">от 05.02.2019 </w:t>
            </w:r>
            <w:hyperlink w:history="0" r:id="rId537"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color w:val="392c69"/>
              </w:rPr>
              <w:t xml:space="preserve">, от 19.03.2019 </w:t>
            </w:r>
            <w:hyperlink w:history="0" r:id="rId538"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 от 01.04.2019 </w:t>
            </w:r>
            <w:hyperlink w:history="0" r:id="rId539" w:tooltip="Постановление Правительства Новосибирской области от 01.04.2019 N 121-п &quot;О внесении изменений в постановление Правительства Новосибирской области от 20.02.2015 N 68-п&quot; {КонсультантПлюс}">
              <w:r>
                <w:rPr>
                  <w:sz w:val="20"/>
                  <w:color w:val="0000ff"/>
                </w:rPr>
                <w:t xml:space="preserve">N 121-п</w:t>
              </w:r>
            </w:hyperlink>
            <w:r>
              <w:rPr>
                <w:sz w:val="20"/>
                <w:color w:val="392c69"/>
              </w:rPr>
              <w:t xml:space="preserve">,</w:t>
            </w:r>
          </w:p>
          <w:p>
            <w:pPr>
              <w:pStyle w:val="0"/>
              <w:jc w:val="center"/>
            </w:pPr>
            <w:r>
              <w:rPr>
                <w:sz w:val="20"/>
                <w:color w:val="392c69"/>
              </w:rPr>
              <w:t xml:space="preserve">от 28.10.2019 </w:t>
            </w:r>
            <w:hyperlink w:history="0" r:id="rId540"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color w:val="392c69"/>
              </w:rPr>
              <w:t xml:space="preserve">, от 02.06.2020 </w:t>
            </w:r>
            <w:hyperlink w:history="0" r:id="rId541"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 от 29.09.2020 </w:t>
            </w:r>
            <w:hyperlink w:history="0" r:id="rId542"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color w:val="392c69"/>
              </w:rPr>
              <w:t xml:space="preserve">,</w:t>
            </w:r>
          </w:p>
          <w:p>
            <w:pPr>
              <w:pStyle w:val="0"/>
              <w:jc w:val="center"/>
            </w:pPr>
            <w:r>
              <w:rPr>
                <w:sz w:val="20"/>
                <w:color w:val="392c69"/>
              </w:rPr>
              <w:t xml:space="preserve">от 25.03.2021 </w:t>
            </w:r>
            <w:hyperlink w:history="0" r:id="rId543"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color w:val="392c69"/>
              </w:rPr>
              <w:t xml:space="preserve">, от 15.03.2022 </w:t>
            </w:r>
            <w:hyperlink w:history="0" r:id="rId544"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 от 29.12.2022 </w:t>
            </w:r>
            <w:hyperlink w:history="0" r:id="rId545"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color w:val="392c69"/>
              </w:rPr>
              <w:t xml:space="preserve">,</w:t>
            </w:r>
          </w:p>
          <w:p>
            <w:pPr>
              <w:pStyle w:val="0"/>
              <w:jc w:val="center"/>
            </w:pPr>
            <w:r>
              <w:rPr>
                <w:sz w:val="20"/>
                <w:color w:val="392c69"/>
              </w:rPr>
              <w:t xml:space="preserve">от 21.03.2023 </w:t>
            </w:r>
            <w:hyperlink w:history="0" r:id="rId546"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N 100-п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143"/>
      </w:tblGrid>
      <w:tr>
        <w:tblPrEx>
          <w:tblBorders>
            <w:insideH w:val="nil"/>
          </w:tblBorders>
        </w:tblPrEx>
        <w:tc>
          <w:tcPr>
            <w:tcW w:w="1928"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54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8"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"Государственная поддержка граждан при приобретении (строительстве) жилья и стимулирование развития ипотечного кредитования" государственной программы (далее - подпрограмма)</w:t>
            </w:r>
          </w:p>
        </w:tc>
      </w:tr>
      <w:tr>
        <w:tblPrEx>
          <w:tblBorders>
            <w:insideH w:val="nil"/>
          </w:tblBorders>
        </w:tblPrEx>
        <w:tc>
          <w:tcPr>
            <w:tcW w:w="1928" w:type="dxa"/>
            <w:tcBorders>
              <w:bottom w:val="nil"/>
            </w:tcBorders>
          </w:tcPr>
          <w:p>
            <w:pPr>
              <w:pStyle w:val="0"/>
            </w:pPr>
            <w:r>
              <w:rPr>
                <w:sz w:val="20"/>
              </w:rPr>
              <w:t xml:space="preserve">Разработчики подпрограммы</w:t>
            </w:r>
          </w:p>
        </w:tc>
        <w:tc>
          <w:tcPr>
            <w:tcW w:w="7143" w:type="dxa"/>
            <w:tcBorders>
              <w:bottom w:val="nil"/>
            </w:tcBorders>
          </w:tcPr>
          <w:p>
            <w:pPr>
              <w:pStyle w:val="0"/>
              <w:jc w:val="both"/>
            </w:pPr>
            <w:r>
              <w:rPr>
                <w:sz w:val="20"/>
              </w:rPr>
              <w:t xml:space="preserve">Министерство строительства Новосибирской области (далее - 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54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549"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Государственный заказчик (государственный заказчик-координатор) подпрограммы</w:t>
            </w:r>
          </w:p>
        </w:tc>
        <w:tc>
          <w:tcPr>
            <w:tcW w:w="7143" w:type="dxa"/>
            <w:tcBorders>
              <w:bottom w:val="nil"/>
            </w:tcBorders>
          </w:tcPr>
          <w:p>
            <w:pPr>
              <w:pStyle w:val="0"/>
              <w:jc w:val="both"/>
            </w:pPr>
            <w:r>
              <w:rPr>
                <w:sz w:val="20"/>
              </w:rPr>
              <w:t xml:space="preserve">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55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551"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Руководитель подпрограммы</w:t>
            </w:r>
          </w:p>
        </w:tc>
        <w:tc>
          <w:tcPr>
            <w:tcW w:w="7143" w:type="dxa"/>
            <w:tcBorders>
              <w:bottom w:val="nil"/>
            </w:tcBorders>
          </w:tcPr>
          <w:p>
            <w:pPr>
              <w:pStyle w:val="0"/>
              <w:jc w:val="both"/>
            </w:pPr>
            <w:r>
              <w:rPr>
                <w:sz w:val="20"/>
              </w:rPr>
              <w:t xml:space="preserve">Министр строительства Новосибирской области - Колмаков А.В.</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55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553"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15.03.2022 </w:t>
            </w:r>
            <w:hyperlink w:history="0" r:id="rId554"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 от 29.12.2022 </w:t>
            </w:r>
            <w:hyperlink w:history="0" r:id="rId555"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Цели и задачи подпрограммы</w:t>
            </w:r>
          </w:p>
        </w:tc>
        <w:tc>
          <w:tcPr>
            <w:tcW w:w="7143" w:type="dxa"/>
            <w:tcBorders>
              <w:bottom w:val="nil"/>
            </w:tcBorders>
          </w:tcPr>
          <w:p>
            <w:pPr>
              <w:pStyle w:val="0"/>
              <w:jc w:val="both"/>
            </w:pPr>
            <w:r>
              <w:rPr>
                <w:sz w:val="20"/>
              </w:rPr>
              <w:t xml:space="preserve">Цель: содействие в улучшении жилищных условий экономически активного населения.</w:t>
            </w:r>
          </w:p>
          <w:p>
            <w:pPr>
              <w:pStyle w:val="0"/>
              <w:jc w:val="both"/>
            </w:pPr>
            <w:r>
              <w:rPr>
                <w:sz w:val="20"/>
              </w:rPr>
              <w:t xml:space="preserve">Задача 1: поддержка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p>
            <w:pPr>
              <w:pStyle w:val="0"/>
              <w:jc w:val="both"/>
            </w:pPr>
            <w:r>
              <w:rPr>
                <w:sz w:val="20"/>
              </w:rPr>
              <w:t xml:space="preserve">Задача 2: стимулирование развития ипотечного кредитования</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556"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blPrEx>
          <w:tblBorders>
            <w:insideH w:val="nil"/>
          </w:tblBorders>
        </w:tblPrEx>
        <w:tc>
          <w:tcPr>
            <w:tcW w:w="1928"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- 2015 - 2025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19.03.2019 </w:t>
            </w:r>
            <w:hyperlink w:history="0" r:id="rId55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558"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29.12.2022 </w:t>
            </w:r>
            <w:hyperlink w:history="0" r:id="rId559"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Объемы финансирования подпрограммы</w:t>
            </w:r>
          </w:p>
        </w:tc>
        <w:tc>
          <w:tcPr>
            <w:tcW w:w="7143" w:type="dxa"/>
            <w:tcBorders>
              <w:bottom w:val="nil"/>
            </w:tcBorders>
          </w:tcPr>
          <w:p>
            <w:pPr>
              <w:pStyle w:val="0"/>
            </w:pPr>
            <w:r>
              <w:rPr>
                <w:sz w:val="20"/>
              </w:rPr>
              <w:t xml:space="preserve">Общий объем ассигнований на реализацию подпрограммы составляет 1 741 252,5 тыс. руб.,</w:t>
            </w:r>
          </w:p>
          <w:p>
            <w:pPr>
              <w:pStyle w:val="0"/>
            </w:pPr>
            <w:r>
              <w:rPr>
                <w:sz w:val="20"/>
              </w:rPr>
              <w:t xml:space="preserve">в том числе по годам:</w:t>
            </w:r>
          </w:p>
          <w:p>
            <w:pPr>
              <w:pStyle w:val="0"/>
            </w:pPr>
            <w:r>
              <w:rPr>
                <w:sz w:val="20"/>
              </w:rPr>
              <w:t xml:space="preserve">2015 год - 825 041,6 тыс. руб.;</w:t>
            </w:r>
          </w:p>
          <w:p>
            <w:pPr>
              <w:pStyle w:val="0"/>
            </w:pPr>
            <w:r>
              <w:rPr>
                <w:sz w:val="20"/>
              </w:rPr>
              <w:t xml:space="preserve">2016 год - 707 454,1 тыс. руб.;</w:t>
            </w:r>
          </w:p>
          <w:p>
            <w:pPr>
              <w:pStyle w:val="0"/>
            </w:pPr>
            <w:r>
              <w:rPr>
                <w:sz w:val="20"/>
              </w:rPr>
              <w:t xml:space="preserve">2017 год - 111 322,4 тыс. руб.;</w:t>
            </w:r>
          </w:p>
          <w:p>
            <w:pPr>
              <w:pStyle w:val="0"/>
            </w:pPr>
            <w:r>
              <w:rPr>
                <w:sz w:val="20"/>
              </w:rPr>
              <w:t xml:space="preserve">2018 год - 53 200,0 тыс. руб.;</w:t>
            </w:r>
          </w:p>
          <w:p>
            <w:pPr>
              <w:pStyle w:val="0"/>
            </w:pPr>
            <w:r>
              <w:rPr>
                <w:sz w:val="20"/>
              </w:rPr>
              <w:t xml:space="preserve">2019 год - 12 723,1 тыс. руб.;</w:t>
            </w:r>
          </w:p>
          <w:p>
            <w:pPr>
              <w:pStyle w:val="0"/>
            </w:pPr>
            <w:r>
              <w:rPr>
                <w:sz w:val="20"/>
              </w:rPr>
              <w:t xml:space="preserve">2020 год - 4 250,8 тыс. руб.;</w:t>
            </w:r>
          </w:p>
          <w:p>
            <w:pPr>
              <w:pStyle w:val="0"/>
            </w:pPr>
            <w:r>
              <w:rPr>
                <w:sz w:val="20"/>
              </w:rPr>
              <w:t xml:space="preserve">2021 год - 1 000,0 тыс. руб.;</w:t>
            </w:r>
          </w:p>
          <w:p>
            <w:pPr>
              <w:pStyle w:val="0"/>
            </w:pPr>
            <w:r>
              <w:rPr>
                <w:sz w:val="20"/>
              </w:rPr>
              <w:t xml:space="preserve">2022 год - 6 000,0 тыс. руб.;</w:t>
            </w:r>
          </w:p>
          <w:p>
            <w:pPr>
              <w:pStyle w:val="0"/>
            </w:pPr>
            <w:r>
              <w:rPr>
                <w:sz w:val="20"/>
              </w:rPr>
              <w:t xml:space="preserve">2023 год - 6 753,5 тыс. руб.;</w:t>
            </w:r>
          </w:p>
          <w:p>
            <w:pPr>
              <w:pStyle w:val="0"/>
            </w:pPr>
            <w:r>
              <w:rPr>
                <w:sz w:val="20"/>
              </w:rPr>
              <w:t xml:space="preserve">2024 год - 6 753,5 тыс. руб.;</w:t>
            </w:r>
          </w:p>
          <w:p>
            <w:pPr>
              <w:pStyle w:val="0"/>
            </w:pPr>
            <w:r>
              <w:rPr>
                <w:sz w:val="20"/>
              </w:rPr>
              <w:t xml:space="preserve">2025 год - 6 753,5 тыс. руб.</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560"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tc>
      </w:tr>
      <w:tr>
        <w:tblPrEx>
          <w:tblBorders>
            <w:insideH w:val="nil"/>
          </w:tblBorders>
        </w:tblPrEx>
        <w:tc>
          <w:tcPr>
            <w:tcW w:w="1928" w:type="dxa"/>
            <w:tcBorders>
              <w:bottom w:val="nil"/>
            </w:tcBorders>
          </w:tcPr>
          <w:p>
            <w:pPr>
              <w:pStyle w:val="0"/>
            </w:pPr>
            <w:r>
              <w:rPr>
                <w:sz w:val="20"/>
              </w:rPr>
              <w:t xml:space="preserve">Основные целевые индикаторы подпрограммы</w:t>
            </w:r>
          </w:p>
        </w:tc>
        <w:tc>
          <w:tcPr>
            <w:tcW w:w="7143" w:type="dxa"/>
            <w:tcBorders>
              <w:bottom w:val="nil"/>
            </w:tcBorders>
          </w:tcPr>
          <w:p>
            <w:pPr>
              <w:pStyle w:val="0"/>
              <w:jc w:val="both"/>
            </w:pPr>
            <w:r>
              <w:rPr>
                <w:sz w:val="20"/>
              </w:rPr>
              <w:t xml:space="preserve">Количество граждан, получивших субсидии для компенсации части затрат по оплате стоимости жилого помещения, приобретенного в многоквартирном (в том числе малоэтажном) жилом доме;</w:t>
            </w:r>
          </w:p>
          <w:p>
            <w:pPr>
              <w:pStyle w:val="0"/>
              <w:jc w:val="both"/>
            </w:pPr>
            <w:r>
              <w:rPr>
                <w:sz w:val="20"/>
              </w:rPr>
              <w:t xml:space="preserve">количество граждан, получивших субсидии на строительство индивидуальных жилых домов;</w:t>
            </w:r>
          </w:p>
          <w:p>
            <w:pPr>
              <w:pStyle w:val="0"/>
              <w:jc w:val="both"/>
            </w:pPr>
            <w:r>
              <w:rPr>
                <w:sz w:val="20"/>
              </w:rPr>
              <w:t xml:space="preserve">количество граждан, пострадавших от действий недобросовестных застройщиков, получивших субсидии;</w:t>
            </w:r>
          </w:p>
          <w:p>
            <w:pPr>
              <w:pStyle w:val="0"/>
              <w:jc w:val="both"/>
            </w:pPr>
            <w:r>
              <w:rPr>
                <w:sz w:val="20"/>
              </w:rPr>
              <w:t xml:space="preserve">количество граждан, перед которыми выполняются обязательства по предоставлению субсидий на компенсацию части процентной ставки по жилищным кредитам;</w:t>
            </w:r>
          </w:p>
          <w:p>
            <w:pPr>
              <w:pStyle w:val="0"/>
              <w:jc w:val="both"/>
            </w:pPr>
            <w:r>
              <w:rPr>
                <w:sz w:val="20"/>
              </w:rPr>
              <w:t xml:space="preserve">количество граждан отдельных категорий, которым предоставлены субсидии для оплаты приобретаемых (строящихся) жилых помещений в соответствии с </w:t>
            </w:r>
            <w:hyperlink w:history="0" r:id="rId561" w:tooltip="Постановление Губернатора Новосибирской области от 04.02.2008 N 31 (ред. от 19.08.2019) &quot;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quot; {КонсультантПлюс}">
              <w:r>
                <w:rPr>
                  <w:sz w:val="20"/>
                  <w:color w:val="0000ff"/>
                </w:rPr>
                <w:t xml:space="preserve">постановлением</w:t>
              </w:r>
            </w:hyperlink>
            <w:r>
              <w:rPr>
                <w:sz w:val="20"/>
              </w:rPr>
              <w:t xml:space="preserve"> Губернатора Новосибирской области от 04.02.2008 N 31 "Об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w:t>
            </w:r>
          </w:p>
          <w:p>
            <w:pPr>
              <w:pStyle w:val="0"/>
              <w:jc w:val="both"/>
            </w:pPr>
            <w:r>
              <w:rPr>
                <w:sz w:val="20"/>
              </w:rPr>
              <w:t xml:space="preserve">количество ипотечных кредитов (займов), выданных со льготной процентной ставкой;</w:t>
            </w:r>
          </w:p>
          <w:p>
            <w:pPr>
              <w:pStyle w:val="0"/>
              <w:jc w:val="both"/>
            </w:pPr>
            <w:r>
              <w:rPr>
                <w:sz w:val="20"/>
              </w:rPr>
              <w:t xml:space="preserve">количество работников бюджетной сферы, получивших субсидии при ипотечном кредитовании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56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blPrEx>
          <w:tblBorders>
            <w:insideH w:val="nil"/>
          </w:tblBorders>
        </w:tblPrEx>
        <w:tc>
          <w:tcPr>
            <w:tcW w:w="1928"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В результате реализации подпрограммы ожидается улучшение жилищных условий 3177 граждан и будет выдано 38 ипотечных кредитов (займов) с льготной процентной ставкой.</w:t>
            </w:r>
          </w:p>
          <w:p>
            <w:pPr>
              <w:pStyle w:val="0"/>
              <w:jc w:val="both"/>
            </w:pPr>
            <w:r>
              <w:rPr>
                <w:sz w:val="20"/>
              </w:rPr>
              <w:t xml:space="preserve">При этом государственную поддержку получат:</w:t>
            </w:r>
          </w:p>
          <w:p>
            <w:pPr>
              <w:pStyle w:val="0"/>
              <w:jc w:val="both"/>
            </w:pPr>
            <w:r>
              <w:rPr>
                <w:sz w:val="20"/>
              </w:rPr>
              <w:t xml:space="preserve">80 граждан при покупке квартир в новостройках;</w:t>
            </w:r>
          </w:p>
          <w:p>
            <w:pPr>
              <w:pStyle w:val="0"/>
              <w:jc w:val="both"/>
            </w:pPr>
            <w:r>
              <w:rPr>
                <w:sz w:val="20"/>
              </w:rPr>
              <w:t xml:space="preserve">2394 гражданина на строительство индивидуальных жилых домов;</w:t>
            </w:r>
          </w:p>
          <w:p>
            <w:pPr>
              <w:pStyle w:val="0"/>
              <w:jc w:val="both"/>
            </w:pPr>
            <w:r>
              <w:rPr>
                <w:sz w:val="20"/>
              </w:rPr>
              <w:t xml:space="preserve">617 граждан, пострадавших от действий недобросовестных застройщиков (с 01.01.2018 государственная поддержка граждан, пострадавших от недобросовестных застройщиков, предусматривается в рамках </w:t>
            </w:r>
            <w:hyperlink w:history="0" w:anchor="P6315" w:tooltip="Подпрограмма">
              <w:r>
                <w:rPr>
                  <w:sz w:val="20"/>
                  <w:color w:val="0000ff"/>
                </w:rPr>
                <w:t xml:space="preserve">подпрограммы</w:t>
              </w:r>
            </w:hyperlink>
            <w:r>
              <w:rPr>
                <w:sz w:val="20"/>
              </w:rPr>
              <w:t xml:space="preserve"> "Государственная поддержка при завершении строительства "проблемных" жилых домов");</w:t>
            </w:r>
          </w:p>
          <w:p>
            <w:pPr>
              <w:pStyle w:val="0"/>
              <w:jc w:val="both"/>
            </w:pPr>
            <w:r>
              <w:rPr>
                <w:sz w:val="20"/>
              </w:rPr>
              <w:t xml:space="preserve">26 граждан отдельных категорий;</w:t>
            </w:r>
          </w:p>
          <w:p>
            <w:pPr>
              <w:pStyle w:val="0"/>
              <w:jc w:val="both"/>
            </w:pPr>
            <w:r>
              <w:rPr>
                <w:sz w:val="20"/>
              </w:rPr>
              <w:t xml:space="preserve">60 работников бюджетной сферы.</w:t>
            </w:r>
          </w:p>
          <w:p>
            <w:pPr>
              <w:pStyle w:val="0"/>
              <w:jc w:val="both"/>
            </w:pPr>
            <w:r>
              <w:rPr>
                <w:sz w:val="20"/>
              </w:rPr>
              <w:t xml:space="preserve">В 2018 году выполнение обязательств в полном объеме по предоставлению субсидий на компенсацию части процентной ставки по жилищным кредитам. Общее количество граждан, получивших данный вид поддержки, составит 2000 человек</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56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564"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05.02.2019 </w:t>
            </w:r>
            <w:hyperlink w:history="0" r:id="rId565"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rPr>
              <w:t xml:space="preserve">, от 19.03.2019 </w:t>
            </w:r>
            <w:hyperlink w:history="0" r:id="rId56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28.10.2019 </w:t>
            </w:r>
            <w:hyperlink w:history="0" r:id="rId567"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02.06.2020 </w:t>
            </w:r>
            <w:hyperlink w:history="0" r:id="rId568"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29.09.2020 </w:t>
            </w:r>
            <w:hyperlink w:history="0" r:id="rId569"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rPr>
              <w:t xml:space="preserve">, от 25.03.2021 </w:t>
            </w:r>
            <w:hyperlink w:history="0" r:id="rId570"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 от 15.03.2022 </w:t>
            </w:r>
            <w:hyperlink w:history="0" r:id="rId571"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 от 29.12.2022 </w:t>
            </w:r>
            <w:hyperlink w:history="0" r:id="rId572"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bl>
    <w:p>
      <w:pPr>
        <w:pStyle w:val="0"/>
        <w:ind w:firstLine="540"/>
        <w:jc w:val="both"/>
      </w:pPr>
      <w:r>
        <w:rPr>
          <w:sz w:val="20"/>
        </w:rPr>
      </w:r>
    </w:p>
    <w:p>
      <w:pPr>
        <w:pStyle w:val="2"/>
        <w:outlineLvl w:val="2"/>
        <w:jc w:val="center"/>
      </w:pPr>
      <w:r>
        <w:rPr>
          <w:sz w:val="20"/>
        </w:rPr>
        <w:t xml:space="preserve">II.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573"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574"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В рамках настоящей подпрограммы гражданам, проживающим на территории Новосибирской области, оказывается государственная поддержка на строительство или приобретение жилых помещений, на оплату дополнительных расходов, необходимых для завершения строительства многоквартирных домов, а также на компенсацию процентной ставки по оформленным жилищным кредитам.</w:t>
      </w:r>
    </w:p>
    <w:p>
      <w:pPr>
        <w:pStyle w:val="0"/>
        <w:spacing w:before="200" w:line-rule="auto"/>
        <w:ind w:firstLine="540"/>
        <w:jc w:val="both"/>
      </w:pPr>
      <w:r>
        <w:rPr>
          <w:sz w:val="20"/>
        </w:rPr>
        <w:t xml:space="preserve">Решение задачи по поддержке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 обеспечивается за счет:</w:t>
      </w:r>
    </w:p>
    <w:p>
      <w:pPr>
        <w:pStyle w:val="0"/>
        <w:jc w:val="both"/>
      </w:pPr>
      <w:r>
        <w:rPr>
          <w:sz w:val="20"/>
        </w:rPr>
        <w:t xml:space="preserve">(абзац введен </w:t>
      </w:r>
      <w:hyperlink w:history="0" r:id="rId57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06.07.2018 N 287-п; в ред. </w:t>
      </w:r>
      <w:hyperlink w:history="0" r:id="rId57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Абзац утратил силу. - </w:t>
      </w:r>
      <w:hyperlink w:history="0" r:id="rId577"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1. Предоставления субсидий гражданам для компенсации части затрат по оплате стоимости жилого помещения, приобретенного в многоквартирном (в том числе малоэтажном) жилом доме. Предоставление указанных субсидий осуществляется в соответствии с </w:t>
      </w:r>
      <w:hyperlink w:history="0" r:id="rId578" w:tooltip="Постановление Правительства Новосибирской области от 14.09.2011 N 406-п (ред. от 31.10.2014) &quot;О предоставлении субсидий гражданам для компенсации части затрат по оплате стоимости жилого помещения, приобретенного в многоквартирном (в том числе малоэтажном) жилом доме&quot; {КонсультантПлюс}">
        <w:r>
          <w:rPr>
            <w:sz w:val="20"/>
            <w:color w:val="0000ff"/>
          </w:rPr>
          <w:t xml:space="preserve">постановлением</w:t>
        </w:r>
      </w:hyperlink>
      <w:r>
        <w:rPr>
          <w:sz w:val="20"/>
        </w:rPr>
        <w:t xml:space="preserve"> Правительства Новосибирской области от 14.09.2011 N 406-п "О предоставлении субсидий гражданам для компенсации части затрат по оплате стоимости жилого помещения, приобретенного в многоквартирном (в том числе малоэтажном) жилом доме" (далее - постановление).</w:t>
      </w:r>
    </w:p>
    <w:p>
      <w:pPr>
        <w:pStyle w:val="0"/>
        <w:jc w:val="both"/>
      </w:pPr>
      <w:r>
        <w:rPr>
          <w:sz w:val="20"/>
        </w:rPr>
        <w:t xml:space="preserve">(в ред. </w:t>
      </w:r>
      <w:hyperlink w:history="0" r:id="rId57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С начала действия </w:t>
      </w:r>
      <w:hyperlink w:history="0" r:id="rId580" w:tooltip="Постановление Правительства Новосибирской области от 14.09.2011 N 406-п (ред. от 31.10.2014) &quot;О предоставлении субсидий гражданам для компенсации части затрат по оплате стоимости жилого помещения, приобретенного в многоквартирном (в том числе малоэтажном) жилом доме&quot; {КонсультантПлюс}">
        <w:r>
          <w:rPr>
            <w:sz w:val="20"/>
            <w:color w:val="0000ff"/>
          </w:rPr>
          <w:t xml:space="preserve">постановления</w:t>
        </w:r>
      </w:hyperlink>
      <w:r>
        <w:rPr>
          <w:sz w:val="20"/>
        </w:rPr>
        <w:t xml:space="preserve"> субсидии получили 8944 гражданина на общую сумму 2,683 млрд. рублей. Прием документов на предоставление субсидии приостановлен с 15.11.2014.</w:t>
      </w:r>
    </w:p>
    <w:bookmarkStart w:id="6528" w:name="P6528"/>
    <w:bookmarkEnd w:id="6528"/>
    <w:p>
      <w:pPr>
        <w:pStyle w:val="0"/>
        <w:spacing w:before="200" w:line-rule="auto"/>
        <w:ind w:firstLine="540"/>
        <w:jc w:val="both"/>
      </w:pPr>
      <w:r>
        <w:rPr>
          <w:sz w:val="20"/>
        </w:rPr>
        <w:t xml:space="preserve">2. Государственная поддержка граждан при строительстве индивидуальных жилых домов.</w:t>
      </w:r>
    </w:p>
    <w:p>
      <w:pPr>
        <w:pStyle w:val="0"/>
        <w:jc w:val="both"/>
      </w:pPr>
      <w:r>
        <w:rPr>
          <w:sz w:val="20"/>
        </w:rPr>
        <w:t xml:space="preserve">(в ред. постановлений Правительства Новосибирской области от 19.03.2019 </w:t>
      </w:r>
      <w:hyperlink w:history="0" r:id="rId58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25.03.2021 </w:t>
      </w:r>
      <w:hyperlink w:history="0" r:id="rId582"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w:t>
      </w:r>
    </w:p>
    <w:bookmarkStart w:id="6530" w:name="P6530"/>
    <w:bookmarkEnd w:id="6530"/>
    <w:p>
      <w:pPr>
        <w:pStyle w:val="0"/>
        <w:spacing w:before="200" w:line-rule="auto"/>
        <w:ind w:firstLine="540"/>
        <w:jc w:val="both"/>
      </w:pPr>
      <w:r>
        <w:rPr>
          <w:sz w:val="20"/>
        </w:rPr>
        <w:t xml:space="preserve">3. Предоставления субсидий гражданам на компенсацию расходов застройщика по строительству индивидуального жилого дома.</w:t>
      </w:r>
    </w:p>
    <w:p>
      <w:pPr>
        <w:pStyle w:val="0"/>
        <w:jc w:val="both"/>
      </w:pPr>
      <w:r>
        <w:rPr>
          <w:sz w:val="20"/>
        </w:rPr>
        <w:t xml:space="preserve">(в ред. </w:t>
      </w:r>
      <w:hyperlink w:history="0" r:id="rId58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Предоставление субсидий, указанных в </w:t>
      </w:r>
      <w:hyperlink w:history="0" w:anchor="P6528" w:tooltip="2. Государственная поддержка граждан при строительстве индивидуальных жилых домов.">
        <w:r>
          <w:rPr>
            <w:sz w:val="20"/>
            <w:color w:val="0000ff"/>
          </w:rPr>
          <w:t xml:space="preserve">пунктах 2</w:t>
        </w:r>
      </w:hyperlink>
      <w:r>
        <w:rPr>
          <w:sz w:val="20"/>
        </w:rPr>
        <w:t xml:space="preserve"> и </w:t>
      </w:r>
      <w:hyperlink w:history="0" w:anchor="P6530" w:tooltip="3. Предоставления субсидий гражданам на компенсацию расходов застройщика по строительству индивидуального жилого дома.">
        <w:r>
          <w:rPr>
            <w:sz w:val="20"/>
            <w:color w:val="0000ff"/>
          </w:rPr>
          <w:t xml:space="preserve">3</w:t>
        </w:r>
      </w:hyperlink>
      <w:r>
        <w:rPr>
          <w:sz w:val="20"/>
        </w:rPr>
        <w:t xml:space="preserve">, осуществляется в соответствии с </w:t>
      </w:r>
      <w:hyperlink w:history="0" r:id="rId584" w:tooltip="Постановление Губернатора Новосибирской области от 01.04.2010 N 102 (ред. от 31.10.2014) &quot;О государственной поддержке застройщиков, осуществляющих строительство индивидуальных жилых домов в муниципальных районах Новосибирской области&quot; {КонсультантПлюс}">
        <w:r>
          <w:rPr>
            <w:sz w:val="20"/>
            <w:color w:val="0000ff"/>
          </w:rPr>
          <w:t xml:space="preserve">постановлением</w:t>
        </w:r>
      </w:hyperlink>
      <w:r>
        <w:rPr>
          <w:sz w:val="20"/>
        </w:rPr>
        <w:t xml:space="preserve"> Губернатора Новосибирской области от 01.04.2010 N 102 "О государственной поддержке застройщиков, осуществляющих строительство индивидуальных жилых домов в муниципальных районах Новосибирской области".</w:t>
      </w:r>
    </w:p>
    <w:p>
      <w:pPr>
        <w:pStyle w:val="0"/>
        <w:spacing w:before="200" w:line-rule="auto"/>
        <w:ind w:firstLine="540"/>
        <w:jc w:val="both"/>
      </w:pPr>
      <w:r>
        <w:rPr>
          <w:sz w:val="20"/>
        </w:rPr>
        <w:t xml:space="preserve">Совершеннолетние граждане Российской Федерации, проживающие на территории муниципальных районов Новосибирской области не менее одного года на день обращения за субсидиями, а также граждане, имеющие троих и более несовершеннолетних детей, собственных и (или) усыновленных, проживающие на территории Новосибирской области, имеют право на предоставление следующих видов субсидий на строительство индивидуальных жилых домов в муниципальных районах Новосибирской области:</w:t>
      </w:r>
    </w:p>
    <w:p>
      <w:pPr>
        <w:pStyle w:val="0"/>
        <w:spacing w:before="200" w:line-rule="auto"/>
        <w:ind w:firstLine="540"/>
        <w:jc w:val="both"/>
      </w:pPr>
      <w:r>
        <w:rPr>
          <w:sz w:val="20"/>
        </w:rPr>
        <w:t xml:space="preserve">1) целевой субсидии на строительство индивидуального жилого дома (далее - целевая субсидия). Для граждан, в составе семьи которых 3 и более несовершеннолетних детей, размер целевой субсидии увеличивается на 50 тыс. рублей на каждого несовершеннолетнего ребенка, начиная с третьего ребенка.</w:t>
      </w:r>
    </w:p>
    <w:p>
      <w:pPr>
        <w:pStyle w:val="0"/>
        <w:spacing w:before="200" w:line-rule="auto"/>
        <w:ind w:firstLine="540"/>
        <w:jc w:val="both"/>
      </w:pPr>
      <w:r>
        <w:rPr>
          <w:sz w:val="20"/>
        </w:rPr>
        <w:t xml:space="preserve">С 15.11.2014 прием документов приостановлен;</w:t>
      </w:r>
    </w:p>
    <w:p>
      <w:pPr>
        <w:pStyle w:val="0"/>
        <w:spacing w:before="200" w:line-rule="auto"/>
        <w:ind w:firstLine="540"/>
        <w:jc w:val="both"/>
      </w:pPr>
      <w:r>
        <w:rPr>
          <w:sz w:val="20"/>
        </w:rPr>
        <w:t xml:space="preserve">2) субсидии на компенсацию расходов застройщика по строительству индивидуального жилого дома (далее - компенсация). Данная субсидия предоставляется после ввода дома в эксплуатацию.</w:t>
      </w:r>
    </w:p>
    <w:p>
      <w:pPr>
        <w:pStyle w:val="0"/>
        <w:spacing w:before="200" w:line-rule="auto"/>
        <w:ind w:firstLine="540"/>
        <w:jc w:val="both"/>
      </w:pPr>
      <w:r>
        <w:rPr>
          <w:sz w:val="20"/>
        </w:rPr>
        <w:t xml:space="preserve">4. Предоставления субсидий гражданам, пострадавшим от действий недобросовестных застройщиков (с 2018 года реализация мероприятия в рамках </w:t>
      </w:r>
      <w:hyperlink w:history="0" w:anchor="P6315" w:tooltip="Подпрограмма">
        <w:r>
          <w:rPr>
            <w:sz w:val="20"/>
            <w:color w:val="0000ff"/>
          </w:rPr>
          <w:t xml:space="preserve">подпрограммы</w:t>
        </w:r>
      </w:hyperlink>
      <w:r>
        <w:rPr>
          <w:sz w:val="20"/>
        </w:rPr>
        <w:t xml:space="preserve"> "Государственная поддержка при завершении строительства "проблемных" жилых домов").</w:t>
      </w:r>
    </w:p>
    <w:p>
      <w:pPr>
        <w:pStyle w:val="0"/>
        <w:jc w:val="both"/>
      </w:pPr>
      <w:r>
        <w:rPr>
          <w:sz w:val="20"/>
        </w:rPr>
        <w:t xml:space="preserve">(в ред. постановлений Правительства Новосибирской области от 06.07.2018 </w:t>
      </w:r>
      <w:hyperlink w:history="0" r:id="rId58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19.03.2019 </w:t>
      </w:r>
      <w:hyperlink w:history="0" r:id="rId58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w:t>
      </w:r>
    </w:p>
    <w:p>
      <w:pPr>
        <w:pStyle w:val="0"/>
        <w:spacing w:before="200" w:line-rule="auto"/>
        <w:ind w:firstLine="540"/>
        <w:jc w:val="both"/>
      </w:pPr>
      <w:r>
        <w:rPr>
          <w:sz w:val="20"/>
        </w:rPr>
        <w:t xml:space="preserve">Предоставление данных субсидий осуществляется в соответствии с </w:t>
      </w:r>
      <w:hyperlink w:history="0" r:id="rId587" w:tooltip="Постановление администрации Новосибирской области от 09.03.2010 N 80-па (ред. от 11.06.2019) &quot;Об оказании государственной поддержки гражданам, пострадавшим от действий недобросовестных застройщиков в Новосибирской области&quot; (вместе с &quot;Положением об условиях и порядке предоставления гражданам, пострадавшим от действий недобросовестных застройщиков, субсидий на оплату дополнительных расходов, необходимых для завершения строительства многоквартирных домов&quot;) {КонсультантПлюс}">
        <w:r>
          <w:rPr>
            <w:sz w:val="20"/>
            <w:color w:val="0000ff"/>
          </w:rPr>
          <w:t xml:space="preserve">постановлением</w:t>
        </w:r>
      </w:hyperlink>
      <w:r>
        <w:rPr>
          <w:sz w:val="20"/>
        </w:rPr>
        <w:t xml:space="preserve"> администрации Новосибирской области от 09.03.2010 N 80-па "Об оказании государственной поддержки гражданам, пострадавшим от действий недобросовестных застройщиков в Новосибирской области".</w:t>
      </w:r>
    </w:p>
    <w:p>
      <w:pPr>
        <w:pStyle w:val="0"/>
        <w:spacing w:before="200" w:line-rule="auto"/>
        <w:ind w:firstLine="540"/>
        <w:jc w:val="both"/>
      </w:pPr>
      <w:r>
        <w:rPr>
          <w:sz w:val="20"/>
        </w:rPr>
        <w:t xml:space="preserve">В рамках реализации направления гражданам, вложившим денежные средства в строительство многоквартирных домов в Новосибирской области и пострадавшим от действий недобросовестных застройщиков, нуждающимся в жилых помещениях, предоставляются субсидии из областного бюджета Новосибирской области на оплату дополнительных расходов, необходимых для завершения строительства многоквартирных домов.</w:t>
      </w:r>
    </w:p>
    <w:p>
      <w:pPr>
        <w:pStyle w:val="0"/>
        <w:spacing w:before="200" w:line-rule="auto"/>
        <w:ind w:firstLine="540"/>
        <w:jc w:val="both"/>
      </w:pPr>
      <w:r>
        <w:rPr>
          <w:sz w:val="20"/>
        </w:rPr>
        <w:t xml:space="preserve">Абзацы пятнадцатый - девятнадцатый утратили силу. - </w:t>
      </w:r>
      <w:hyperlink w:history="0" r:id="rId58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5. Предоставления субсидий на компенсацию части расходов по оплате процентов по оформленному кредиту (займу).</w:t>
      </w:r>
    </w:p>
    <w:p>
      <w:pPr>
        <w:pStyle w:val="0"/>
        <w:jc w:val="both"/>
      </w:pPr>
      <w:r>
        <w:rPr>
          <w:sz w:val="20"/>
        </w:rPr>
        <w:t xml:space="preserve">(в ред. </w:t>
      </w:r>
      <w:hyperlink w:history="0" r:id="rId58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Субсидии гражданам ежемесячно предоставляются в соответствии с </w:t>
      </w:r>
      <w:hyperlink w:history="0" r:id="rId590" w:tooltip="Постановление Губернатора Новосибирской области от 26.01.2009 N 21 (ред. от 30.09.2010) &quot;О компенсации гражданам, постоянно проживающим на территории Новосибирской области, части расходов по оплате первоначального взноса и процентов при кредитовании на приобретение жилых помещений в многоквартирных жилых домах, введенных (вводимых) в эксплуатацию в 2008 - 2011 годах&quot; {КонсультантПлюс}">
        <w:r>
          <w:rPr>
            <w:sz w:val="20"/>
            <w:color w:val="0000ff"/>
          </w:rPr>
          <w:t xml:space="preserve">постановлением</w:t>
        </w:r>
      </w:hyperlink>
      <w:r>
        <w:rPr>
          <w:sz w:val="20"/>
        </w:rPr>
        <w:t xml:space="preserve"> Губернатора Новосибирской области от 26.01.2009 N 21 "О компенсации гражданам, постоянно проживающим на территории Новосибирской области, части расходов по оплате первоначального взноса и процентов при кредитовании на приобретение жилых помещений в многоквартирных жилых домах, введенных (вводимых) в эксплуатацию в 2008 - 2011 годах" - в течение 5 или 7 лет.</w:t>
      </w:r>
    </w:p>
    <w:p>
      <w:pPr>
        <w:pStyle w:val="0"/>
        <w:spacing w:before="200" w:line-rule="auto"/>
        <w:ind w:firstLine="540"/>
        <w:jc w:val="both"/>
      </w:pPr>
      <w:r>
        <w:rPr>
          <w:sz w:val="20"/>
        </w:rPr>
        <w:t xml:space="preserve">6. Предоставления субсидий отдельным категориям граждан на оплату приобретаемых жилых помещений.</w:t>
      </w:r>
    </w:p>
    <w:p>
      <w:pPr>
        <w:pStyle w:val="0"/>
        <w:jc w:val="both"/>
      </w:pPr>
      <w:r>
        <w:rPr>
          <w:sz w:val="20"/>
        </w:rPr>
        <w:t xml:space="preserve">(в ред. </w:t>
      </w:r>
      <w:hyperlink w:history="0" r:id="rId59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Данные субсидии предоставляются в соответствии с </w:t>
      </w:r>
      <w:hyperlink w:history="0" r:id="rId592" w:tooltip="Постановление Губернатора Новосибирской области от 04.02.2008 N 31 (ред. от 19.08.2019) &quot;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quot; {КонсультантПлюс}">
        <w:r>
          <w:rPr>
            <w:sz w:val="20"/>
            <w:color w:val="0000ff"/>
          </w:rPr>
          <w:t xml:space="preserve">постановлением</w:t>
        </w:r>
      </w:hyperlink>
      <w:r>
        <w:rPr>
          <w:sz w:val="20"/>
        </w:rPr>
        <w:t xml:space="preserve"> Губернатора Новосибирской области от 04.02.2008 N 31 "Об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w:t>
      </w:r>
    </w:p>
    <w:p>
      <w:pPr>
        <w:pStyle w:val="0"/>
        <w:spacing w:before="200" w:line-rule="auto"/>
        <w:ind w:firstLine="540"/>
        <w:jc w:val="both"/>
      </w:pPr>
      <w:r>
        <w:rPr>
          <w:sz w:val="20"/>
        </w:rPr>
        <w:t xml:space="preserve">7. Содействия в обеспечении жильем соотечественников, прибывших в Новосибирскую область из-за рубежа, путем строительства доступного жилья. Участники государственной </w:t>
      </w:r>
      <w:hyperlink w:history="0" r:id="rId593" w:tooltip="Постановление Правительства Новосибирской области от 06.08.2013 N 347-п (ред. от 14.03.2023) &quot;Об утверждении государственной программы Новосибирской области &quot;Оказание содействия добровольному переселению в Новосибирскую область соотечественников, проживающих за рубежом&quot; {КонсультантПлюс}">
        <w:r>
          <w:rPr>
            <w:sz w:val="20"/>
            <w:color w:val="0000ff"/>
          </w:rPr>
          <w:t xml:space="preserve">программы</w:t>
        </w:r>
      </w:hyperlink>
      <w:r>
        <w:rPr>
          <w:sz w:val="20"/>
        </w:rPr>
        <w:t xml:space="preserve"> Новосибирской области "Оказание содействия добровольному переселению в Новосибирскую область соотечественников, проживающих за рубежом, на 2013 - 2020 годы", утвержденной постановлением Правительства Новосибирской области от 06.08.2013 N 347-п "Об утверждении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на 2013 - 2020 годы" (далее - Программа), в рамках настоящей подпрограммы могут участвовать в строительстве доступного жилья на территории Новосибирской области, вкладывая собственные средства в качестве участия в долевом строительстве жилья экономического класса.</w:t>
      </w:r>
    </w:p>
    <w:p>
      <w:pPr>
        <w:pStyle w:val="0"/>
        <w:jc w:val="both"/>
      </w:pPr>
      <w:r>
        <w:rPr>
          <w:sz w:val="20"/>
        </w:rPr>
        <w:t xml:space="preserve">(в ред. </w:t>
      </w:r>
      <w:hyperlink w:history="0" r:id="rId59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Строительство доступного жилья для граждан - участников Программы с привлечением их собственных средств и субсидий из федерального бюджета будет осуществляться в форме, порядке и на условиях, установленных Правительством Российской Федерации.</w:t>
      </w:r>
    </w:p>
    <w:p>
      <w:pPr>
        <w:pStyle w:val="0"/>
        <w:jc w:val="both"/>
      </w:pPr>
      <w:r>
        <w:rPr>
          <w:sz w:val="20"/>
        </w:rPr>
        <w:t xml:space="preserve">(п. 7 в ред. </w:t>
      </w:r>
      <w:hyperlink w:history="0" r:id="rId59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8. Решение задачи по стимулированию развития ипотечного кредитования обеспечивается за счет:</w:t>
      </w:r>
    </w:p>
    <w:p>
      <w:pPr>
        <w:pStyle w:val="0"/>
        <w:jc w:val="both"/>
      </w:pPr>
      <w:r>
        <w:rPr>
          <w:sz w:val="20"/>
        </w:rPr>
        <w:t xml:space="preserve">(в ред. </w:t>
      </w:r>
      <w:hyperlink w:history="0" r:id="rId59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1) разработки и реализации пилотных проектов в сфере ипотечного кредитования, а также программ, имеющих социальную направленность и призванных удовлетворить потребности в жилье отдельных категорий граждан с применением механизмов ипотечного кредитования.</w:t>
      </w:r>
    </w:p>
    <w:p>
      <w:pPr>
        <w:pStyle w:val="0"/>
        <w:jc w:val="both"/>
      </w:pPr>
      <w:r>
        <w:rPr>
          <w:sz w:val="20"/>
        </w:rPr>
        <w:t xml:space="preserve">(в ред. </w:t>
      </w:r>
      <w:hyperlink w:history="0" r:id="rId59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В целях развития ипотечного рынка Новосибирской области АО "НОАИК" реализует ипотечные программы с учетом социальной ориентированности компании, применяемых мер государственной поддержки строительной отрасли и рынка ипотечного кредитования, что позволяет стимулировать спрос на рынке строящегося жилья, а также повысить доступность ипотечного кредитования, как в целом, так и для социально приоритетных категорий граждан.</w:t>
      </w:r>
    </w:p>
    <w:p>
      <w:pPr>
        <w:pStyle w:val="0"/>
        <w:spacing w:before="200" w:line-rule="auto"/>
        <w:ind w:firstLine="540"/>
        <w:jc w:val="both"/>
      </w:pPr>
      <w:r>
        <w:rPr>
          <w:sz w:val="20"/>
        </w:rPr>
        <w:t xml:space="preserve">АО "НОАИК" работает как по стандартам Единого института развития в жилищной сфере, так и реализовывает собственные программы: программа "Переезд", "Парковка", "Кредитование по двум документам".</w:t>
      </w:r>
    </w:p>
    <w:p>
      <w:pPr>
        <w:pStyle w:val="0"/>
        <w:jc w:val="both"/>
      </w:pPr>
      <w:r>
        <w:rPr>
          <w:sz w:val="20"/>
        </w:rPr>
        <w:t xml:space="preserve">(в ред. </w:t>
      </w:r>
      <w:hyperlink w:history="0" r:id="rId598"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По стандартам АО "ДОМ РФ" АО "НОАИК" реализует такие ипотечные программы как "Покупка объекта на этапе строительства", "Приобретение готового жилья", "Перекредитование", "Военная ипотека", "Приобретение жилья под залог имеющегося". Также возможно кредитование заемщика по двум документам и покупка нежилого помещения, пригодного для проживания (апартаменты).</w:t>
      </w:r>
    </w:p>
    <w:p>
      <w:pPr>
        <w:pStyle w:val="0"/>
        <w:jc w:val="both"/>
      </w:pPr>
      <w:r>
        <w:rPr>
          <w:sz w:val="20"/>
        </w:rPr>
        <w:t xml:space="preserve">(в ред. </w:t>
      </w:r>
      <w:hyperlink w:history="0" r:id="rId59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Программа "Семейная ипотека" предоставляет возможность не только для приобретения квартиры на этапе строительства, а также перекредитования уже имеющегося ипотечного кредита (займа), полученного ранее на приобретение строящегося жилья.</w:t>
      </w:r>
    </w:p>
    <w:p>
      <w:pPr>
        <w:pStyle w:val="0"/>
        <w:jc w:val="both"/>
      </w:pPr>
      <w:r>
        <w:rPr>
          <w:sz w:val="20"/>
        </w:rPr>
        <w:t xml:space="preserve">(в ред. </w:t>
      </w:r>
      <w:hyperlink w:history="0" r:id="rId60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АО "НОАИК" предлагает новые ипотечные программы, которые не только позволят социально значимым категориям граждан улучшить свои жилищные условия, но также будут являться мерами стимулирования строительной отрасли.</w:t>
      </w:r>
    </w:p>
    <w:p>
      <w:pPr>
        <w:pStyle w:val="0"/>
        <w:jc w:val="both"/>
      </w:pPr>
      <w:r>
        <w:rPr>
          <w:sz w:val="20"/>
        </w:rPr>
        <w:t xml:space="preserve">(в ред. </w:t>
      </w:r>
      <w:hyperlink w:history="0" r:id="rId60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Программа "Ипотека без первоначального взноса". Целью продукта станет возможность приобретения жителями Новосибирской области объектов на первичном рынке без первоначального взноса.</w:t>
      </w:r>
    </w:p>
    <w:p>
      <w:pPr>
        <w:pStyle w:val="0"/>
        <w:jc w:val="both"/>
      </w:pPr>
      <w:r>
        <w:rPr>
          <w:sz w:val="20"/>
        </w:rPr>
        <w:t xml:space="preserve">(в ред. </w:t>
      </w:r>
      <w:hyperlink w:history="0" r:id="rId60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Абзац утратил силу. - </w:t>
      </w:r>
      <w:hyperlink w:history="0" r:id="rId60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2) предоставления субсидий юридическим лицам (за исключением государственных (муниципальных) учреждений) на возмещение недополученных доходов в связи с оформлением отдельными категориями граждан ипотечных жилищных кредитов (займов).</w:t>
      </w:r>
    </w:p>
    <w:p>
      <w:pPr>
        <w:pStyle w:val="0"/>
        <w:jc w:val="both"/>
      </w:pPr>
      <w:r>
        <w:rPr>
          <w:sz w:val="20"/>
        </w:rPr>
        <w:t xml:space="preserve">(в ред. постановлений Правительства Новосибирской области от 19.11.2018 </w:t>
      </w:r>
      <w:hyperlink w:history="0" r:id="rId604"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19.03.2019 </w:t>
      </w:r>
      <w:hyperlink w:history="0" r:id="rId60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w:t>
      </w:r>
    </w:p>
    <w:p>
      <w:pPr>
        <w:pStyle w:val="0"/>
        <w:spacing w:before="200" w:line-rule="auto"/>
        <w:ind w:firstLine="540"/>
        <w:jc w:val="both"/>
      </w:pPr>
      <w:r>
        <w:rPr>
          <w:sz w:val="20"/>
        </w:rPr>
        <w:t xml:space="preserve">Порядок предоставления юридическим лицам (за исключением государственных (муниципальных) учреждений) субсидий на возмещение недополученных доходов в связи с оформлением отдельными категориями граждан ипотечных жилищных кредитов (займов) (далее - субсидии) утверждается нормативным правовым актом Правительства Новосибирской области об утверждении государственной программы.</w:t>
      </w:r>
    </w:p>
    <w:p>
      <w:pPr>
        <w:pStyle w:val="0"/>
        <w:jc w:val="both"/>
      </w:pPr>
      <w:r>
        <w:rPr>
          <w:sz w:val="20"/>
        </w:rPr>
        <w:t xml:space="preserve">(в ред. </w:t>
      </w:r>
      <w:hyperlink w:history="0" r:id="rId606"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19.11.2018 N 481-п)</w:t>
      </w:r>
    </w:p>
    <w:p>
      <w:pPr>
        <w:pStyle w:val="0"/>
        <w:spacing w:before="200" w:line-rule="auto"/>
        <w:ind w:firstLine="540"/>
        <w:jc w:val="both"/>
      </w:pPr>
      <w:r>
        <w:rPr>
          <w:sz w:val="20"/>
        </w:rPr>
        <w:t xml:space="preserve">Расходы областного бюджета Новосибирской области на предоставление субсидий осуществляются министерством строительства Новосибирской области в соответствии с порядком составления и ведения сводной бюджетной росписи областного бюджета Новосибирской области.</w:t>
      </w:r>
    </w:p>
    <w:p>
      <w:pPr>
        <w:pStyle w:val="0"/>
        <w:spacing w:before="200" w:line-rule="auto"/>
        <w:ind w:firstLine="540"/>
        <w:jc w:val="both"/>
      </w:pPr>
      <w:r>
        <w:rPr>
          <w:sz w:val="20"/>
        </w:rPr>
        <w:t xml:space="preserve">На основании соглашения, заключенного между Правительством Новосибирской области и Единым институтом развития в жилищной сфере, на территории Новосибирской области реализуется "пилотный" проект Единого института развития в жилищной сфере, имеющий целью снижение процентной ставки по ипотечным кредитам (займам), предоставленным гражданам на приобретение (строительство) объектов недвижимости на вторичном и на первичном рынке (строящееся жилье), на величину до 3 (трех) процентных пунктов от процентной ставки, определяемой в соответствии с условиями ипотечных программ Единого института развития в жилищной сфере.</w:t>
      </w:r>
    </w:p>
    <w:p>
      <w:pPr>
        <w:pStyle w:val="0"/>
        <w:spacing w:before="200" w:line-rule="auto"/>
        <w:ind w:firstLine="540"/>
        <w:jc w:val="both"/>
      </w:pPr>
      <w:r>
        <w:rPr>
          <w:sz w:val="20"/>
        </w:rPr>
        <w:t xml:space="preserve">Предоставление субсидий осуществляется в пределах средств, утвержденных на эти цели законом об областном бюджете Новосибирской области на текущий финансовый год и установленных государственной программой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N 68-п "Об утверждении государственной программы Новосибирской области "Стимулирование развития жилищного строительства в Новосибирской области".</w:t>
      </w:r>
    </w:p>
    <w:p>
      <w:pPr>
        <w:pStyle w:val="0"/>
        <w:jc w:val="both"/>
      </w:pPr>
      <w:r>
        <w:rPr>
          <w:sz w:val="20"/>
        </w:rPr>
        <w:t xml:space="preserve">(в ред. </w:t>
      </w:r>
      <w:hyperlink w:history="0" r:id="rId60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Субсидии предоставляются юридическим лицам (за исключением государственных (муниципальных) учреждений) на возмещение недополученных доходов в связи с оформлением отдельными категориями граждан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 но не более 150000 рублей в рамках оформления одного ипотечного жилищного кредита (займа).</w:t>
      </w:r>
    </w:p>
    <w:p>
      <w:pPr>
        <w:pStyle w:val="0"/>
        <w:jc w:val="both"/>
      </w:pPr>
      <w:r>
        <w:rPr>
          <w:sz w:val="20"/>
        </w:rPr>
        <w:t xml:space="preserve">(в ред. постановлений Правительства Новосибирской области от 19.11.2018 </w:t>
      </w:r>
      <w:hyperlink w:history="0" r:id="rId608"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19.03.2019 </w:t>
      </w:r>
      <w:hyperlink w:history="0" r:id="rId60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01.04.2019 </w:t>
      </w:r>
      <w:hyperlink w:history="0" r:id="rId610" w:tooltip="Постановление Правительства Новосибирской области от 01.04.2019 N 121-п &quot;О внесении изменений в постановление Правительства Новосибирской области от 20.02.2015 N 68-п&quot; {КонсультантПлюс}">
        <w:r>
          <w:rPr>
            <w:sz w:val="20"/>
            <w:color w:val="0000ff"/>
          </w:rPr>
          <w:t xml:space="preserve">N 121-п</w:t>
        </w:r>
      </w:hyperlink>
      <w:r>
        <w:rPr>
          <w:sz w:val="20"/>
        </w:rPr>
        <w:t xml:space="preserve">)</w:t>
      </w:r>
    </w:p>
    <w:p>
      <w:pPr>
        <w:pStyle w:val="0"/>
        <w:spacing w:before="200" w:line-rule="auto"/>
        <w:ind w:firstLine="540"/>
        <w:jc w:val="both"/>
      </w:pPr>
      <w:r>
        <w:rPr>
          <w:sz w:val="20"/>
        </w:rPr>
        <w:t xml:space="preserve">Участниками отбора являются юридические лица - кредитные организации и организации, осуществляющие предоставление займов по договорам займа, исполнение обязательств по которым обеспечено ипотекой, осуществляющие свою деятельность на территории Новосибирской области и реализующие ипотечные программы Единого института развития в жилищной сфере;</w:t>
      </w:r>
    </w:p>
    <w:p>
      <w:pPr>
        <w:pStyle w:val="0"/>
        <w:spacing w:before="200" w:line-rule="auto"/>
        <w:ind w:firstLine="540"/>
        <w:jc w:val="both"/>
      </w:pPr>
      <w:r>
        <w:rPr>
          <w:sz w:val="20"/>
        </w:rPr>
        <w:t xml:space="preserve">3) предоставления субсидий отдельным категориям работников бюджетной сферы осуществляется в соответствии с </w:t>
      </w:r>
      <w:hyperlink w:history="0" r:id="rId611" w:tooltip="Постановление Правительства Новосибирской области от 06.08.2012 N 368-п (ред. от 24.12.2018) &quot;О предоставлении субсидий отдельным категориям работников бюджетной сферы при ипотечном жилищном кредитовании&quot; {КонсультантПлюс}">
        <w:r>
          <w:rPr>
            <w:sz w:val="20"/>
            <w:color w:val="0000ff"/>
          </w:rPr>
          <w:t xml:space="preserve">постановлением</w:t>
        </w:r>
      </w:hyperlink>
      <w:r>
        <w:rPr>
          <w:sz w:val="20"/>
        </w:rPr>
        <w:t xml:space="preserve"> Правительства Новосибирской области от 06.08.2012 N 368-п "О предоставлении субсидий отдельным категориям работников бюджетной сферы при ипотечном жилищном кредитовании".</w:t>
      </w:r>
    </w:p>
    <w:p>
      <w:pPr>
        <w:pStyle w:val="0"/>
        <w:jc w:val="both"/>
      </w:pPr>
      <w:r>
        <w:rPr>
          <w:sz w:val="20"/>
        </w:rPr>
        <w:t xml:space="preserve">(в ред. </w:t>
      </w:r>
      <w:hyperlink w:history="0" r:id="rId61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Субсидии предоставляются отдельным категориям работников бюджетной сферы:</w:t>
      </w:r>
    </w:p>
    <w:p>
      <w:pPr>
        <w:pStyle w:val="0"/>
        <w:spacing w:before="200" w:line-rule="auto"/>
        <w:ind w:firstLine="540"/>
        <w:jc w:val="both"/>
      </w:pPr>
      <w:r>
        <w:rPr>
          <w:sz w:val="20"/>
        </w:rPr>
        <w:t xml:space="preserve">а) на оплату первоначального взноса по ипотечному жилищному кредиту (займу) в размере до 150000 рублей включительно. В случае если размер первоначального взноса по ипотечному жилищному кредиту (займу) составляет менее 150000 рублей, субсидия предоставляется в размере указанного первоначального взноса;</w:t>
      </w:r>
    </w:p>
    <w:p>
      <w:pPr>
        <w:pStyle w:val="0"/>
        <w:spacing w:before="200" w:line-rule="auto"/>
        <w:ind w:firstLine="540"/>
        <w:jc w:val="both"/>
      </w:pPr>
      <w:r>
        <w:rPr>
          <w:sz w:val="20"/>
        </w:rPr>
        <w:t xml:space="preserve">б) на компенсацию части расходов по оплате процентов по ипотечному жилищному кредиту (займу) до уровня 8,5 процента годовых в течение срока действия кредитного договора (договора займа), но не более 3 лет - в случае обращения в установленном порядке за предоставлением субсидий при ипотечном жилищном кредитовании в срок до 01.10.2015. Субсидия рассчитывается как разница между действующей процентной ставкой по заключенному кредитному договору (договору займа) и 8,5 процента годовых.</w:t>
      </w:r>
    </w:p>
    <w:p>
      <w:pPr>
        <w:pStyle w:val="0"/>
        <w:jc w:val="both"/>
      </w:pPr>
      <w:r>
        <w:rPr>
          <w:sz w:val="20"/>
        </w:rPr>
        <w:t xml:space="preserve">(п. 8 в ред. </w:t>
      </w:r>
      <w:hyperlink w:history="0" r:id="rId61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ind w:firstLine="540"/>
        <w:jc w:val="both"/>
      </w:pPr>
      <w:r>
        <w:rPr>
          <w:sz w:val="20"/>
        </w:rPr>
      </w:r>
    </w:p>
    <w:p>
      <w:pPr>
        <w:pStyle w:val="0"/>
        <w:ind w:firstLine="540"/>
        <w:jc w:val="both"/>
      </w:pPr>
      <w:r>
        <w:rPr>
          <w:sz w:val="20"/>
        </w:rPr>
        <w:t xml:space="preserve">Утратил силу. - </w:t>
      </w:r>
      <w:hyperlink w:history="0" r:id="rId614"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6600" w:name="P6600"/>
    <w:bookmarkEnd w:id="6600"/>
    <w:p>
      <w:pPr>
        <w:pStyle w:val="2"/>
        <w:jc w:val="center"/>
      </w:pPr>
      <w:r>
        <w:rPr>
          <w:sz w:val="20"/>
        </w:rPr>
        <w:t xml:space="preserve">Подпрограмма</w:t>
      </w:r>
    </w:p>
    <w:p>
      <w:pPr>
        <w:pStyle w:val="2"/>
        <w:jc w:val="center"/>
      </w:pPr>
      <w:r>
        <w:rPr>
          <w:sz w:val="20"/>
        </w:rPr>
        <w:t xml:space="preserve">"Государственная поддержка муниципальных образований</w:t>
      </w:r>
    </w:p>
    <w:p>
      <w:pPr>
        <w:pStyle w:val="2"/>
        <w:jc w:val="center"/>
      </w:pPr>
      <w:r>
        <w:rPr>
          <w:sz w:val="20"/>
        </w:rPr>
        <w:t xml:space="preserve">Новосибирской области в обеспечении жилыми помещениями</w:t>
      </w:r>
    </w:p>
    <w:p>
      <w:pPr>
        <w:pStyle w:val="2"/>
        <w:jc w:val="center"/>
      </w:pPr>
      <w:r>
        <w:rPr>
          <w:sz w:val="20"/>
        </w:rPr>
        <w:t xml:space="preserve">многодетных малообеспеченных семей" государственной</w:t>
      </w:r>
    </w:p>
    <w:p>
      <w:pPr>
        <w:pStyle w:val="2"/>
        <w:jc w:val="center"/>
      </w:pPr>
      <w:r>
        <w:rPr>
          <w:sz w:val="20"/>
        </w:rPr>
        <w:t xml:space="preserve">программы Новосибирской области "Стимулирование</w:t>
      </w:r>
    </w:p>
    <w:p>
      <w:pPr>
        <w:pStyle w:val="2"/>
        <w:jc w:val="center"/>
      </w:pPr>
      <w:r>
        <w:rPr>
          <w:sz w:val="20"/>
        </w:rPr>
        <w:t xml:space="preserve">развития жилищного 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25.05.2015 </w:t>
            </w:r>
            <w:hyperlink w:history="0" r:id="rId615"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N 198-п</w:t>
              </w:r>
            </w:hyperlink>
            <w:r>
              <w:rPr>
                <w:sz w:val="20"/>
                <w:color w:val="392c69"/>
              </w:rPr>
              <w:t xml:space="preserve">, от 15.02.2016 </w:t>
            </w:r>
            <w:hyperlink w:history="0" r:id="rId616"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color w:val="392c69"/>
              </w:rPr>
              <w:t xml:space="preserve">, от 15.02.2017 </w:t>
            </w:r>
            <w:hyperlink w:history="0" r:id="rId617"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color w:val="392c69"/>
              </w:rPr>
              <w:t xml:space="preserve">,</w:t>
            </w:r>
          </w:p>
          <w:p>
            <w:pPr>
              <w:pStyle w:val="0"/>
              <w:jc w:val="center"/>
            </w:pPr>
            <w:r>
              <w:rPr>
                <w:sz w:val="20"/>
                <w:color w:val="392c69"/>
              </w:rPr>
              <w:t xml:space="preserve">от 23.10.2017 </w:t>
            </w:r>
            <w:hyperlink w:history="0" r:id="rId618"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color w:val="392c69"/>
              </w:rPr>
              <w:t xml:space="preserve">, от 06.07.2018 </w:t>
            </w:r>
            <w:hyperlink w:history="0" r:id="rId61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 от 19.11.2018 </w:t>
            </w:r>
            <w:hyperlink w:history="0" r:id="rId620"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w:t>
            </w:r>
          </w:p>
          <w:p>
            <w:pPr>
              <w:pStyle w:val="0"/>
              <w:jc w:val="center"/>
            </w:pPr>
            <w:r>
              <w:rPr>
                <w:sz w:val="20"/>
                <w:color w:val="392c69"/>
              </w:rPr>
              <w:t xml:space="preserve">от 05.02.2019 </w:t>
            </w:r>
            <w:hyperlink w:history="0" r:id="rId621"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color w:val="392c69"/>
              </w:rPr>
              <w:t xml:space="preserve">, от 19.03.2019 </w:t>
            </w:r>
            <w:hyperlink w:history="0" r:id="rId62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 от 28.10.2019 </w:t>
            </w:r>
            <w:hyperlink w:history="0" r:id="rId623"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color w:val="392c69"/>
              </w:rPr>
              <w:t xml:space="preserve">,</w:t>
            </w:r>
          </w:p>
          <w:p>
            <w:pPr>
              <w:pStyle w:val="0"/>
              <w:jc w:val="center"/>
            </w:pPr>
            <w:r>
              <w:rPr>
                <w:sz w:val="20"/>
                <w:color w:val="392c69"/>
              </w:rPr>
              <w:t xml:space="preserve">от 02.06.2020 </w:t>
            </w:r>
            <w:hyperlink w:history="0" r:id="rId624"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 от 29.09.2020 </w:t>
            </w:r>
            <w:hyperlink w:history="0" r:id="rId625"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color w:val="392c69"/>
              </w:rPr>
              <w:t xml:space="preserve">, от 15.03.2022 </w:t>
            </w:r>
            <w:hyperlink w:history="0" r:id="rId626"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w:t>
            </w:r>
          </w:p>
          <w:p>
            <w:pPr>
              <w:pStyle w:val="0"/>
              <w:jc w:val="center"/>
            </w:pPr>
            <w:r>
              <w:rPr>
                <w:sz w:val="20"/>
                <w:color w:val="392c69"/>
              </w:rPr>
              <w:t xml:space="preserve">от 29.12.2022 </w:t>
            </w:r>
            <w:hyperlink w:history="0" r:id="rId627"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color w:val="392c69"/>
              </w:rPr>
              <w:t xml:space="preserve">, от 21.03.2023 </w:t>
            </w:r>
            <w:hyperlink w:history="0" r:id="rId628"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N 100-п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143"/>
      </w:tblGrid>
      <w:tr>
        <w:tblPrEx>
          <w:tblBorders>
            <w:insideH w:val="nil"/>
          </w:tblBorders>
        </w:tblPrEx>
        <w:tc>
          <w:tcPr>
            <w:tcW w:w="1928"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62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8"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(далее - подпрограмма)</w:t>
            </w:r>
          </w:p>
        </w:tc>
      </w:tr>
      <w:tr>
        <w:tblPrEx>
          <w:tblBorders>
            <w:insideH w:val="nil"/>
          </w:tblBorders>
        </w:tblPrEx>
        <w:tc>
          <w:tcPr>
            <w:tcW w:w="1928" w:type="dxa"/>
            <w:tcBorders>
              <w:bottom w:val="nil"/>
            </w:tcBorders>
          </w:tcPr>
          <w:p>
            <w:pPr>
              <w:pStyle w:val="0"/>
            </w:pPr>
            <w:r>
              <w:rPr>
                <w:sz w:val="20"/>
              </w:rPr>
              <w:t xml:space="preserve">Разработчики подпрограммы</w:t>
            </w:r>
          </w:p>
        </w:tc>
        <w:tc>
          <w:tcPr>
            <w:tcW w:w="7143" w:type="dxa"/>
            <w:tcBorders>
              <w:bottom w:val="nil"/>
            </w:tcBorders>
          </w:tcPr>
          <w:p>
            <w:pPr>
              <w:pStyle w:val="0"/>
              <w:jc w:val="both"/>
            </w:pPr>
            <w:r>
              <w:rPr>
                <w:sz w:val="20"/>
              </w:rPr>
              <w:t xml:space="preserve">Министерство строительства Новосибирской области (далее - 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63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631"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Государственный заказчик (государственный заказчик-координатор) подпрограммы</w:t>
            </w:r>
          </w:p>
        </w:tc>
        <w:tc>
          <w:tcPr>
            <w:tcW w:w="7143" w:type="dxa"/>
            <w:tcBorders>
              <w:bottom w:val="nil"/>
            </w:tcBorders>
          </w:tcPr>
          <w:p>
            <w:pPr>
              <w:pStyle w:val="0"/>
              <w:jc w:val="both"/>
            </w:pPr>
            <w:r>
              <w:rPr>
                <w:sz w:val="20"/>
              </w:rPr>
              <w:t xml:space="preserve">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63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633"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Руководитель подпрограммы</w:t>
            </w:r>
          </w:p>
        </w:tc>
        <w:tc>
          <w:tcPr>
            <w:tcW w:w="7143" w:type="dxa"/>
            <w:tcBorders>
              <w:bottom w:val="nil"/>
            </w:tcBorders>
          </w:tcPr>
          <w:p>
            <w:pPr>
              <w:pStyle w:val="0"/>
              <w:jc w:val="both"/>
            </w:pPr>
            <w:r>
              <w:rPr>
                <w:sz w:val="20"/>
              </w:rPr>
              <w:t xml:space="preserve">Министр строительства Новосибирской области - Колмаков А.В.</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634"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635"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15.03.2022 </w:t>
            </w:r>
            <w:hyperlink w:history="0" r:id="rId636"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 от 29.12.2022 </w:t>
            </w:r>
            <w:hyperlink w:history="0" r:id="rId637"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r>
        <w:tc>
          <w:tcPr>
            <w:tcW w:w="1928" w:type="dxa"/>
          </w:tcPr>
          <w:p>
            <w:pPr>
              <w:pStyle w:val="0"/>
            </w:pPr>
            <w:r>
              <w:rPr>
                <w:sz w:val="20"/>
              </w:rPr>
              <w:t xml:space="preserve">Цели и задачи подпрограммы</w:t>
            </w:r>
          </w:p>
        </w:tc>
        <w:tc>
          <w:tcPr>
            <w:tcW w:w="7143" w:type="dxa"/>
          </w:tcPr>
          <w:p>
            <w:pPr>
              <w:pStyle w:val="0"/>
              <w:jc w:val="both"/>
            </w:pPr>
            <w:r>
              <w:rPr>
                <w:sz w:val="20"/>
              </w:rPr>
              <w:t xml:space="preserve">Цель: улучшение жилищных условий малообеспеченных многодетных семей.</w:t>
            </w:r>
          </w:p>
          <w:p>
            <w:pPr>
              <w:pStyle w:val="0"/>
              <w:jc w:val="both"/>
            </w:pPr>
            <w:r>
              <w:rPr>
                <w:sz w:val="20"/>
              </w:rPr>
              <w:t xml:space="preserve">Задача: обеспечение многодетных малообеспеченных семей, имеющих 5 и более детей, жилыми помещениями по договорам социального найма</w:t>
            </w:r>
          </w:p>
        </w:tc>
      </w:tr>
      <w:tr>
        <w:tblPrEx>
          <w:tblBorders>
            <w:insideH w:val="nil"/>
          </w:tblBorders>
        </w:tblPrEx>
        <w:tc>
          <w:tcPr>
            <w:tcW w:w="1928"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- 2015 - 2025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19.03.2019 </w:t>
            </w:r>
            <w:hyperlink w:history="0" r:id="rId638"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639"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29.12.2022 </w:t>
            </w:r>
            <w:hyperlink w:history="0" r:id="rId640"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Объемы финансирования подпрограммы</w:t>
            </w:r>
          </w:p>
        </w:tc>
        <w:tc>
          <w:tcPr>
            <w:tcW w:w="7143" w:type="dxa"/>
            <w:tcBorders>
              <w:bottom w:val="nil"/>
            </w:tcBorders>
          </w:tcPr>
          <w:p>
            <w:pPr>
              <w:pStyle w:val="0"/>
            </w:pPr>
            <w:r>
              <w:rPr>
                <w:sz w:val="20"/>
              </w:rPr>
              <w:t xml:space="preserve">Общий объем ассигнований на реализацию подпрограммы составляет 563 510,6 тыс. руб.,</w:t>
            </w:r>
          </w:p>
          <w:p>
            <w:pPr>
              <w:pStyle w:val="0"/>
            </w:pPr>
            <w:r>
              <w:rPr>
                <w:sz w:val="20"/>
              </w:rPr>
              <w:t xml:space="preserve">в том числе по годам:</w:t>
            </w:r>
          </w:p>
          <w:p>
            <w:pPr>
              <w:pStyle w:val="0"/>
            </w:pPr>
            <w:r>
              <w:rPr>
                <w:sz w:val="20"/>
              </w:rPr>
              <w:t xml:space="preserve">2015 год - 37 008,8 тыс. руб.;</w:t>
            </w:r>
          </w:p>
          <w:p>
            <w:pPr>
              <w:pStyle w:val="0"/>
            </w:pPr>
            <w:r>
              <w:rPr>
                <w:sz w:val="20"/>
              </w:rPr>
              <w:t xml:space="preserve">2016 год - 14 014,4 тыс. руб.;</w:t>
            </w:r>
          </w:p>
          <w:p>
            <w:pPr>
              <w:pStyle w:val="0"/>
            </w:pPr>
            <w:r>
              <w:rPr>
                <w:sz w:val="20"/>
              </w:rPr>
              <w:t xml:space="preserve">2017 год - 85 976,4 тыс. руб.;</w:t>
            </w:r>
          </w:p>
          <w:p>
            <w:pPr>
              <w:pStyle w:val="0"/>
            </w:pPr>
            <w:r>
              <w:rPr>
                <w:sz w:val="20"/>
              </w:rPr>
              <w:t xml:space="preserve">2018 год - 77 100,0 тыс. руб.;</w:t>
            </w:r>
          </w:p>
          <w:p>
            <w:pPr>
              <w:pStyle w:val="0"/>
            </w:pPr>
            <w:r>
              <w:rPr>
                <w:sz w:val="20"/>
              </w:rPr>
              <w:t xml:space="preserve">2019 год - 35 031,6 тыс. руб.;</w:t>
            </w:r>
          </w:p>
          <w:p>
            <w:pPr>
              <w:pStyle w:val="0"/>
            </w:pPr>
            <w:r>
              <w:rPr>
                <w:sz w:val="20"/>
              </w:rPr>
              <w:t xml:space="preserve">2020 год - 14 379,4 тыс. руб.;</w:t>
            </w:r>
          </w:p>
          <w:p>
            <w:pPr>
              <w:pStyle w:val="0"/>
            </w:pPr>
            <w:r>
              <w:rPr>
                <w:sz w:val="20"/>
              </w:rPr>
              <w:t xml:space="preserve">2021 год - 31 578,9 тыс. руб.;</w:t>
            </w:r>
          </w:p>
          <w:p>
            <w:pPr>
              <w:pStyle w:val="0"/>
            </w:pPr>
            <w:r>
              <w:rPr>
                <w:sz w:val="20"/>
              </w:rPr>
              <w:t xml:space="preserve">2022 год - 78 947,4 тыс. руб.;</w:t>
            </w:r>
          </w:p>
          <w:p>
            <w:pPr>
              <w:pStyle w:val="0"/>
            </w:pPr>
            <w:r>
              <w:rPr>
                <w:sz w:val="20"/>
              </w:rPr>
              <w:t xml:space="preserve">2023 год - 31 578,9 тыс. руб.;</w:t>
            </w:r>
          </w:p>
          <w:p>
            <w:pPr>
              <w:pStyle w:val="0"/>
            </w:pPr>
            <w:r>
              <w:rPr>
                <w:sz w:val="20"/>
              </w:rPr>
              <w:t xml:space="preserve">2024 год - 78 947,4 тыс. руб.;</w:t>
            </w:r>
          </w:p>
          <w:p>
            <w:pPr>
              <w:pStyle w:val="0"/>
            </w:pPr>
            <w:r>
              <w:rPr>
                <w:sz w:val="20"/>
              </w:rPr>
              <w:t xml:space="preserve">2025 год - 78 947,4 тыс. руб.</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641"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tc>
      </w:tr>
      <w:tr>
        <w:tc>
          <w:tcPr>
            <w:tcW w:w="1928" w:type="dxa"/>
          </w:tcPr>
          <w:p>
            <w:pPr>
              <w:pStyle w:val="0"/>
            </w:pPr>
            <w:r>
              <w:rPr>
                <w:sz w:val="20"/>
              </w:rPr>
              <w:t xml:space="preserve">Основные целевые индикаторы подпрограммы</w:t>
            </w:r>
          </w:p>
        </w:tc>
        <w:tc>
          <w:tcPr>
            <w:tcW w:w="7143" w:type="dxa"/>
          </w:tcPr>
          <w:p>
            <w:pPr>
              <w:pStyle w:val="0"/>
              <w:jc w:val="both"/>
            </w:pPr>
            <w:r>
              <w:rPr>
                <w:sz w:val="20"/>
              </w:rPr>
              <w:t xml:space="preserve">Количество многодетных малообеспеченных семей, обеспеченных жилыми помещениями в рамках подпрограммы</w:t>
            </w:r>
          </w:p>
        </w:tc>
      </w:tr>
      <w:tr>
        <w:tblPrEx>
          <w:tblBorders>
            <w:insideH w:val="nil"/>
          </w:tblBorders>
        </w:tblPrEx>
        <w:tc>
          <w:tcPr>
            <w:tcW w:w="1928"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Обеспечение жильем 124 нуждающихся в жилых помещениях многодетных малообеспеченных семей, имеющих 5 и более несовершеннолетних детей</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25.05.2015 </w:t>
            </w:r>
            <w:hyperlink w:history="0" r:id="rId642"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N 198-п</w:t>
              </w:r>
            </w:hyperlink>
            <w:r>
              <w:rPr>
                <w:sz w:val="20"/>
              </w:rPr>
              <w:t xml:space="preserve">, от 15.02.2016 </w:t>
            </w:r>
            <w:hyperlink w:history="0" r:id="rId643"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rPr>
              <w:t xml:space="preserve">, от 15.02.2017 </w:t>
            </w:r>
            <w:hyperlink w:history="0" r:id="rId644"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23.10.2017 </w:t>
            </w:r>
            <w:hyperlink w:history="0" r:id="rId645"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rPr>
              <w:t xml:space="preserve">, от 06.07.2018 </w:t>
            </w:r>
            <w:hyperlink w:history="0" r:id="rId646"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647"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19.03.2019 </w:t>
            </w:r>
            <w:hyperlink w:history="0" r:id="rId648"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28.10.2019 </w:t>
            </w:r>
            <w:hyperlink w:history="0" r:id="rId649"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02.06.2020 </w:t>
            </w:r>
            <w:hyperlink w:history="0" r:id="rId650"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29.09.2020 </w:t>
            </w:r>
            <w:hyperlink w:history="0" r:id="rId651"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rPr>
              <w:t xml:space="preserve">, от 15.03.2022 </w:t>
            </w:r>
            <w:hyperlink w:history="0" r:id="rId652"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 от 29.12.2022 </w:t>
            </w:r>
            <w:hyperlink w:history="0" r:id="rId653"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bl>
    <w:p>
      <w:pPr>
        <w:pStyle w:val="0"/>
        <w:ind w:firstLine="540"/>
        <w:jc w:val="both"/>
      </w:pPr>
      <w:r>
        <w:rPr>
          <w:sz w:val="20"/>
        </w:rPr>
      </w:r>
    </w:p>
    <w:p>
      <w:pPr>
        <w:pStyle w:val="2"/>
        <w:outlineLvl w:val="2"/>
        <w:jc w:val="center"/>
      </w:pPr>
      <w:r>
        <w:rPr>
          <w:sz w:val="20"/>
        </w:rPr>
        <w:t xml:space="preserve">II.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654"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655"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В рамках настоящей подпрограммы из областного бюджета Новосибирской области будет осуществляться предоставление субсидий бюджетам муниципальных районов и городских округов Новосибирской области на обеспечение жилыми помещениями многодетных малообеспеченных семей по договорам социального найма.</w:t>
      </w:r>
    </w:p>
    <w:p>
      <w:pPr>
        <w:pStyle w:val="0"/>
        <w:spacing w:before="200" w:line-rule="auto"/>
        <w:ind w:firstLine="540"/>
        <w:jc w:val="both"/>
      </w:pPr>
      <w:r>
        <w:rPr>
          <w:sz w:val="20"/>
        </w:rPr>
        <w:t xml:space="preserve">Обеспечение жилыми помещениями возможно за счет строительства (приобретения) жилых помещений для нуждающихся в жилых помещениях многодетных малообеспеченных семей, имеющих 5 и более несовершеннолетних детей.</w:t>
      </w:r>
    </w:p>
    <w:p>
      <w:pPr>
        <w:pStyle w:val="0"/>
        <w:spacing w:before="200" w:line-rule="auto"/>
        <w:ind w:firstLine="540"/>
        <w:jc w:val="both"/>
      </w:pPr>
      <w:r>
        <w:rPr>
          <w:sz w:val="20"/>
        </w:rPr>
        <w:t xml:space="preserve">По договору социального найма жилое помещение (жилые помещения) должно предоставляться многодетной семье, имеющей 5 и более несовершеннолетних детей, общей площадью на одного человека не менее нормы предоставления.</w:t>
      </w:r>
    </w:p>
    <w:p>
      <w:pPr>
        <w:pStyle w:val="0"/>
        <w:jc w:val="both"/>
      </w:pPr>
      <w:r>
        <w:rPr>
          <w:sz w:val="20"/>
        </w:rPr>
        <w:t xml:space="preserve">(в ред. </w:t>
      </w:r>
      <w:hyperlink w:history="0" r:id="rId656"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23.10.2017 N 399-п)</w:t>
      </w:r>
    </w:p>
    <w:p>
      <w:pPr>
        <w:pStyle w:val="0"/>
        <w:spacing w:before="200" w:line-rule="auto"/>
        <w:ind w:firstLine="540"/>
        <w:jc w:val="both"/>
      </w:pPr>
      <w:r>
        <w:rPr>
          <w:sz w:val="20"/>
        </w:rPr>
        <w:t xml:space="preserve">Право на обеспечение жилыми помещениями в соответствующем финансовом году имеют состоящие на учете нуждающихся в жилых помещениях семьи, имеющие 5 или более несовершеннолетних детей по состоянию на 1 января текущего финансового года.</w:t>
      </w:r>
    </w:p>
    <w:p>
      <w:pPr>
        <w:pStyle w:val="0"/>
        <w:jc w:val="both"/>
      </w:pPr>
      <w:r>
        <w:rPr>
          <w:sz w:val="20"/>
        </w:rPr>
        <w:t xml:space="preserve">(абзац введен </w:t>
      </w:r>
      <w:hyperlink w:history="0" r:id="rId657"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25.05.2015 N 198-п)</w:t>
      </w:r>
    </w:p>
    <w:p>
      <w:pPr>
        <w:pStyle w:val="0"/>
        <w:spacing w:before="200" w:line-rule="auto"/>
        <w:ind w:firstLine="540"/>
        <w:jc w:val="both"/>
      </w:pPr>
      <w:r>
        <w:rPr>
          <w:sz w:val="20"/>
        </w:rPr>
        <w:t xml:space="preserve">Методика расчета субсидий областного бюджета Новосибирской области на реализацию данной подпрограммы приведена в </w:t>
      </w:r>
      <w:hyperlink w:history="0" w:anchor="P9236" w:tooltip="Порядок">
        <w:r>
          <w:rPr>
            <w:sz w:val="20"/>
            <w:color w:val="0000ff"/>
          </w:rPr>
          <w:t xml:space="preserve">приложении N 14</w:t>
        </w:r>
      </w:hyperlink>
      <w:r>
        <w:rPr>
          <w:sz w:val="20"/>
        </w:rPr>
        <w:t xml:space="preserve"> к государственной программе.</w:t>
      </w:r>
    </w:p>
    <w:p>
      <w:pPr>
        <w:pStyle w:val="0"/>
        <w:jc w:val="both"/>
      </w:pPr>
      <w:r>
        <w:rPr>
          <w:sz w:val="20"/>
        </w:rPr>
        <w:t xml:space="preserve">(в ред. </w:t>
      </w:r>
      <w:hyperlink w:history="0" r:id="rId658"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29.09.2020 N 411-п)</w:t>
      </w:r>
    </w:p>
    <w:p>
      <w:pPr>
        <w:pStyle w:val="0"/>
        <w:spacing w:before="200" w:line-rule="auto"/>
        <w:ind w:firstLine="540"/>
        <w:jc w:val="both"/>
      </w:pPr>
      <w:r>
        <w:rPr>
          <w:sz w:val="20"/>
        </w:rPr>
        <w:t xml:space="preserve">Преимущество имеют семьи, имеющие внеочередное право на обеспечение жилым помещением в соответствии с </w:t>
      </w:r>
      <w:hyperlink w:history="0" r:id="rId659" w:tooltip="&quot;Жилищный кодекс Российской Федерации&quot; от 29.12.2004 N 188-ФЗ (ред. от 21.11.2022) (с изм. и доп., вступ. в силу с 01.03.2023) {КонсультантПлюс}">
        <w:r>
          <w:rPr>
            <w:sz w:val="20"/>
            <w:color w:val="0000ff"/>
          </w:rPr>
          <w:t xml:space="preserve">частью 2 статьи 57</w:t>
        </w:r>
      </w:hyperlink>
      <w:r>
        <w:rPr>
          <w:sz w:val="20"/>
        </w:rPr>
        <w:t xml:space="preserve"> Жилищного кодекса Российской Федерации.</w:t>
      </w:r>
    </w:p>
    <w:p>
      <w:pPr>
        <w:pStyle w:val="0"/>
        <w:jc w:val="both"/>
      </w:pPr>
      <w:r>
        <w:rPr>
          <w:sz w:val="20"/>
        </w:rPr>
        <w:t xml:space="preserve">(в ред. </w:t>
      </w:r>
      <w:hyperlink w:history="0" r:id="rId660"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Предоставление жилых помещений по договорам социального найма осуществляется в соответствии со </w:t>
      </w:r>
      <w:hyperlink w:history="0" r:id="rId661" w:tooltip="&quot;Жилищный кодекс Российской Федерации&quot; от 29.12.2004 N 188-ФЗ (ред. от 21.11.2022) (с изм. и доп., вступ. в силу с 01.03.2023) {КонсультантПлюс}">
        <w:r>
          <w:rPr>
            <w:sz w:val="20"/>
            <w:color w:val="0000ff"/>
          </w:rPr>
          <w:t xml:space="preserve">статьей 57</w:t>
        </w:r>
      </w:hyperlink>
      <w:r>
        <w:rPr>
          <w:sz w:val="20"/>
        </w:rPr>
        <w:t xml:space="preserve"> Жилищного кодекса Российской Федерации.</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ind w:firstLine="540"/>
        <w:jc w:val="both"/>
      </w:pPr>
      <w:r>
        <w:rPr>
          <w:sz w:val="20"/>
        </w:rPr>
      </w:r>
    </w:p>
    <w:p>
      <w:pPr>
        <w:pStyle w:val="0"/>
        <w:ind w:firstLine="540"/>
        <w:jc w:val="both"/>
      </w:pPr>
      <w:r>
        <w:rPr>
          <w:sz w:val="20"/>
        </w:rPr>
        <w:t xml:space="preserve">Утратил силу. - </w:t>
      </w:r>
      <w:hyperlink w:history="0" r:id="rId662"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6695" w:name="P6695"/>
    <w:bookmarkEnd w:id="6695"/>
    <w:p>
      <w:pPr>
        <w:pStyle w:val="2"/>
        <w:jc w:val="center"/>
      </w:pPr>
      <w:r>
        <w:rPr>
          <w:sz w:val="20"/>
        </w:rPr>
        <w:t xml:space="preserve">Подпрограмма</w:t>
      </w:r>
    </w:p>
    <w:p>
      <w:pPr>
        <w:pStyle w:val="2"/>
        <w:jc w:val="center"/>
      </w:pPr>
      <w:r>
        <w:rPr>
          <w:sz w:val="20"/>
        </w:rPr>
        <w:t xml:space="preserve">"Строительство (приобретение на первичном рынке) служебного</w:t>
      </w:r>
    </w:p>
    <w:p>
      <w:pPr>
        <w:pStyle w:val="2"/>
        <w:jc w:val="center"/>
      </w:pPr>
      <w:r>
        <w:rPr>
          <w:sz w:val="20"/>
        </w:rPr>
        <w:t xml:space="preserve">жилья для отдельных категорий граждан, проживающих</w:t>
      </w:r>
    </w:p>
    <w:p>
      <w:pPr>
        <w:pStyle w:val="2"/>
        <w:jc w:val="center"/>
      </w:pPr>
      <w:r>
        <w:rPr>
          <w:sz w:val="20"/>
        </w:rPr>
        <w:t xml:space="preserve">и работающих на территории Новосибирской области"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15.02.2016 </w:t>
            </w:r>
            <w:hyperlink w:history="0" r:id="rId663"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color w:val="392c69"/>
              </w:rPr>
              <w:t xml:space="preserve">, от 15.02.2017 </w:t>
            </w:r>
            <w:hyperlink w:history="0" r:id="rId664"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color w:val="392c69"/>
              </w:rPr>
              <w:t xml:space="preserve">, от 06.07.2018 </w:t>
            </w:r>
            <w:hyperlink w:history="0" r:id="rId66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w:t>
            </w:r>
          </w:p>
          <w:p>
            <w:pPr>
              <w:pStyle w:val="0"/>
              <w:jc w:val="center"/>
            </w:pPr>
            <w:r>
              <w:rPr>
                <w:sz w:val="20"/>
                <w:color w:val="392c69"/>
              </w:rPr>
              <w:t xml:space="preserve">от 19.11.2018 </w:t>
            </w:r>
            <w:hyperlink w:history="0" r:id="rId666"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 от 19.03.2019 </w:t>
            </w:r>
            <w:hyperlink w:history="0" r:id="rId667"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 от 28.10.2019 </w:t>
            </w:r>
            <w:hyperlink w:history="0" r:id="rId668"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color w:val="392c69"/>
              </w:rPr>
              <w:t xml:space="preserve">,</w:t>
            </w:r>
          </w:p>
          <w:p>
            <w:pPr>
              <w:pStyle w:val="0"/>
              <w:jc w:val="center"/>
            </w:pPr>
            <w:r>
              <w:rPr>
                <w:sz w:val="20"/>
                <w:color w:val="392c69"/>
              </w:rPr>
              <w:t xml:space="preserve">от 02.06.2020 </w:t>
            </w:r>
            <w:hyperlink w:history="0" r:id="rId669"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 от 29.09.2020 </w:t>
            </w:r>
            <w:hyperlink w:history="0" r:id="rId670"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color w:val="392c69"/>
              </w:rPr>
              <w:t xml:space="preserve">, от 25.03.2021 </w:t>
            </w:r>
            <w:hyperlink w:history="0" r:id="rId671"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color w:val="392c69"/>
              </w:rPr>
              <w:t xml:space="preserve">,</w:t>
            </w:r>
          </w:p>
          <w:p>
            <w:pPr>
              <w:pStyle w:val="0"/>
              <w:jc w:val="center"/>
            </w:pPr>
            <w:r>
              <w:rPr>
                <w:sz w:val="20"/>
                <w:color w:val="392c69"/>
              </w:rPr>
              <w:t xml:space="preserve">от 15.03.2022 </w:t>
            </w:r>
            <w:hyperlink w:history="0" r:id="rId672"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 от 26.04.2022 </w:t>
            </w:r>
            <w:hyperlink w:history="0" r:id="rId673"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color w:val="392c69"/>
              </w:rPr>
              <w:t xml:space="preserve">, от 29.12.2022 </w:t>
            </w:r>
            <w:hyperlink w:history="0" r:id="rId674"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color w:val="392c69"/>
              </w:rPr>
              <w:t xml:space="preserve">,</w:t>
            </w:r>
          </w:p>
          <w:p>
            <w:pPr>
              <w:pStyle w:val="0"/>
              <w:jc w:val="center"/>
            </w:pPr>
            <w:r>
              <w:rPr>
                <w:sz w:val="20"/>
                <w:color w:val="392c69"/>
              </w:rPr>
              <w:t xml:space="preserve">от 21.03.2023 </w:t>
            </w:r>
            <w:hyperlink w:history="0" r:id="rId675"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N 100-п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143"/>
      </w:tblGrid>
      <w:tr>
        <w:tblPrEx>
          <w:tblBorders>
            <w:insideH w:val="nil"/>
          </w:tblBorders>
        </w:tblPrEx>
        <w:tc>
          <w:tcPr>
            <w:tcW w:w="1928"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67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8"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(далее - подпрограмма)</w:t>
            </w:r>
          </w:p>
        </w:tc>
      </w:tr>
      <w:tr>
        <w:tblPrEx>
          <w:tblBorders>
            <w:insideH w:val="nil"/>
          </w:tblBorders>
        </w:tblPrEx>
        <w:tc>
          <w:tcPr>
            <w:tcW w:w="1928" w:type="dxa"/>
            <w:tcBorders>
              <w:bottom w:val="nil"/>
            </w:tcBorders>
          </w:tcPr>
          <w:p>
            <w:pPr>
              <w:pStyle w:val="0"/>
            </w:pPr>
            <w:r>
              <w:rPr>
                <w:sz w:val="20"/>
              </w:rPr>
              <w:t xml:space="preserve">Разработчики подпрограммы</w:t>
            </w:r>
          </w:p>
        </w:tc>
        <w:tc>
          <w:tcPr>
            <w:tcW w:w="7143" w:type="dxa"/>
            <w:tcBorders>
              <w:bottom w:val="nil"/>
            </w:tcBorders>
          </w:tcPr>
          <w:p>
            <w:pPr>
              <w:pStyle w:val="0"/>
              <w:jc w:val="both"/>
            </w:pPr>
            <w:r>
              <w:rPr>
                <w:sz w:val="20"/>
              </w:rPr>
              <w:t xml:space="preserve">Министерство строительства Новосибирской области (далее - 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677"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678"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Государственный заказчик (государственный заказчик-координатор) подпрограммы</w:t>
            </w:r>
          </w:p>
        </w:tc>
        <w:tc>
          <w:tcPr>
            <w:tcW w:w="7143" w:type="dxa"/>
            <w:tcBorders>
              <w:bottom w:val="nil"/>
            </w:tcBorders>
          </w:tcPr>
          <w:p>
            <w:pPr>
              <w:pStyle w:val="0"/>
              <w:jc w:val="both"/>
            </w:pPr>
            <w:r>
              <w:rPr>
                <w:sz w:val="20"/>
              </w:rPr>
              <w:t xml:space="preserve">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67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680"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jc w:val="both"/>
            </w:pPr>
            <w:r>
              <w:rPr>
                <w:sz w:val="20"/>
              </w:rPr>
              <w:t xml:space="preserve">Руководитель подпрограммы</w:t>
            </w:r>
          </w:p>
        </w:tc>
        <w:tc>
          <w:tcPr>
            <w:tcW w:w="7143" w:type="dxa"/>
            <w:tcBorders>
              <w:bottom w:val="nil"/>
            </w:tcBorders>
          </w:tcPr>
          <w:p>
            <w:pPr>
              <w:pStyle w:val="0"/>
              <w:jc w:val="both"/>
            </w:pPr>
            <w:r>
              <w:rPr>
                <w:sz w:val="20"/>
              </w:rPr>
              <w:t xml:space="preserve">Министр строительства Новосибирской области - Колмаков А.В.</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681"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682"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15.03.2022 </w:t>
            </w:r>
            <w:hyperlink w:history="0" r:id="rId683"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 от 29.12.2022 </w:t>
            </w:r>
            <w:hyperlink w:history="0" r:id="rId684"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r>
        <w:tc>
          <w:tcPr>
            <w:tcW w:w="1928" w:type="dxa"/>
          </w:tcPr>
          <w:p>
            <w:pPr>
              <w:pStyle w:val="0"/>
            </w:pPr>
            <w:r>
              <w:rPr>
                <w:sz w:val="20"/>
              </w:rPr>
              <w:t xml:space="preserve">Цели и задачи подпрограммы</w:t>
            </w:r>
          </w:p>
        </w:tc>
        <w:tc>
          <w:tcPr>
            <w:tcW w:w="7143" w:type="dxa"/>
          </w:tcPr>
          <w:p>
            <w:pPr>
              <w:pStyle w:val="0"/>
              <w:jc w:val="both"/>
            </w:pPr>
            <w:r>
              <w:rPr>
                <w:sz w:val="20"/>
              </w:rPr>
              <w:t xml:space="preserve">Цель: закрепление кадров за счет улучшения жилищных условий отдельных категорий граждан, проживающих на территории Новосибирской области.</w:t>
            </w:r>
          </w:p>
          <w:p>
            <w:pPr>
              <w:pStyle w:val="0"/>
              <w:jc w:val="both"/>
            </w:pPr>
            <w:r>
              <w:rPr>
                <w:sz w:val="20"/>
              </w:rPr>
              <w:t xml:space="preserve">Задача: обеспечение отдельных категорий граждан, проживающих и работающих на территории Новосибирской области, служебным жильем</w:t>
            </w:r>
          </w:p>
        </w:tc>
      </w:tr>
      <w:tr>
        <w:tblPrEx>
          <w:tblBorders>
            <w:insideH w:val="nil"/>
          </w:tblBorders>
        </w:tblPrEx>
        <w:tc>
          <w:tcPr>
            <w:tcW w:w="1928"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- 2015 - 2025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19.03.2019 </w:t>
            </w:r>
            <w:hyperlink w:history="0" r:id="rId68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686"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29.12.2022 </w:t>
            </w:r>
            <w:hyperlink w:history="0" r:id="rId687"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Объемы финансирования подпрограммы</w:t>
            </w:r>
          </w:p>
        </w:tc>
        <w:tc>
          <w:tcPr>
            <w:tcW w:w="7143" w:type="dxa"/>
            <w:tcBorders>
              <w:bottom w:val="nil"/>
            </w:tcBorders>
          </w:tcPr>
          <w:p>
            <w:pPr>
              <w:pStyle w:val="0"/>
            </w:pPr>
            <w:r>
              <w:rPr>
                <w:sz w:val="20"/>
              </w:rPr>
              <w:t xml:space="preserve">Общий объем ассигнований на реализацию подпрограммы составляет 3 037 709,6 тыс. руб.,</w:t>
            </w:r>
          </w:p>
          <w:p>
            <w:pPr>
              <w:pStyle w:val="0"/>
            </w:pPr>
            <w:r>
              <w:rPr>
                <w:sz w:val="20"/>
              </w:rPr>
              <w:t xml:space="preserve">в том числе по годам:</w:t>
            </w:r>
          </w:p>
          <w:p>
            <w:pPr>
              <w:pStyle w:val="0"/>
            </w:pPr>
            <w:r>
              <w:rPr>
                <w:sz w:val="20"/>
              </w:rPr>
              <w:t xml:space="preserve">2015 год - 3 915,2 тыс. руб.;</w:t>
            </w:r>
          </w:p>
          <w:p>
            <w:pPr>
              <w:pStyle w:val="0"/>
            </w:pPr>
            <w:r>
              <w:rPr>
                <w:sz w:val="20"/>
              </w:rPr>
              <w:t xml:space="preserve">2016 год - 0,0 тыс. руб.;</w:t>
            </w:r>
          </w:p>
          <w:p>
            <w:pPr>
              <w:pStyle w:val="0"/>
            </w:pPr>
            <w:r>
              <w:rPr>
                <w:sz w:val="20"/>
              </w:rPr>
              <w:t xml:space="preserve">2017 год - 0,0 тыс. руб.;</w:t>
            </w:r>
          </w:p>
          <w:p>
            <w:pPr>
              <w:pStyle w:val="0"/>
            </w:pPr>
            <w:r>
              <w:rPr>
                <w:sz w:val="20"/>
              </w:rPr>
              <w:t xml:space="preserve">2018 год - 0,0 тыс. руб.;</w:t>
            </w:r>
          </w:p>
          <w:p>
            <w:pPr>
              <w:pStyle w:val="0"/>
            </w:pPr>
            <w:r>
              <w:rPr>
                <w:sz w:val="20"/>
              </w:rPr>
              <w:t xml:space="preserve">2019 год - 217 482,5 тыс. руб.;</w:t>
            </w:r>
          </w:p>
          <w:p>
            <w:pPr>
              <w:pStyle w:val="0"/>
            </w:pPr>
            <w:r>
              <w:rPr>
                <w:sz w:val="20"/>
              </w:rPr>
              <w:t xml:space="preserve">2020 год - 2 978,4 тыс. руб.;</w:t>
            </w:r>
          </w:p>
          <w:p>
            <w:pPr>
              <w:pStyle w:val="0"/>
            </w:pPr>
            <w:r>
              <w:rPr>
                <w:sz w:val="20"/>
              </w:rPr>
              <w:t xml:space="preserve">2021 год - 160 323,8 тыс. руб.;</w:t>
            </w:r>
          </w:p>
          <w:p>
            <w:pPr>
              <w:pStyle w:val="0"/>
            </w:pPr>
            <w:r>
              <w:rPr>
                <w:sz w:val="20"/>
              </w:rPr>
              <w:t xml:space="preserve">2022 год - 570 873,9 тыс. руб.;</w:t>
            </w:r>
          </w:p>
          <w:p>
            <w:pPr>
              <w:pStyle w:val="0"/>
            </w:pPr>
            <w:r>
              <w:rPr>
                <w:sz w:val="20"/>
              </w:rPr>
              <w:t xml:space="preserve">2023 год - 938 209,5 тыс. руб.;</w:t>
            </w:r>
          </w:p>
          <w:p>
            <w:pPr>
              <w:pStyle w:val="0"/>
            </w:pPr>
            <w:r>
              <w:rPr>
                <w:sz w:val="20"/>
              </w:rPr>
              <w:t xml:space="preserve">2024 год - 573 052,5 тыс. руб.;</w:t>
            </w:r>
          </w:p>
          <w:p>
            <w:pPr>
              <w:pStyle w:val="0"/>
            </w:pPr>
            <w:r>
              <w:rPr>
                <w:sz w:val="20"/>
              </w:rPr>
              <w:t xml:space="preserve">2025 год - 570 873,9 тыс. руб.</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688"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tc>
      </w:tr>
      <w:tr>
        <w:tc>
          <w:tcPr>
            <w:tcW w:w="1928" w:type="dxa"/>
          </w:tcPr>
          <w:p>
            <w:pPr>
              <w:pStyle w:val="0"/>
            </w:pPr>
            <w:r>
              <w:rPr>
                <w:sz w:val="20"/>
              </w:rPr>
              <w:t xml:space="preserve">Основные целевые индикаторы подпрограммы</w:t>
            </w:r>
          </w:p>
        </w:tc>
        <w:tc>
          <w:tcPr>
            <w:tcW w:w="7143" w:type="dxa"/>
          </w:tcPr>
          <w:p>
            <w:pPr>
              <w:pStyle w:val="0"/>
              <w:jc w:val="both"/>
            </w:pPr>
            <w:r>
              <w:rPr>
                <w:sz w:val="20"/>
              </w:rPr>
              <w:t xml:space="preserve">Количество квартир, построенных (приобретенных на первичном рынке) для предоставления отдельным категориям граждан, проживающих и работающих на территории Новосибирской области, в качестве служебного жилья</w:t>
            </w:r>
          </w:p>
        </w:tc>
      </w:tr>
      <w:tr>
        <w:tblPrEx>
          <w:tblBorders>
            <w:insideH w:val="nil"/>
          </w:tblBorders>
        </w:tblPrEx>
        <w:tc>
          <w:tcPr>
            <w:tcW w:w="1928"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За период реализации государственной программы приобретена 771 квартира для предоставления в качестве служебного жилья отдельным категориям граждан, проживающих и работающих на территории Новосибирской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15.02.2016 </w:t>
            </w:r>
            <w:hyperlink w:history="0" r:id="rId689"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rPr>
              <w:t xml:space="preserve">, от 15.02.2017 </w:t>
            </w:r>
            <w:hyperlink w:history="0" r:id="rId690"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691"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19.03.2019 </w:t>
            </w:r>
            <w:hyperlink w:history="0" r:id="rId69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28.10.2019 </w:t>
            </w:r>
            <w:hyperlink w:history="0" r:id="rId693" w:tooltip="Постановление Правительства Новосибирской области от 28.10.2019 N 415-п &quot;О внесении изменений в постановление Правительства Новосибирской области от 20.02.2015 N 68-п&quot; {КонсультантПлюс}">
              <w:r>
                <w:rPr>
                  <w:sz w:val="20"/>
                  <w:color w:val="0000ff"/>
                </w:rPr>
                <w:t xml:space="preserve">N 415-п</w:t>
              </w:r>
            </w:hyperlink>
            <w:r>
              <w:rPr>
                <w:sz w:val="20"/>
              </w:rPr>
              <w:t xml:space="preserve">, от 02.06.2020 </w:t>
            </w:r>
            <w:hyperlink w:history="0" r:id="rId694"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29.09.2020 </w:t>
            </w:r>
            <w:hyperlink w:history="0" r:id="rId695"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rPr>
              <w:t xml:space="preserve">, от 25.03.2021 </w:t>
            </w:r>
            <w:hyperlink w:history="0" r:id="rId696"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rPr>
              <w:t xml:space="preserve">, от 15.03.2022 </w:t>
            </w:r>
            <w:hyperlink w:history="0" r:id="rId697"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 от 29.12.2022 </w:t>
            </w:r>
            <w:hyperlink w:history="0" r:id="rId698"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bl>
    <w:p>
      <w:pPr>
        <w:pStyle w:val="0"/>
        <w:ind w:firstLine="540"/>
        <w:jc w:val="both"/>
      </w:pPr>
      <w:r>
        <w:rPr>
          <w:sz w:val="20"/>
        </w:rPr>
      </w:r>
    </w:p>
    <w:p>
      <w:pPr>
        <w:pStyle w:val="2"/>
        <w:outlineLvl w:val="2"/>
        <w:jc w:val="center"/>
      </w:pPr>
      <w:r>
        <w:rPr>
          <w:sz w:val="20"/>
        </w:rPr>
        <w:t xml:space="preserve">II.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699"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700"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jc w:val="center"/>
      </w:pPr>
      <w:r>
        <w:rPr>
          <w:sz w:val="20"/>
        </w:rPr>
        <w:t xml:space="preserve">(в ред. </w:t>
      </w:r>
      <w:hyperlink w:history="0" r:id="rId70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19.03.2019 N 106-п)</w:t>
      </w:r>
    </w:p>
    <w:p>
      <w:pPr>
        <w:pStyle w:val="0"/>
        <w:ind w:firstLine="540"/>
        <w:jc w:val="both"/>
      </w:pPr>
      <w:r>
        <w:rPr>
          <w:sz w:val="20"/>
        </w:rPr>
      </w:r>
    </w:p>
    <w:p>
      <w:pPr>
        <w:pStyle w:val="0"/>
        <w:ind w:firstLine="540"/>
        <w:jc w:val="both"/>
      </w:pPr>
      <w:r>
        <w:rPr>
          <w:sz w:val="20"/>
        </w:rPr>
        <w:t xml:space="preserve">В рамках подпрограммы осуществляется предоставление субсидий бюджетам муниципальных районов и городских округов Новосибирской области для строительства (приобретения на первичном рынке) служебного жилья для отдельных категорий граждан, проживающих и работающих на территории Новосибирской области.</w:t>
      </w:r>
    </w:p>
    <w:p>
      <w:pPr>
        <w:pStyle w:val="0"/>
        <w:spacing w:before="200" w:line-rule="auto"/>
        <w:ind w:firstLine="540"/>
        <w:jc w:val="both"/>
      </w:pPr>
      <w:r>
        <w:rPr>
          <w:sz w:val="20"/>
        </w:rPr>
        <w:t xml:space="preserve">Реализация подпрограммы осуществляется путем строительства жилых домов, долевого участия в строительстве жилых домов, а также приобретения жилых помещений на первичном рынке в муниципальную собственность. Построенные (приобретенные) жилые помещения включаются в специализированный жилищный фонд с отнесением к служебным жилым помещениям.</w:t>
      </w:r>
    </w:p>
    <w:p>
      <w:pPr>
        <w:pStyle w:val="0"/>
        <w:spacing w:before="200" w:line-rule="auto"/>
        <w:ind w:firstLine="540"/>
        <w:jc w:val="both"/>
      </w:pPr>
      <w:r>
        <w:rPr>
          <w:sz w:val="20"/>
        </w:rPr>
        <w:t xml:space="preserve">В 2019 году в рамках подпрограммы реализуется пилотный проект, в результате которого в дальнейшем строительство служебного жилья будет осуществляться с применением экономически эффективной проектной документации повторного использования.</w:t>
      </w:r>
    </w:p>
    <w:p>
      <w:pPr>
        <w:pStyle w:val="0"/>
        <w:spacing w:before="200" w:line-rule="auto"/>
        <w:ind w:firstLine="540"/>
        <w:jc w:val="both"/>
      </w:pPr>
      <w:r>
        <w:rPr>
          <w:sz w:val="20"/>
        </w:rPr>
        <w:t xml:space="preserve">Пилотный проект в 2019 году реализуется в отдельных муниципальных районах, представивших заявку на участие, имеющих в муниципальной собственности земельные участки для жилищного строительства, где будет осуществлено строительство по проектам, соответствующим требованиям, предъявляемым к экономически эффективной проектной документации. По результатам проекты будут рекомендованы для включения в единый государственный реестр заключений экспертизы проектной документации объектов капитального строительства.</w:t>
      </w:r>
    </w:p>
    <w:p>
      <w:pPr>
        <w:pStyle w:val="0"/>
        <w:spacing w:before="200" w:line-rule="auto"/>
        <w:ind w:firstLine="540"/>
        <w:jc w:val="both"/>
      </w:pPr>
      <w:r>
        <w:rPr>
          <w:sz w:val="20"/>
        </w:rPr>
        <w:t xml:space="preserve">Абзац утратил силу. - </w:t>
      </w:r>
      <w:hyperlink w:history="0" r:id="rId702"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29.12.2022 N 652-п.</w:t>
      </w:r>
    </w:p>
    <w:p>
      <w:pPr>
        <w:pStyle w:val="0"/>
        <w:spacing w:before="200" w:line-rule="auto"/>
        <w:ind w:firstLine="540"/>
        <w:jc w:val="both"/>
      </w:pPr>
      <w:r>
        <w:rPr>
          <w:sz w:val="20"/>
        </w:rPr>
        <w:t xml:space="preserve">Служебное жилье предоставляется гражданам, замещающим должности муниципальной службы, работникам муниципальных учреждений, предприятий и организаций и работникам государственных учреждений Новосибирской области, участковым уполномоченным полиции (далее - специалисты). Служебное жилье предоставляется в виде отдельных квартир или жилых домов.</w:t>
      </w:r>
    </w:p>
    <w:p>
      <w:pPr>
        <w:pStyle w:val="0"/>
        <w:jc w:val="both"/>
      </w:pPr>
      <w:r>
        <w:rPr>
          <w:sz w:val="20"/>
        </w:rPr>
        <w:t xml:space="preserve">(в ред. постановлений Правительства Новосибирской области от 02.06.2020 </w:t>
      </w:r>
      <w:hyperlink w:history="0" r:id="rId703"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29.09.2020 </w:t>
      </w:r>
      <w:hyperlink w:history="0" r:id="rId704"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rPr>
        <w:t xml:space="preserve">)</w:t>
      </w:r>
    </w:p>
    <w:p>
      <w:pPr>
        <w:pStyle w:val="0"/>
        <w:spacing w:before="200" w:line-rule="auto"/>
        <w:ind w:firstLine="540"/>
        <w:jc w:val="both"/>
      </w:pPr>
      <w:r>
        <w:rPr>
          <w:sz w:val="20"/>
        </w:rPr>
        <w:t xml:space="preserve">Построенные (приобретенные на первичном рынке) жилые помещения, предоставляемые работникам государственных учреждений Новосибирской области, подлежат передаче из муниципальной собственности по договору безвозмездного пользования государственным учреждениям Новосибирской области в целях последующей их передачи в государственную собственность Новосибирской области.</w:t>
      </w:r>
    </w:p>
    <w:p>
      <w:pPr>
        <w:pStyle w:val="0"/>
        <w:jc w:val="both"/>
      </w:pPr>
      <w:r>
        <w:rPr>
          <w:sz w:val="20"/>
        </w:rPr>
        <w:t xml:space="preserve">(абзац введен </w:t>
      </w:r>
      <w:hyperlink w:history="0" r:id="rId705"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29.12.2022 N 652-п)</w:t>
      </w:r>
    </w:p>
    <w:p>
      <w:pPr>
        <w:pStyle w:val="0"/>
        <w:spacing w:before="200" w:line-rule="auto"/>
        <w:ind w:firstLine="540"/>
        <w:jc w:val="both"/>
      </w:pPr>
      <w:r>
        <w:rPr>
          <w:sz w:val="20"/>
        </w:rPr>
        <w:t xml:space="preserve">Расчетная стоимость жилых помещений определяется исходя из общей площади жилого помещения 45 квадратных метров и стоимости 1 кв. м общей площади жилья, установленной согласно </w:t>
      </w:r>
      <w:hyperlink w:history="0" r:id="rId706" w:tooltip="Приказ Минстроя Новосибирской области от 11.11.2021 N 715 (ред. от 28.06.2022) &quot;Об установлении стоимости одного квадратного метра общей площади жилого помещения по муниципальным образованиям Новосибирской области на 2022 год&quot; {КонсультантПлюс}">
        <w:r>
          <w:rPr>
            <w:sz w:val="20"/>
            <w:color w:val="0000ff"/>
          </w:rPr>
          <w:t xml:space="preserve">приложению</w:t>
        </w:r>
      </w:hyperlink>
      <w:r>
        <w:rPr>
          <w:sz w:val="20"/>
        </w:rPr>
        <w:t xml:space="preserve"> к приказу министерства строительства Новосибирской области от 11.11.2021 N 715 "Об установлении стоимости одного квадратного метра общей площади жилого помещения по муниципальным образованиям Новосибирской области на 2022 год".</w:t>
      </w:r>
    </w:p>
    <w:p>
      <w:pPr>
        <w:pStyle w:val="0"/>
        <w:jc w:val="both"/>
      </w:pPr>
      <w:r>
        <w:rPr>
          <w:sz w:val="20"/>
        </w:rPr>
        <w:t xml:space="preserve">(в ред. постановлений Правительства Новосибирской области от 02.06.2020 </w:t>
      </w:r>
      <w:hyperlink w:history="0" r:id="rId707"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26.04.2022 </w:t>
      </w:r>
      <w:hyperlink w:history="0" r:id="rId708"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rPr>
        <w:t xml:space="preserve">)</w:t>
      </w:r>
    </w:p>
    <w:p>
      <w:pPr>
        <w:pStyle w:val="0"/>
        <w:spacing w:before="200" w:line-rule="auto"/>
        <w:ind w:firstLine="540"/>
        <w:jc w:val="both"/>
      </w:pPr>
      <w:r>
        <w:rPr>
          <w:sz w:val="20"/>
        </w:rPr>
        <w:t xml:space="preserve">При строительстве жилого дома расчетная стоимость строительства складывается из суммы общей площади жилых помещений по стоимости 1 кв. м общей площади жилья, установленной согласно </w:t>
      </w:r>
      <w:hyperlink w:history="0" r:id="rId709" w:tooltip="Приказ Минстроя Новосибирской области от 11.11.2021 N 715 (ред. от 28.06.2022) &quot;Об установлении стоимости одного квадратного метра общей площади жилого помещения по муниципальным образованиям Новосибирской области на 2022 год&quot; {КонсультантПлюс}">
        <w:r>
          <w:rPr>
            <w:sz w:val="20"/>
            <w:color w:val="0000ff"/>
          </w:rPr>
          <w:t xml:space="preserve">приложению</w:t>
        </w:r>
      </w:hyperlink>
      <w:r>
        <w:rPr>
          <w:sz w:val="20"/>
        </w:rPr>
        <w:t xml:space="preserve"> к приказу министерства строительства Новосибирской области от 11.11.2021 N 715 "Об установлении стоимости одного квадратного метра общей площади жилого помещения по муниципальным образованиям Новосибирской области на 2022 год".</w:t>
      </w:r>
    </w:p>
    <w:p>
      <w:pPr>
        <w:pStyle w:val="0"/>
        <w:jc w:val="both"/>
      </w:pPr>
      <w:r>
        <w:rPr>
          <w:sz w:val="20"/>
        </w:rPr>
        <w:t xml:space="preserve">(в ред. постановлений Правительства Новосибирской области от 02.06.2020 </w:t>
      </w:r>
      <w:hyperlink w:history="0" r:id="rId710"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26.04.2022 </w:t>
      </w:r>
      <w:hyperlink w:history="0" r:id="rId711"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rPr>
        <w:t xml:space="preserve">)</w:t>
      </w:r>
    </w:p>
    <w:p>
      <w:pPr>
        <w:pStyle w:val="0"/>
        <w:spacing w:before="200" w:line-rule="auto"/>
        <w:ind w:firstLine="540"/>
        <w:jc w:val="both"/>
      </w:pPr>
      <w:r>
        <w:rPr>
          <w:sz w:val="20"/>
        </w:rPr>
        <w:t xml:space="preserve">В случае строительства (приобретения) жилого помещения общей площадью менее расчетной стоимость одного квадратного метра не может превышать расчетную. В случае строительства (приобретения) жилого помещения общей площадью более расчетной стоимость жилого помещения не может превышать расчетную.</w:t>
      </w:r>
    </w:p>
    <w:p>
      <w:pPr>
        <w:pStyle w:val="0"/>
        <w:spacing w:before="200" w:line-rule="auto"/>
        <w:ind w:firstLine="540"/>
        <w:jc w:val="both"/>
      </w:pPr>
      <w:r>
        <w:rPr>
          <w:sz w:val="20"/>
        </w:rPr>
        <w:t xml:space="preserve">Абзац утратил силу. - </w:t>
      </w:r>
      <w:hyperlink w:history="0" r:id="rId712"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Минстроем НСО в целях определения потребности в служебном жилье осуществляется проведение мониторинга. Ежегодно направляются обращения в муниципальные образования Новосибирской области о потребности специалистов в служебном жилье. По полученным данным формируется общая потребность в служебном жилье по каждому муниципальному образованию на планируемый период.</w:t>
      </w:r>
    </w:p>
    <w:p>
      <w:pPr>
        <w:pStyle w:val="0"/>
        <w:spacing w:before="200" w:line-rule="auto"/>
        <w:ind w:firstLine="540"/>
        <w:jc w:val="both"/>
      </w:pPr>
      <w:r>
        <w:rPr>
          <w:sz w:val="20"/>
        </w:rPr>
        <w:t xml:space="preserve">Распределение объема субсидий между муниципальными образованиями Новосибирской области осуществляется исходя из следующих критериев:</w:t>
      </w:r>
    </w:p>
    <w:p>
      <w:pPr>
        <w:pStyle w:val="0"/>
        <w:jc w:val="both"/>
      </w:pPr>
      <w:r>
        <w:rPr>
          <w:sz w:val="20"/>
        </w:rPr>
        <w:t xml:space="preserve">(абзац введен </w:t>
      </w:r>
      <w:hyperlink w:history="0" r:id="rId713"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29.09.2020 N 411-п)</w:t>
      </w:r>
    </w:p>
    <w:p>
      <w:pPr>
        <w:pStyle w:val="0"/>
        <w:spacing w:before="200" w:line-rule="auto"/>
        <w:ind w:firstLine="540"/>
        <w:jc w:val="both"/>
      </w:pPr>
      <w:r>
        <w:rPr>
          <w:sz w:val="20"/>
        </w:rPr>
        <w:t xml:space="preserve">1. Наличие на территории муниципального образования Новосибирской области потребности в служебном жилье для отдельных категорий граждан, проживающих и работающих на территории Новосибирской области.</w:t>
      </w:r>
    </w:p>
    <w:p>
      <w:pPr>
        <w:pStyle w:val="0"/>
        <w:jc w:val="both"/>
      </w:pPr>
      <w:r>
        <w:rPr>
          <w:sz w:val="20"/>
        </w:rPr>
        <w:t xml:space="preserve">(п. 1 введен </w:t>
      </w:r>
      <w:hyperlink w:history="0" r:id="rId714"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29.09.2020 N 411-п)</w:t>
      </w:r>
    </w:p>
    <w:p>
      <w:pPr>
        <w:pStyle w:val="0"/>
        <w:spacing w:before="200" w:line-rule="auto"/>
        <w:ind w:firstLine="540"/>
        <w:jc w:val="both"/>
      </w:pPr>
      <w:r>
        <w:rPr>
          <w:sz w:val="20"/>
        </w:rPr>
        <w:t xml:space="preserve">2. Наличие на территории муниципального образования земельных участков для строительства, обеспеченных инженерной инфраструктурой либо возможностью подключения, в случае строительства.</w:t>
      </w:r>
    </w:p>
    <w:p>
      <w:pPr>
        <w:pStyle w:val="0"/>
        <w:jc w:val="both"/>
      </w:pPr>
      <w:r>
        <w:rPr>
          <w:sz w:val="20"/>
        </w:rPr>
        <w:t xml:space="preserve">(п. 2 введен </w:t>
      </w:r>
      <w:hyperlink w:history="0" r:id="rId715"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29.09.2020 N 411-п)</w:t>
      </w:r>
    </w:p>
    <w:p>
      <w:pPr>
        <w:pStyle w:val="0"/>
        <w:spacing w:before="200" w:line-rule="auto"/>
        <w:ind w:firstLine="540"/>
        <w:jc w:val="both"/>
      </w:pPr>
      <w:r>
        <w:rPr>
          <w:sz w:val="20"/>
        </w:rPr>
        <w:t xml:space="preserve">3. Наличие на территории муниципального образования Новосибирской области жилых помещений на первичном рынке жилья, соответствующих условиям подпрограммы, в случае приобретения жилья.</w:t>
      </w:r>
    </w:p>
    <w:p>
      <w:pPr>
        <w:pStyle w:val="0"/>
        <w:jc w:val="both"/>
      </w:pPr>
      <w:r>
        <w:rPr>
          <w:sz w:val="20"/>
        </w:rPr>
        <w:t xml:space="preserve">(п. 3 введен </w:t>
      </w:r>
      <w:hyperlink w:history="0" r:id="rId716"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29.09.2020 N 411-п)</w:t>
      </w:r>
    </w:p>
    <w:p>
      <w:pPr>
        <w:pStyle w:val="0"/>
        <w:spacing w:before="200" w:line-rule="auto"/>
        <w:ind w:firstLine="540"/>
        <w:jc w:val="both"/>
      </w:pPr>
      <w:r>
        <w:rPr>
          <w:sz w:val="20"/>
        </w:rPr>
        <w:t xml:space="preserve">Решение о предоставлении субсидии муниципальному району (городскому округу) в планируемом году принимается с учетом актуальности потребности в служебном жилье, уровня подготовленности инженерной инфраструктуры земельных участков для строительства, возможности использования при строительстве проектов, включенных в реестр экономически эффективной проектной документации повторного использования Министерства строительства и жилищно-коммунального хозяйства Российской Федерации.</w:t>
      </w:r>
    </w:p>
    <w:p>
      <w:pPr>
        <w:pStyle w:val="0"/>
        <w:jc w:val="both"/>
      </w:pPr>
      <w:r>
        <w:rPr>
          <w:sz w:val="20"/>
        </w:rPr>
        <w:t xml:space="preserve">(в ред. </w:t>
      </w:r>
      <w:hyperlink w:history="0" r:id="rId717"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29.09.2020 N 411-п)</w:t>
      </w:r>
    </w:p>
    <w:p>
      <w:pPr>
        <w:pStyle w:val="0"/>
        <w:spacing w:before="200" w:line-rule="auto"/>
        <w:ind w:firstLine="540"/>
        <w:jc w:val="both"/>
      </w:pPr>
      <w:r>
        <w:rPr>
          <w:sz w:val="20"/>
        </w:rPr>
        <w:t xml:space="preserve">Методика расчета размеров субсидий областного бюджета Новосибирской области на реализацию данной подпрограммы приведена в </w:t>
      </w:r>
      <w:hyperlink w:history="0" w:anchor="P9236" w:tooltip="Порядок">
        <w:r>
          <w:rPr>
            <w:sz w:val="20"/>
            <w:color w:val="0000ff"/>
          </w:rPr>
          <w:t xml:space="preserve">приложении N 14</w:t>
        </w:r>
      </w:hyperlink>
      <w:r>
        <w:rPr>
          <w:sz w:val="20"/>
        </w:rPr>
        <w:t xml:space="preserve"> к государственной программе.</w:t>
      </w:r>
    </w:p>
    <w:p>
      <w:pPr>
        <w:pStyle w:val="0"/>
        <w:jc w:val="both"/>
      </w:pPr>
      <w:r>
        <w:rPr>
          <w:sz w:val="20"/>
        </w:rPr>
        <w:t xml:space="preserve">(в ред. </w:t>
      </w:r>
      <w:hyperlink w:history="0" r:id="rId718"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29.09.2020 N 411-п)</w:t>
      </w:r>
    </w:p>
    <w:p>
      <w:pPr>
        <w:pStyle w:val="0"/>
        <w:spacing w:before="200" w:line-rule="auto"/>
        <w:ind w:firstLine="540"/>
        <w:jc w:val="both"/>
      </w:pPr>
      <w:r>
        <w:rPr>
          <w:sz w:val="20"/>
        </w:rPr>
        <w:t xml:space="preserve">Объем размеров субсидий, предусмотренных для строительства жилых домов, должен составлять не менее 70% от общего объема ассигнований, предусмотренных в областном бюджете на реализацию данной подпрограммы.</w:t>
      </w:r>
    </w:p>
    <w:p>
      <w:pPr>
        <w:pStyle w:val="0"/>
        <w:jc w:val="both"/>
      </w:pPr>
      <w:r>
        <w:rPr>
          <w:sz w:val="20"/>
        </w:rPr>
        <w:t xml:space="preserve">(абзац введен </w:t>
      </w:r>
      <w:hyperlink w:history="0" r:id="rId719"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29.09.2020 N 411-п)</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ind w:firstLine="540"/>
        <w:jc w:val="both"/>
      </w:pPr>
      <w:r>
        <w:rPr>
          <w:sz w:val="20"/>
        </w:rPr>
      </w:r>
    </w:p>
    <w:p>
      <w:pPr>
        <w:pStyle w:val="0"/>
        <w:ind w:firstLine="540"/>
        <w:jc w:val="both"/>
      </w:pPr>
      <w:r>
        <w:rPr>
          <w:sz w:val="20"/>
        </w:rPr>
        <w:t xml:space="preserve">Утратил силу. - </w:t>
      </w:r>
      <w:hyperlink w:history="0" r:id="rId720"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6812" w:name="P6812"/>
    <w:bookmarkEnd w:id="6812"/>
    <w:p>
      <w:pPr>
        <w:pStyle w:val="2"/>
        <w:jc w:val="center"/>
      </w:pPr>
      <w:r>
        <w:rPr>
          <w:sz w:val="20"/>
        </w:rPr>
        <w:t xml:space="preserve">ПОДПРОГРАММА</w:t>
      </w:r>
    </w:p>
    <w:p>
      <w:pPr>
        <w:pStyle w:val="2"/>
        <w:jc w:val="center"/>
      </w:pPr>
      <w:r>
        <w:rPr>
          <w:sz w:val="20"/>
        </w:rPr>
        <w:t xml:space="preserve">"Государственная поддержка муниципальных образований</w:t>
      </w:r>
    </w:p>
    <w:p>
      <w:pPr>
        <w:pStyle w:val="2"/>
        <w:jc w:val="center"/>
      </w:pPr>
      <w:r>
        <w:rPr>
          <w:sz w:val="20"/>
        </w:rPr>
        <w:t xml:space="preserve">Новосибирской области при строительстве специализированного</w:t>
      </w:r>
    </w:p>
    <w:p>
      <w:pPr>
        <w:pStyle w:val="2"/>
        <w:jc w:val="center"/>
      </w:pPr>
      <w:r>
        <w:rPr>
          <w:sz w:val="20"/>
        </w:rPr>
        <w:t xml:space="preserve">жилищного фонда" государственной программы Новосибирской</w:t>
      </w:r>
    </w:p>
    <w:p>
      <w:pPr>
        <w:pStyle w:val="2"/>
        <w:jc w:val="center"/>
      </w:pPr>
      <w:r>
        <w:rPr>
          <w:sz w:val="20"/>
        </w:rPr>
        <w:t xml:space="preserve">области "Стимулирование развития жилищного</w:t>
      </w:r>
    </w:p>
    <w:p>
      <w:pPr>
        <w:pStyle w:val="2"/>
        <w:jc w:val="center"/>
      </w:pPr>
      <w:r>
        <w:rPr>
          <w:sz w:val="20"/>
        </w:rPr>
        <w:t xml:space="preserve">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721"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25.03.2021 N 88-п;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15.03.2022 </w:t>
            </w:r>
            <w:hyperlink w:history="0" r:id="rId722"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 от 26.04.2022 </w:t>
            </w:r>
            <w:hyperlink w:history="0" r:id="rId723"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color w:val="392c69"/>
              </w:rPr>
              <w:t xml:space="preserve">, от 26.07.2022 </w:t>
            </w:r>
            <w:hyperlink w:history="0" r:id="rId724" w:tooltip="Постановление Правительства Новосибирской области от 26.07.2022 N 337-п &quot;О внесении изменения в постановление Правительства Новосибирской области от 20.02.2015 N 68-п&quot; {КонсультантПлюс}">
              <w:r>
                <w:rPr>
                  <w:sz w:val="20"/>
                  <w:color w:val="0000ff"/>
                </w:rPr>
                <w:t xml:space="preserve">N 337-п</w:t>
              </w:r>
            </w:hyperlink>
            <w:r>
              <w:rPr>
                <w:sz w:val="20"/>
                <w:color w:val="392c69"/>
              </w:rPr>
              <w:t xml:space="preserve">,</w:t>
            </w:r>
          </w:p>
          <w:p>
            <w:pPr>
              <w:pStyle w:val="0"/>
              <w:jc w:val="center"/>
            </w:pPr>
            <w:r>
              <w:rPr>
                <w:sz w:val="20"/>
                <w:color w:val="392c69"/>
              </w:rPr>
              <w:t xml:space="preserve">от 29.12.2022 </w:t>
            </w:r>
            <w:hyperlink w:history="0" r:id="rId725"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color w:val="392c69"/>
              </w:rPr>
              <w:t xml:space="preserve">, от 21.03.2023 </w:t>
            </w:r>
            <w:hyperlink w:history="0" r:id="rId726"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N 100-п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7"/>
        <w:gridCol w:w="7143"/>
      </w:tblGrid>
      <w:tr>
        <w:tc>
          <w:tcPr>
            <w:tcW w:w="1927" w:type="dxa"/>
          </w:tcPr>
          <w:p>
            <w:pPr>
              <w:pStyle w:val="0"/>
              <w:jc w:val="both"/>
            </w:pPr>
            <w:r>
              <w:rPr>
                <w:sz w:val="20"/>
              </w:rPr>
              <w:t xml:space="preserve">Наименование государственной программы</w:t>
            </w:r>
          </w:p>
        </w:tc>
        <w:tc>
          <w:tcPr>
            <w:tcW w:w="7143" w:type="dxa"/>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c>
          <w:tcPr>
            <w:tcW w:w="1927" w:type="dxa"/>
          </w:tcPr>
          <w:p>
            <w:pPr>
              <w:pStyle w:val="0"/>
              <w:jc w:val="both"/>
            </w:pPr>
            <w:r>
              <w:rPr>
                <w:sz w:val="20"/>
              </w:rPr>
              <w:t xml:space="preserve">Наименование подпрограммы</w:t>
            </w:r>
          </w:p>
        </w:tc>
        <w:tc>
          <w:tcPr>
            <w:tcW w:w="7143" w:type="dxa"/>
          </w:tcPr>
          <w:p>
            <w:pPr>
              <w:pStyle w:val="0"/>
              <w:jc w:val="both"/>
            </w:pPr>
            <w:r>
              <w:rPr>
                <w:sz w:val="20"/>
              </w:rPr>
              <w:t xml:space="preserve">Подпрограмма "Государственная поддержка муниципальных образований Новосибирской области при строительстве специализированного жилищного фонда" государственной программы (далее - подпрограмма)</w:t>
            </w:r>
          </w:p>
        </w:tc>
      </w:tr>
      <w:tr>
        <w:tc>
          <w:tcPr>
            <w:tcW w:w="1927" w:type="dxa"/>
          </w:tcPr>
          <w:p>
            <w:pPr>
              <w:pStyle w:val="0"/>
              <w:jc w:val="both"/>
            </w:pPr>
            <w:r>
              <w:rPr>
                <w:sz w:val="20"/>
              </w:rPr>
              <w:t xml:space="preserve">Разработчики подпрограммы</w:t>
            </w:r>
          </w:p>
        </w:tc>
        <w:tc>
          <w:tcPr>
            <w:tcW w:w="7143" w:type="dxa"/>
          </w:tcPr>
          <w:p>
            <w:pPr>
              <w:pStyle w:val="0"/>
              <w:jc w:val="both"/>
            </w:pPr>
            <w:r>
              <w:rPr>
                <w:sz w:val="20"/>
              </w:rPr>
              <w:t xml:space="preserve">Министерство строительства Новосибирской области (далее - Минстрой НСО)</w:t>
            </w:r>
          </w:p>
        </w:tc>
      </w:tr>
      <w:tr>
        <w:tc>
          <w:tcPr>
            <w:tcW w:w="1927" w:type="dxa"/>
          </w:tcPr>
          <w:p>
            <w:pPr>
              <w:pStyle w:val="0"/>
              <w:jc w:val="both"/>
            </w:pPr>
            <w:r>
              <w:rPr>
                <w:sz w:val="20"/>
              </w:rPr>
              <w:t xml:space="preserve">Государственный заказчик (государственный заказчик-координатор) подпрограммы</w:t>
            </w:r>
          </w:p>
        </w:tc>
        <w:tc>
          <w:tcPr>
            <w:tcW w:w="7143" w:type="dxa"/>
          </w:tcPr>
          <w:p>
            <w:pPr>
              <w:pStyle w:val="0"/>
              <w:jc w:val="both"/>
            </w:pPr>
            <w:r>
              <w:rPr>
                <w:sz w:val="20"/>
              </w:rPr>
              <w:t xml:space="preserve">Минстрой НСО</w:t>
            </w:r>
          </w:p>
        </w:tc>
      </w:tr>
      <w:tr>
        <w:tblPrEx>
          <w:tblBorders>
            <w:insideH w:val="nil"/>
          </w:tblBorders>
        </w:tblPrEx>
        <w:tc>
          <w:tcPr>
            <w:tcW w:w="1927" w:type="dxa"/>
            <w:tcBorders>
              <w:bottom w:val="nil"/>
            </w:tcBorders>
          </w:tcPr>
          <w:p>
            <w:pPr>
              <w:pStyle w:val="0"/>
              <w:jc w:val="both"/>
            </w:pPr>
            <w:r>
              <w:rPr>
                <w:sz w:val="20"/>
              </w:rPr>
              <w:t xml:space="preserve">Руководитель подпрограммы</w:t>
            </w:r>
          </w:p>
        </w:tc>
        <w:tc>
          <w:tcPr>
            <w:tcW w:w="7143" w:type="dxa"/>
            <w:tcBorders>
              <w:bottom w:val="nil"/>
            </w:tcBorders>
          </w:tcPr>
          <w:p>
            <w:pPr>
              <w:pStyle w:val="0"/>
              <w:jc w:val="both"/>
            </w:pPr>
            <w:r>
              <w:rPr>
                <w:sz w:val="20"/>
              </w:rPr>
              <w:t xml:space="preserve">Министр строительства Новосибирской области - Колмаков А.В.</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Новосибирской области от 15.03.2022 </w:t>
            </w:r>
            <w:hyperlink w:history="0" r:id="rId727"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 от 29.12.2022 </w:t>
            </w:r>
            <w:hyperlink w:history="0" r:id="rId728"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r>
        <w:tc>
          <w:tcPr>
            <w:tcW w:w="1927" w:type="dxa"/>
          </w:tcPr>
          <w:p>
            <w:pPr>
              <w:pStyle w:val="0"/>
              <w:jc w:val="both"/>
            </w:pPr>
            <w:r>
              <w:rPr>
                <w:sz w:val="20"/>
              </w:rPr>
              <w:t xml:space="preserve">Цели и задачи подпрограммы</w:t>
            </w:r>
          </w:p>
        </w:tc>
        <w:tc>
          <w:tcPr>
            <w:tcW w:w="7143" w:type="dxa"/>
          </w:tcPr>
          <w:p>
            <w:pPr>
              <w:pStyle w:val="0"/>
              <w:jc w:val="both"/>
            </w:pPr>
            <w:r>
              <w:rPr>
                <w:sz w:val="20"/>
              </w:rPr>
              <w:t xml:space="preserve">Цель: создание специализированного жилищного фонда для предоставления отдельным категориям граждан.</w:t>
            </w:r>
          </w:p>
          <w:p>
            <w:pPr>
              <w:pStyle w:val="0"/>
              <w:jc w:val="both"/>
            </w:pPr>
            <w:r>
              <w:rPr>
                <w:sz w:val="20"/>
              </w:rPr>
              <w:t xml:space="preserve">Задача: стимулирование строительства специализированного жилищного фонда для предоставления отдельным категориям граждан</w:t>
            </w:r>
          </w:p>
        </w:tc>
      </w:tr>
      <w:tr>
        <w:tblPrEx>
          <w:tblBorders>
            <w:insideH w:val="nil"/>
          </w:tblBorders>
        </w:tblPrEx>
        <w:tc>
          <w:tcPr>
            <w:tcW w:w="1927" w:type="dxa"/>
            <w:tcBorders>
              <w:bottom w:val="nil"/>
            </w:tcBorders>
          </w:tcPr>
          <w:p>
            <w:pPr>
              <w:pStyle w:val="0"/>
              <w:jc w:val="both"/>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- 2021 - 2025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729"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29.12.2022 N 652-п)</w:t>
            </w:r>
          </w:p>
        </w:tc>
      </w:tr>
      <w:tr>
        <w:tblPrEx>
          <w:tblBorders>
            <w:insideH w:val="nil"/>
          </w:tblBorders>
        </w:tblPrEx>
        <w:tc>
          <w:tcPr>
            <w:tcW w:w="1927" w:type="dxa"/>
            <w:tcBorders>
              <w:bottom w:val="nil"/>
            </w:tcBorders>
          </w:tcPr>
          <w:p>
            <w:pPr>
              <w:pStyle w:val="0"/>
            </w:pPr>
            <w:r>
              <w:rPr>
                <w:sz w:val="20"/>
              </w:rPr>
              <w:t xml:space="preserve">Объемы финансирования подпрограммы</w:t>
            </w:r>
          </w:p>
        </w:tc>
        <w:tc>
          <w:tcPr>
            <w:tcW w:w="7143" w:type="dxa"/>
            <w:tcBorders>
              <w:bottom w:val="nil"/>
            </w:tcBorders>
          </w:tcPr>
          <w:p>
            <w:pPr>
              <w:pStyle w:val="0"/>
            </w:pPr>
            <w:r>
              <w:rPr>
                <w:sz w:val="20"/>
              </w:rPr>
              <w:t xml:space="preserve">Общий объем ассигнований на реализацию подпрограммы составляет 1 058 390,2 тыс. руб.,</w:t>
            </w:r>
          </w:p>
          <w:p>
            <w:pPr>
              <w:pStyle w:val="0"/>
            </w:pPr>
            <w:r>
              <w:rPr>
                <w:sz w:val="20"/>
              </w:rPr>
              <w:t xml:space="preserve">в том числе по годам:</w:t>
            </w:r>
          </w:p>
          <w:p>
            <w:pPr>
              <w:pStyle w:val="0"/>
            </w:pPr>
            <w:r>
              <w:rPr>
                <w:sz w:val="20"/>
              </w:rPr>
              <w:t xml:space="preserve">2021 год - 29 223,1 тыс. руб.;</w:t>
            </w:r>
          </w:p>
          <w:p>
            <w:pPr>
              <w:pStyle w:val="0"/>
            </w:pPr>
            <w:r>
              <w:rPr>
                <w:sz w:val="20"/>
              </w:rPr>
              <w:t xml:space="preserve">2022 год - 157 803,7 тыс. руб.;</w:t>
            </w:r>
          </w:p>
          <w:p>
            <w:pPr>
              <w:pStyle w:val="0"/>
            </w:pPr>
            <w:r>
              <w:rPr>
                <w:sz w:val="20"/>
              </w:rPr>
              <w:t xml:space="preserve">2023 год - 293 346,8 тыс. руб.;</w:t>
            </w:r>
          </w:p>
          <w:p>
            <w:pPr>
              <w:pStyle w:val="0"/>
            </w:pPr>
            <w:r>
              <w:rPr>
                <w:sz w:val="20"/>
              </w:rPr>
              <w:t xml:space="preserve">2024 год - 300 079,2 тыс. руб.;</w:t>
            </w:r>
          </w:p>
          <w:p>
            <w:pPr>
              <w:pStyle w:val="0"/>
            </w:pPr>
            <w:r>
              <w:rPr>
                <w:sz w:val="20"/>
              </w:rPr>
              <w:t xml:space="preserve">2025 год - 277 937,4 тыс. руб.</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730"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tc>
      </w:tr>
      <w:tr>
        <w:tc>
          <w:tcPr>
            <w:tcW w:w="1927" w:type="dxa"/>
          </w:tcPr>
          <w:p>
            <w:pPr>
              <w:pStyle w:val="0"/>
              <w:jc w:val="both"/>
            </w:pPr>
            <w:r>
              <w:rPr>
                <w:sz w:val="20"/>
              </w:rPr>
              <w:t xml:space="preserve">Основные целевые индикаторы подпрограммы</w:t>
            </w:r>
          </w:p>
        </w:tc>
        <w:tc>
          <w:tcPr>
            <w:tcW w:w="7143" w:type="dxa"/>
          </w:tcPr>
          <w:p>
            <w:pPr>
              <w:pStyle w:val="0"/>
              <w:jc w:val="both"/>
            </w:pPr>
            <w:r>
              <w:rPr>
                <w:sz w:val="20"/>
              </w:rPr>
              <w:t xml:space="preserve">Количество жилых помещений специализированного жилищного фонда, построенных для предоставления отдельным категориям граждан</w:t>
            </w:r>
          </w:p>
        </w:tc>
      </w:tr>
      <w:tr>
        <w:tblPrEx>
          <w:tblBorders>
            <w:insideH w:val="nil"/>
          </w:tblBorders>
        </w:tblPrEx>
        <w:tc>
          <w:tcPr>
            <w:tcW w:w="1927" w:type="dxa"/>
            <w:tcBorders>
              <w:bottom w:val="nil"/>
            </w:tcBorders>
          </w:tcPr>
          <w:p>
            <w:pPr>
              <w:pStyle w:val="0"/>
              <w:jc w:val="both"/>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В рамках реализации государственной программы планируется стимулирование строительства 2027 жилых помещений специализированного жилищного фонда для предоставления отдельным категориям граждан</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Новосибирской области от 15.03.2022 </w:t>
            </w:r>
            <w:hyperlink w:history="0" r:id="rId731"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 от 29.12.2022 </w:t>
            </w:r>
            <w:hyperlink w:history="0" r:id="rId732"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bl>
    <w:p>
      <w:pPr>
        <w:pStyle w:val="0"/>
        <w:ind w:firstLine="540"/>
        <w:jc w:val="both"/>
      </w:pPr>
      <w:r>
        <w:rPr>
          <w:sz w:val="20"/>
        </w:rPr>
      </w:r>
    </w:p>
    <w:p>
      <w:pPr>
        <w:pStyle w:val="2"/>
        <w:outlineLvl w:val="2"/>
        <w:jc w:val="center"/>
      </w:pPr>
      <w:r>
        <w:rPr>
          <w:sz w:val="20"/>
        </w:rPr>
        <w:t xml:space="preserve">II.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733"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734"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В рамках подпрограммы осуществляется государственная поддержка муниципальных образований Новосибирской области за счет средств областного бюджета Новосибирской области в виде предоставления субсидий бюджетам муниципальных районов и городских округов Новосибирской области на оплату расходов, связанных со строительством специализированного жилищного фонда для предоставления отдельным категориям граждан.</w:t>
      </w:r>
    </w:p>
    <w:p>
      <w:pPr>
        <w:pStyle w:val="0"/>
        <w:spacing w:before="200" w:line-rule="auto"/>
        <w:ind w:firstLine="540"/>
        <w:jc w:val="both"/>
      </w:pPr>
      <w:r>
        <w:rPr>
          <w:sz w:val="20"/>
        </w:rPr>
        <w:t xml:space="preserve">Реализация подпрограммы осуществляется путем предоставления государственной поддержки за счет средств областного бюджета на оплату и (или) компенсацию следующих видов расходов, связанных со строительством специализированного жилищного фонда для предоставления отдельным категориям граждан, подлежащих обеспечению служебным жильем в рамках </w:t>
      </w:r>
      <w:hyperlink w:history="0" w:anchor="P6695" w:tooltip="Подпрограмма">
        <w:r>
          <w:rPr>
            <w:sz w:val="20"/>
            <w:color w:val="0000ff"/>
          </w:rPr>
          <w:t xml:space="preserve">подпрограммы</w:t>
        </w:r>
      </w:hyperlink>
      <w:r>
        <w:rPr>
          <w:sz w:val="20"/>
        </w:rPr>
        <w:t xml:space="preserve">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настоящей государственной программы, и граждан, указанных в </w:t>
      </w:r>
      <w:hyperlink w:history="0" r:id="rId735" w:tooltip="Федеральный закон от 21.12.1996 N 159-ФЗ (ред. от 14.07.2022) &quot;О дополнительных гарантиях по социальной поддержке детей-сирот и детей, оставшихся без попечения родителей&quot; (с изм. и доп., вступ. в силу с 11.01.2023) {КонсультантПлюс}">
        <w:r>
          <w:rPr>
            <w:sz w:val="20"/>
            <w:color w:val="0000ff"/>
          </w:rPr>
          <w:t xml:space="preserve">статье 8</w:t>
        </w:r>
      </w:hyperlink>
      <w:r>
        <w:rPr>
          <w:sz w:val="20"/>
        </w:rP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pPr>
        <w:pStyle w:val="0"/>
        <w:spacing w:before="200" w:line-rule="auto"/>
        <w:ind w:firstLine="540"/>
        <w:jc w:val="both"/>
      </w:pPr>
      <w:r>
        <w:rPr>
          <w:sz w:val="20"/>
        </w:rPr>
        <w:t xml:space="preserve">разработка проектной документации;</w:t>
      </w:r>
    </w:p>
    <w:p>
      <w:pPr>
        <w:pStyle w:val="0"/>
        <w:spacing w:before="200" w:line-rule="auto"/>
        <w:ind w:firstLine="540"/>
        <w:jc w:val="both"/>
      </w:pPr>
      <w:r>
        <w:rPr>
          <w:sz w:val="20"/>
        </w:rPr>
        <w:t xml:space="preserve">корректировка проектной документации;</w:t>
      </w:r>
    </w:p>
    <w:p>
      <w:pPr>
        <w:pStyle w:val="0"/>
        <w:spacing w:before="200" w:line-rule="auto"/>
        <w:ind w:firstLine="540"/>
        <w:jc w:val="both"/>
      </w:pPr>
      <w:r>
        <w:rPr>
          <w:sz w:val="20"/>
        </w:rPr>
        <w:t xml:space="preserve">повторное применение экономически эффективной проектной документации;</w:t>
      </w:r>
    </w:p>
    <w:p>
      <w:pPr>
        <w:pStyle w:val="0"/>
        <w:spacing w:before="200" w:line-rule="auto"/>
        <w:ind w:firstLine="540"/>
        <w:jc w:val="both"/>
      </w:pPr>
      <w:r>
        <w:rPr>
          <w:sz w:val="20"/>
        </w:rPr>
        <w:t xml:space="preserve">инженерно-геодезические, инженерно-геологические, инженерно-экологические изыскания;</w:t>
      </w:r>
    </w:p>
    <w:p>
      <w:pPr>
        <w:pStyle w:val="0"/>
        <w:jc w:val="both"/>
      </w:pPr>
      <w:r>
        <w:rPr>
          <w:sz w:val="20"/>
        </w:rPr>
        <w:t xml:space="preserve">(в ред. </w:t>
      </w:r>
      <w:hyperlink w:history="0" r:id="rId736"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авторский надзор;</w:t>
      </w:r>
    </w:p>
    <w:p>
      <w:pPr>
        <w:pStyle w:val="0"/>
        <w:spacing w:before="200" w:line-rule="auto"/>
        <w:ind w:firstLine="540"/>
        <w:jc w:val="both"/>
      </w:pPr>
      <w:r>
        <w:rPr>
          <w:sz w:val="20"/>
        </w:rPr>
        <w:t xml:space="preserve">государственная экспертиза проектной документации;</w:t>
      </w:r>
    </w:p>
    <w:p>
      <w:pPr>
        <w:pStyle w:val="0"/>
        <w:spacing w:before="200" w:line-rule="auto"/>
        <w:ind w:firstLine="540"/>
        <w:jc w:val="both"/>
      </w:pPr>
      <w:r>
        <w:rPr>
          <w:sz w:val="20"/>
        </w:rPr>
        <w:t xml:space="preserve">технологическое присоединение к инженерным сетям;</w:t>
      </w:r>
    </w:p>
    <w:p>
      <w:pPr>
        <w:pStyle w:val="0"/>
        <w:spacing w:before="200" w:line-rule="auto"/>
        <w:ind w:firstLine="540"/>
        <w:jc w:val="both"/>
      </w:pPr>
      <w:r>
        <w:rPr>
          <w:sz w:val="20"/>
        </w:rPr>
        <w:t xml:space="preserve">строительный контроль;</w:t>
      </w:r>
    </w:p>
    <w:p>
      <w:pPr>
        <w:pStyle w:val="0"/>
        <w:spacing w:before="200" w:line-rule="auto"/>
        <w:ind w:firstLine="540"/>
        <w:jc w:val="both"/>
      </w:pPr>
      <w:r>
        <w:rPr>
          <w:sz w:val="20"/>
        </w:rPr>
        <w:t xml:space="preserve">благоустройство территории;</w:t>
      </w:r>
    </w:p>
    <w:p>
      <w:pPr>
        <w:pStyle w:val="0"/>
        <w:jc w:val="both"/>
      </w:pPr>
      <w:r>
        <w:rPr>
          <w:sz w:val="20"/>
        </w:rPr>
        <w:t xml:space="preserve">(абзац введен </w:t>
      </w:r>
      <w:hyperlink w:history="0" r:id="rId737" w:tooltip="Постановление Правительства Новосибирской области от 26.07.2022 N 337-п &quot;О внесении изменения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26.07.2022 N 337-п)</w:t>
      </w:r>
    </w:p>
    <w:p>
      <w:pPr>
        <w:pStyle w:val="0"/>
        <w:spacing w:before="200" w:line-rule="auto"/>
        <w:ind w:firstLine="540"/>
        <w:jc w:val="both"/>
      </w:pPr>
      <w:r>
        <w:rPr>
          <w:sz w:val="20"/>
        </w:rPr>
        <w:t xml:space="preserve">затраты на ввод объекта в эксплуатацию (технический план бюро технической инвентаризации, замеры санитарно-эпидемиологической службы).</w:t>
      </w:r>
    </w:p>
    <w:p>
      <w:pPr>
        <w:pStyle w:val="0"/>
        <w:spacing w:before="200" w:line-rule="auto"/>
        <w:ind w:firstLine="540"/>
        <w:jc w:val="both"/>
      </w:pPr>
      <w:r>
        <w:rPr>
          <w:sz w:val="20"/>
        </w:rPr>
        <w:t xml:space="preserve">Методика расчета размеров субсидий областного бюджета Новосибирской области на реализацию данной подпрограммы приведена в </w:t>
      </w:r>
      <w:hyperlink w:history="0" w:anchor="P9236" w:tooltip="Порядок">
        <w:r>
          <w:rPr>
            <w:sz w:val="20"/>
            <w:color w:val="0000ff"/>
          </w:rPr>
          <w:t xml:space="preserve">приложении N 14</w:t>
        </w:r>
      </w:hyperlink>
      <w:r>
        <w:rPr>
          <w:sz w:val="20"/>
        </w:rPr>
        <w:t xml:space="preserve"> к государственной программе.</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ind w:firstLine="540"/>
        <w:jc w:val="both"/>
      </w:pPr>
      <w:r>
        <w:rPr>
          <w:sz w:val="20"/>
        </w:rPr>
      </w:r>
    </w:p>
    <w:p>
      <w:pPr>
        <w:pStyle w:val="0"/>
        <w:ind w:firstLine="540"/>
        <w:jc w:val="both"/>
      </w:pPr>
      <w:r>
        <w:rPr>
          <w:sz w:val="20"/>
        </w:rPr>
        <w:t xml:space="preserve">Утратил силу. - </w:t>
      </w:r>
      <w:hyperlink w:history="0" r:id="rId738"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9</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6901" w:name="P6901"/>
    <w:bookmarkEnd w:id="6901"/>
    <w:p>
      <w:pPr>
        <w:pStyle w:val="2"/>
        <w:jc w:val="center"/>
      </w:pPr>
      <w:r>
        <w:rPr>
          <w:sz w:val="20"/>
        </w:rPr>
        <w:t xml:space="preserve">Подпрограмма</w:t>
      </w:r>
    </w:p>
    <w:p>
      <w:pPr>
        <w:pStyle w:val="2"/>
        <w:jc w:val="center"/>
      </w:pPr>
      <w:r>
        <w:rPr>
          <w:sz w:val="20"/>
        </w:rPr>
        <w:t xml:space="preserve">"Государственная поддержка отдельных категорий работников</w:t>
      </w:r>
    </w:p>
    <w:p>
      <w:pPr>
        <w:pStyle w:val="2"/>
        <w:jc w:val="center"/>
      </w:pPr>
      <w:r>
        <w:rPr>
          <w:sz w:val="20"/>
        </w:rPr>
        <w:t xml:space="preserve">бюджетной сферы при ипотечном жилищном кредитовании"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25.05.2015 </w:t>
            </w:r>
            <w:hyperlink w:history="0" r:id="rId739"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N 198-п</w:t>
              </w:r>
            </w:hyperlink>
            <w:r>
              <w:rPr>
                <w:sz w:val="20"/>
                <w:color w:val="392c69"/>
              </w:rPr>
              <w:t xml:space="preserve">, от 15.02.2016 </w:t>
            </w:r>
            <w:hyperlink w:history="0" r:id="rId740"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color w:val="392c69"/>
              </w:rPr>
              <w:t xml:space="preserve">, от 15.02.2017 </w:t>
            </w:r>
            <w:hyperlink w:history="0" r:id="rId741"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color w:val="392c69"/>
              </w:rPr>
              <w:t xml:space="preserve">,</w:t>
            </w:r>
          </w:p>
          <w:p>
            <w:pPr>
              <w:pStyle w:val="0"/>
              <w:jc w:val="center"/>
            </w:pPr>
            <w:r>
              <w:rPr>
                <w:sz w:val="20"/>
                <w:color w:val="392c69"/>
              </w:rPr>
              <w:t xml:space="preserve">от 06.07.2018 </w:t>
            </w:r>
            <w:hyperlink w:history="0" r:id="rId74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 от 19.03.2019 </w:t>
            </w:r>
            <w:hyperlink w:history="0" r:id="rId74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143"/>
      </w:tblGrid>
      <w:tr>
        <w:tblPrEx>
          <w:tblBorders>
            <w:insideH w:val="nil"/>
          </w:tblBorders>
        </w:tblPrEx>
        <w:tc>
          <w:tcPr>
            <w:tcW w:w="1928"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44"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8"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"Государственная поддержка отдельных категорий работников бюджетной сферы при ипотечном жилищном кредитовании" государственной программы (далее - подпрограмма)</w:t>
            </w:r>
          </w:p>
        </w:tc>
      </w:tr>
      <w:tr>
        <w:tblPrEx>
          <w:tblBorders>
            <w:insideH w:val="nil"/>
          </w:tblBorders>
        </w:tblPrEx>
        <w:tc>
          <w:tcPr>
            <w:tcW w:w="1928" w:type="dxa"/>
            <w:tcBorders>
              <w:bottom w:val="nil"/>
            </w:tcBorders>
          </w:tcPr>
          <w:p>
            <w:pPr>
              <w:pStyle w:val="0"/>
            </w:pPr>
            <w:r>
              <w:rPr>
                <w:sz w:val="20"/>
              </w:rPr>
              <w:t xml:space="preserve">Разработчики государственной подпрограммы</w:t>
            </w:r>
          </w:p>
        </w:tc>
        <w:tc>
          <w:tcPr>
            <w:tcW w:w="7143" w:type="dxa"/>
            <w:tcBorders>
              <w:bottom w:val="nil"/>
            </w:tcBorders>
          </w:tcPr>
          <w:p>
            <w:pPr>
              <w:pStyle w:val="0"/>
              <w:jc w:val="both"/>
            </w:pPr>
            <w:r>
              <w:rPr>
                <w:sz w:val="20"/>
              </w:rPr>
              <w:t xml:space="preserve">Министерство строительства Новосибирской области (далее - 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4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blPrEx>
          <w:tblBorders>
            <w:insideH w:val="nil"/>
          </w:tblBorders>
        </w:tblPrEx>
        <w:tc>
          <w:tcPr>
            <w:tcW w:w="1928" w:type="dxa"/>
            <w:tcBorders>
              <w:bottom w:val="nil"/>
            </w:tcBorders>
          </w:tcPr>
          <w:p>
            <w:pPr>
              <w:pStyle w:val="0"/>
            </w:pPr>
            <w:r>
              <w:rPr>
                <w:sz w:val="20"/>
              </w:rPr>
              <w:t xml:space="preserve">Государственный заказчик (государственный заказчик-координатор) государственной подпрограммы</w:t>
            </w:r>
          </w:p>
        </w:tc>
        <w:tc>
          <w:tcPr>
            <w:tcW w:w="7143" w:type="dxa"/>
            <w:tcBorders>
              <w:bottom w:val="nil"/>
            </w:tcBorders>
          </w:tcPr>
          <w:p>
            <w:pPr>
              <w:pStyle w:val="0"/>
              <w:jc w:val="both"/>
            </w:pPr>
            <w:r>
              <w:rPr>
                <w:sz w:val="20"/>
              </w:rPr>
              <w:t xml:space="preserve">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46"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blPrEx>
          <w:tblBorders>
            <w:insideH w:val="nil"/>
          </w:tblBorders>
        </w:tblPrEx>
        <w:tc>
          <w:tcPr>
            <w:tcW w:w="1928" w:type="dxa"/>
            <w:tcBorders>
              <w:bottom w:val="nil"/>
            </w:tcBorders>
          </w:tcPr>
          <w:p>
            <w:pPr>
              <w:pStyle w:val="0"/>
              <w:jc w:val="both"/>
            </w:pPr>
            <w:r>
              <w:rPr>
                <w:sz w:val="20"/>
              </w:rPr>
              <w:t xml:space="preserve">Руководитель подпрограммы</w:t>
            </w:r>
          </w:p>
        </w:tc>
        <w:tc>
          <w:tcPr>
            <w:tcW w:w="7143" w:type="dxa"/>
            <w:tcBorders>
              <w:bottom w:val="nil"/>
            </w:tcBorders>
          </w:tcPr>
          <w:p>
            <w:pPr>
              <w:pStyle w:val="0"/>
              <w:jc w:val="both"/>
            </w:pPr>
            <w:r>
              <w:rPr>
                <w:sz w:val="20"/>
              </w:rPr>
              <w:t xml:space="preserve">Временно исполняющий обязанности министра строительства Новосибирской области - Шмидт И.И.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47"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c>
          <w:tcPr>
            <w:tcW w:w="1928" w:type="dxa"/>
          </w:tcPr>
          <w:p>
            <w:pPr>
              <w:pStyle w:val="0"/>
            </w:pPr>
            <w:r>
              <w:rPr>
                <w:sz w:val="20"/>
              </w:rPr>
              <w:t xml:space="preserve">Цели и задачи подпрограммы</w:t>
            </w:r>
          </w:p>
        </w:tc>
        <w:tc>
          <w:tcPr>
            <w:tcW w:w="7143" w:type="dxa"/>
          </w:tcPr>
          <w:p>
            <w:pPr>
              <w:pStyle w:val="0"/>
              <w:jc w:val="both"/>
            </w:pPr>
            <w:r>
              <w:rPr>
                <w:sz w:val="20"/>
              </w:rPr>
              <w:t xml:space="preserve">Цель: повышение доступности жилья для молодых специалистов бюджетной сферы.</w:t>
            </w:r>
          </w:p>
          <w:p>
            <w:pPr>
              <w:pStyle w:val="0"/>
              <w:jc w:val="both"/>
            </w:pPr>
            <w:r>
              <w:rPr>
                <w:sz w:val="20"/>
              </w:rPr>
              <w:t xml:space="preserve">Задача: поддержка платежеспособного спроса на приобретение жилья путем предоставления работникам бюджетной сферы субсидий при ипотечном жилищном кредитовании</w:t>
            </w:r>
          </w:p>
        </w:tc>
      </w:tr>
      <w:tr>
        <w:tblPrEx>
          <w:tblBorders>
            <w:insideH w:val="nil"/>
          </w:tblBorders>
        </w:tblPrEx>
        <w:tc>
          <w:tcPr>
            <w:tcW w:w="1928"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- 2015 - 2017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4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blPrEx>
          <w:tblBorders>
            <w:insideH w:val="nil"/>
          </w:tblBorders>
        </w:tblPrEx>
        <w:tc>
          <w:tcPr>
            <w:tcW w:w="1928" w:type="dxa"/>
            <w:tcBorders>
              <w:bottom w:val="nil"/>
            </w:tcBorders>
          </w:tcPr>
          <w:p>
            <w:pPr>
              <w:pStyle w:val="0"/>
            </w:pPr>
            <w:r>
              <w:rPr>
                <w:sz w:val="20"/>
              </w:rPr>
              <w:t xml:space="preserve">Объемы финансирования подпрограммы (с расшифровкой по источникам и годам финансирования)</w:t>
            </w:r>
          </w:p>
        </w:tc>
        <w:tc>
          <w:tcPr>
            <w:tcW w:w="7143" w:type="dxa"/>
            <w:tcBorders>
              <w:bottom w:val="nil"/>
            </w:tcBorders>
          </w:tcPr>
          <w:p>
            <w:pPr>
              <w:pStyle w:val="0"/>
              <w:jc w:val="both"/>
            </w:pPr>
            <w:r>
              <w:rPr>
                <w:sz w:val="20"/>
              </w:rPr>
              <w:t xml:space="preserve">Общий объем ассигнований на реализацию подпрограммы на 2015 - 2017 годы составляет</w:t>
            </w:r>
          </w:p>
          <w:p>
            <w:pPr>
              <w:pStyle w:val="0"/>
              <w:jc w:val="both"/>
            </w:pPr>
            <w:r>
              <w:rPr>
                <w:sz w:val="20"/>
              </w:rPr>
              <w:t xml:space="preserve">30 500,0 тыс. рублей, в том числе по годам:</w:t>
            </w:r>
          </w:p>
          <w:p>
            <w:pPr>
              <w:pStyle w:val="0"/>
              <w:jc w:val="both"/>
            </w:pPr>
            <w:r>
              <w:rPr>
                <w:sz w:val="20"/>
              </w:rPr>
              <w:t xml:space="preserve">2015 год - 15 000,0 тыс. рублей;</w:t>
            </w:r>
          </w:p>
          <w:p>
            <w:pPr>
              <w:pStyle w:val="0"/>
              <w:jc w:val="both"/>
            </w:pPr>
            <w:r>
              <w:rPr>
                <w:sz w:val="20"/>
              </w:rPr>
              <w:t xml:space="preserve">2016 год - 10 000,0 тыс. рублей;</w:t>
            </w:r>
          </w:p>
          <w:p>
            <w:pPr>
              <w:pStyle w:val="0"/>
              <w:jc w:val="both"/>
            </w:pPr>
            <w:r>
              <w:rPr>
                <w:sz w:val="20"/>
              </w:rPr>
              <w:t xml:space="preserve">2017 год - 5 500,0 тыс. рублей;</w:t>
            </w:r>
          </w:p>
          <w:p>
            <w:pPr>
              <w:pStyle w:val="0"/>
              <w:jc w:val="both"/>
            </w:pPr>
            <w:r>
              <w:rPr>
                <w:sz w:val="20"/>
              </w:rPr>
              <w:t xml:space="preserve">по источникам финансирования:</w:t>
            </w:r>
          </w:p>
          <w:p>
            <w:pPr>
              <w:pStyle w:val="0"/>
              <w:jc w:val="both"/>
            </w:pPr>
            <w:r>
              <w:rPr>
                <w:sz w:val="20"/>
              </w:rPr>
              <w:t xml:space="preserve">областной бюджет Новосибирской области - 30 500,0 тыс. рублей, в том числе по годам:</w:t>
            </w:r>
          </w:p>
          <w:p>
            <w:pPr>
              <w:pStyle w:val="0"/>
              <w:jc w:val="both"/>
            </w:pPr>
            <w:r>
              <w:rPr>
                <w:sz w:val="20"/>
              </w:rPr>
              <w:t xml:space="preserve">2015 год - 15 000,0 тыс. рублей;</w:t>
            </w:r>
          </w:p>
          <w:p>
            <w:pPr>
              <w:pStyle w:val="0"/>
              <w:jc w:val="both"/>
            </w:pPr>
            <w:r>
              <w:rPr>
                <w:sz w:val="20"/>
              </w:rPr>
              <w:t xml:space="preserve">2016 год - 10 000,0 тыс. рублей;</w:t>
            </w:r>
          </w:p>
          <w:p>
            <w:pPr>
              <w:pStyle w:val="0"/>
              <w:jc w:val="both"/>
            </w:pPr>
            <w:r>
              <w:rPr>
                <w:sz w:val="20"/>
              </w:rPr>
              <w:t xml:space="preserve">2017 год - 5 500,0 тыс. рублей.</w:t>
            </w:r>
          </w:p>
          <w:p>
            <w:pPr>
              <w:pStyle w:val="0"/>
              <w:jc w:val="both"/>
            </w:pPr>
            <w:r>
              <w:rPr>
                <w:sz w:val="20"/>
              </w:rPr>
              <w:t xml:space="preserve">Суммы средств, выделяемые из областного бюджета Новосибирской области, подлежат ежегодному уточнению исходя из возможностей бюджета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4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c>
          <w:tcPr>
            <w:tcW w:w="1928" w:type="dxa"/>
          </w:tcPr>
          <w:p>
            <w:pPr>
              <w:pStyle w:val="0"/>
            </w:pPr>
            <w:r>
              <w:rPr>
                <w:sz w:val="20"/>
              </w:rPr>
              <w:t xml:space="preserve">Основные целевые индикаторы подпрограммы</w:t>
            </w:r>
          </w:p>
        </w:tc>
        <w:tc>
          <w:tcPr>
            <w:tcW w:w="7143" w:type="dxa"/>
          </w:tcPr>
          <w:p>
            <w:pPr>
              <w:pStyle w:val="0"/>
              <w:jc w:val="both"/>
            </w:pPr>
            <w:r>
              <w:rPr>
                <w:sz w:val="20"/>
              </w:rPr>
              <w:t xml:space="preserve">Количество граждан - отдельных категорий работников бюджетной сферы, получающих государственную поддержку в рамках подпрограммы</w:t>
            </w:r>
          </w:p>
        </w:tc>
      </w:tr>
      <w:tr>
        <w:tblPrEx>
          <w:tblBorders>
            <w:insideH w:val="nil"/>
          </w:tblBorders>
        </w:tblPrEx>
        <w:tc>
          <w:tcPr>
            <w:tcW w:w="1928"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Улучшение жилищных условий с использованием ипотечного кредитования 81 работника бюджетной сферы</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15.02.2016 </w:t>
            </w:r>
            <w:hyperlink w:history="0" r:id="rId750"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rPr>
              <w:t xml:space="preserve">, от 15.02.2017 </w:t>
            </w:r>
            <w:hyperlink w:history="0" r:id="rId751"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75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tc>
      </w:tr>
    </w:tbl>
    <w:p>
      <w:pPr>
        <w:pStyle w:val="0"/>
        <w:ind w:firstLine="540"/>
        <w:jc w:val="both"/>
      </w:pPr>
      <w:r>
        <w:rPr>
          <w:sz w:val="20"/>
        </w:rPr>
      </w:r>
    </w:p>
    <w:p>
      <w:pPr>
        <w:pStyle w:val="2"/>
        <w:outlineLvl w:val="2"/>
        <w:jc w:val="center"/>
      </w:pPr>
      <w:r>
        <w:rPr>
          <w:sz w:val="20"/>
        </w:rPr>
        <w:t xml:space="preserve">II.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Для работников бюджетной сферы проблема решения жилищного вопроса стоит особенно остро. Сегодняшний уровень заработной платы не позволяет им приобрести жилье самостоятельно, но делает возможным приобретение или строительство жилья с частичной помощью государства.</w:t>
      </w:r>
    </w:p>
    <w:p>
      <w:pPr>
        <w:pStyle w:val="0"/>
        <w:spacing w:before="200" w:line-rule="auto"/>
        <w:ind w:firstLine="540"/>
        <w:jc w:val="both"/>
      </w:pPr>
      <w:r>
        <w:rPr>
          <w:sz w:val="20"/>
        </w:rPr>
        <w:t xml:space="preserve">Экономическая ситуация в бюджетной сфере остается непростой. В современных условиях бюджетные организации поставлены перед необходимостью самостоятельной заботы о своем финансовом благополучии. Серьезной причиной дефицита кадров в бюджетной сфере является большая текучесть и сменяемость из-за недостаточного обеспечения нормальными жилищно-бытовыми условиями и слабой социальной защищенности.</w:t>
      </w:r>
    </w:p>
    <w:p>
      <w:pPr>
        <w:pStyle w:val="0"/>
        <w:jc w:val="both"/>
      </w:pPr>
      <w:r>
        <w:rPr>
          <w:sz w:val="20"/>
        </w:rPr>
        <w:t xml:space="preserve">(в ред. </w:t>
      </w:r>
      <w:hyperlink w:history="0" r:id="rId753"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Решению проблемы дефицита кадров, привлечению молодых специалистов в бюджетную сферу и удержанию их там будет способствовать решение одной из главных проблем - жилищной.</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Цель подпрограммы - повышение доступности жилья для молодых специалистов бюджетной сферы.</w:t>
      </w:r>
    </w:p>
    <w:p>
      <w:pPr>
        <w:pStyle w:val="0"/>
        <w:spacing w:before="200" w:line-rule="auto"/>
        <w:ind w:firstLine="540"/>
        <w:jc w:val="both"/>
      </w:pPr>
      <w:r>
        <w:rPr>
          <w:sz w:val="20"/>
        </w:rPr>
        <w:t xml:space="preserve">Задача подпрограммы - поддержка платежеспособного спроса на приобретение жилья путем предоставления работникам бюджетной сферы субсидий при ипотечном жилищном кредитовании.</w:t>
      </w:r>
    </w:p>
    <w:p>
      <w:pPr>
        <w:pStyle w:val="0"/>
        <w:spacing w:before="200" w:line-rule="auto"/>
        <w:ind w:firstLine="540"/>
        <w:jc w:val="both"/>
      </w:pPr>
      <w:r>
        <w:rPr>
          <w:sz w:val="20"/>
        </w:rPr>
        <w:t xml:space="preserve">Данная подпрограмма направлена на повышение доступности жилья для молодых специалистов бюджетной сферы в Новосибирской области. Основным целевым индикатором подпрограммы является количество граждан - отдельных категорий работников бюджетной сферы, получающих государственную поддержку в рамках подпрограммы, чел. Периодичность сбора информации по данному целевому индикатору - квартальная, вид временной характеристики - за отчетный период.</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Одним из способов решения жилищной проблемы работников бюджетной сферы является оказание им финансовой поддержки путем предоставления выплат из областного бюджета Новосибирской области для оплаты первоначального взноса при ипотечном жилищном кредитовании и (или) компенсации части процентной ставки по кредиту.</w:t>
      </w:r>
    </w:p>
    <w:p>
      <w:pPr>
        <w:pStyle w:val="0"/>
        <w:spacing w:before="200" w:line-rule="auto"/>
        <w:ind w:firstLine="540"/>
        <w:jc w:val="both"/>
      </w:pPr>
      <w:r>
        <w:rPr>
          <w:sz w:val="20"/>
        </w:rPr>
        <w:t xml:space="preserve">Участниками данной подпрограммы могут быть работники бюджетной сферы, нуждающиеся в улучшении жилищных условий, в возрасте не более 35 лет.</w:t>
      </w:r>
    </w:p>
    <w:p>
      <w:pPr>
        <w:pStyle w:val="0"/>
        <w:spacing w:before="200" w:line-rule="auto"/>
        <w:ind w:firstLine="540"/>
        <w:jc w:val="both"/>
      </w:pPr>
      <w:r>
        <w:rPr>
          <w:sz w:val="20"/>
        </w:rPr>
        <w:t xml:space="preserve">Категории работников бюджетной сферы, имеющих право на получение государственной поддержки при ипотечном кредитовании, а также условия и порядок ее предоставления устанавливаются нормативными правовыми актами Новосибирской области.</w:t>
      </w:r>
    </w:p>
    <w:p>
      <w:pPr>
        <w:pStyle w:val="0"/>
        <w:spacing w:before="200" w:line-rule="auto"/>
        <w:ind w:firstLine="540"/>
        <w:jc w:val="both"/>
      </w:pPr>
      <w:r>
        <w:rPr>
          <w:sz w:val="20"/>
        </w:rPr>
        <w:t xml:space="preserve">Предоставление государственной поддержки работников бюджетной сферы при ипотечном жилищном кредитовании подпрограммы реализуется в соответствии с </w:t>
      </w:r>
      <w:hyperlink w:history="0" r:id="rId754" w:tooltip="Постановление Правительства Новосибирской области от 06.08.2012 N 368-п (ред. от 24.12.2018) &quot;О предоставлении субсидий отдельным категориям работников бюджетной сферы при ипотечном жилищном кредитовании&quot; {КонсультантПлюс}">
        <w:r>
          <w:rPr>
            <w:sz w:val="20"/>
            <w:color w:val="0000ff"/>
          </w:rPr>
          <w:t xml:space="preserve">постановлением</w:t>
        </w:r>
      </w:hyperlink>
      <w:r>
        <w:rPr>
          <w:sz w:val="20"/>
        </w:rPr>
        <w:t xml:space="preserve"> Правительства Новосибирской области от 06.08.2012 N 368-п "О предоставлении субсидий отдельным категориям работников бюджетной сферы при ипотечном жилищном кредитовании" (далее - постановление).</w:t>
      </w:r>
    </w:p>
    <w:p>
      <w:pPr>
        <w:pStyle w:val="0"/>
        <w:jc w:val="both"/>
      </w:pPr>
      <w:r>
        <w:rPr>
          <w:sz w:val="20"/>
        </w:rPr>
        <w:t xml:space="preserve">(в ред. постановлений Правительства Новосибирской области от 15.02.2017 </w:t>
      </w:r>
      <w:hyperlink w:history="0" r:id="rId755"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756"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p>
      <w:pPr>
        <w:pStyle w:val="0"/>
        <w:spacing w:before="200" w:line-rule="auto"/>
        <w:ind w:firstLine="540"/>
        <w:jc w:val="both"/>
      </w:pPr>
      <w:r>
        <w:rPr>
          <w:sz w:val="20"/>
        </w:rPr>
        <w:t xml:space="preserve">В рамках </w:t>
      </w:r>
      <w:hyperlink w:history="0" r:id="rId757" w:tooltip="Постановление Правительства Новосибирской области от 06.08.2012 N 368-п (ред. от 24.12.2018) &quot;О предоставлении субсидий отдельным категориям работников бюджетной сферы при ипотечном жилищном кредитовании&quot; {КонсультантПлюс}">
        <w:r>
          <w:rPr>
            <w:sz w:val="20"/>
            <w:color w:val="0000ff"/>
          </w:rPr>
          <w:t xml:space="preserve">постановления</w:t>
        </w:r>
      </w:hyperlink>
      <w:r>
        <w:rPr>
          <w:sz w:val="20"/>
        </w:rPr>
        <w:t xml:space="preserve"> отдельным категориям работников бюджетной сферы Новосибирской области в возрасте до 35 лет, нуждающимся в улучшении жилищных условий, предоставляются субсидии на оплату первоначального взноса по ипотечному жилищному кредиту (займу).</w:t>
      </w:r>
    </w:p>
    <w:p>
      <w:pPr>
        <w:pStyle w:val="0"/>
        <w:jc w:val="both"/>
      </w:pPr>
      <w:r>
        <w:rPr>
          <w:sz w:val="20"/>
        </w:rPr>
        <w:t xml:space="preserve">(в ред. </w:t>
      </w:r>
      <w:hyperlink w:history="0" r:id="rId758"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Право на получение субсидий удостоверяется именным документом - свидетельством о праве на получение субсидий при ипотечном жилищном кредитовании (далее - свидетельство). Срок действия свидетельства составляет 6 месяцев с даты выдачи. Субсидия предоставляется путем перечисления денежных средств на счет получателя субсидии на основании информации кредитной организации (организации, предоставляющей займы) о предоставленном ипотечном жилищном кредите (займе).</w:t>
      </w:r>
    </w:p>
    <w:p>
      <w:pPr>
        <w:pStyle w:val="0"/>
        <w:jc w:val="both"/>
      </w:pPr>
      <w:r>
        <w:rPr>
          <w:sz w:val="20"/>
        </w:rPr>
        <w:t xml:space="preserve">(в ред. </w:t>
      </w:r>
      <w:hyperlink w:history="0" r:id="rId759"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25.05.2015 N 198-п)</w:t>
      </w:r>
    </w:p>
    <w:p>
      <w:pPr>
        <w:pStyle w:val="0"/>
        <w:spacing w:before="200" w:line-rule="auto"/>
        <w:ind w:firstLine="540"/>
        <w:jc w:val="both"/>
      </w:pPr>
      <w:r>
        <w:rPr>
          <w:sz w:val="20"/>
        </w:rPr>
        <w:t xml:space="preserve">В рамках подпрограммы предусмотрены следующие мероприятия:</w:t>
      </w:r>
    </w:p>
    <w:p>
      <w:pPr>
        <w:pStyle w:val="0"/>
        <w:spacing w:before="200" w:line-rule="auto"/>
        <w:ind w:firstLine="540"/>
        <w:jc w:val="both"/>
      </w:pPr>
      <w:r>
        <w:rPr>
          <w:sz w:val="20"/>
        </w:rPr>
        <w:t xml:space="preserve">1. Предоставление субсидий отдельным категориям работников бюджетной сферы на оплату первоначального взноса по ипотечным жилищным кредитам (займам).</w:t>
      </w:r>
    </w:p>
    <w:p>
      <w:pPr>
        <w:pStyle w:val="0"/>
        <w:spacing w:before="200" w:line-rule="auto"/>
        <w:ind w:firstLine="540"/>
        <w:jc w:val="both"/>
      </w:pPr>
      <w:r>
        <w:rPr>
          <w:sz w:val="20"/>
        </w:rPr>
        <w:t xml:space="preserve">Субсидия может использоваться в качестве первоначального взноса (или его части) при оформлении ипотечного жилищного кредита (займа) либо в качестве компенсации расходов на оплату первоначального взноса по ипотечному жилищному кредиту (займу).</w:t>
      </w:r>
    </w:p>
    <w:p>
      <w:pPr>
        <w:pStyle w:val="0"/>
        <w:jc w:val="both"/>
      </w:pPr>
      <w:r>
        <w:rPr>
          <w:sz w:val="20"/>
        </w:rPr>
        <w:t xml:space="preserve">(в ред. </w:t>
      </w:r>
      <w:hyperlink w:history="0" r:id="rId760"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25.05.2015 N 198-п)</w:t>
      </w:r>
    </w:p>
    <w:p>
      <w:pPr>
        <w:pStyle w:val="0"/>
        <w:spacing w:before="200" w:line-rule="auto"/>
        <w:ind w:firstLine="540"/>
        <w:jc w:val="both"/>
      </w:pPr>
      <w:r>
        <w:rPr>
          <w:sz w:val="20"/>
        </w:rPr>
        <w:t xml:space="preserve">Средства субсидии направляются работнику бюджетной сферы, получившему свидетельство, при соблюдении следующих условий:</w:t>
      </w:r>
    </w:p>
    <w:p>
      <w:pPr>
        <w:pStyle w:val="0"/>
        <w:spacing w:before="200" w:line-rule="auto"/>
        <w:ind w:firstLine="540"/>
        <w:jc w:val="both"/>
      </w:pPr>
      <w:r>
        <w:rPr>
          <w:sz w:val="20"/>
        </w:rPr>
        <w:t xml:space="preserve">1) оформление ипотечного жилищного кредита (займа) в кредитной организации (организации, предоставляющей займы), заключившей соглашение о взаимодействии с Минстроем НСО;</w:t>
      </w:r>
    </w:p>
    <w:p>
      <w:pPr>
        <w:pStyle w:val="0"/>
        <w:spacing w:before="200" w:line-rule="auto"/>
        <w:ind w:firstLine="540"/>
        <w:jc w:val="both"/>
      </w:pPr>
      <w:r>
        <w:rPr>
          <w:sz w:val="20"/>
        </w:rPr>
        <w:t xml:space="preserve">2) приобретение жилого помещения и оформление ипотечного жилищного кредита (займа) в течение срока действия свидетельства, подтверждающего право гражданина на получение субсидии при ипотечном жилищном кредитовании;</w:t>
      </w:r>
    </w:p>
    <w:p>
      <w:pPr>
        <w:pStyle w:val="0"/>
        <w:spacing w:before="200" w:line-rule="auto"/>
        <w:ind w:firstLine="540"/>
        <w:jc w:val="both"/>
      </w:pPr>
      <w:r>
        <w:rPr>
          <w:sz w:val="20"/>
        </w:rPr>
        <w:t xml:space="preserve">3) в случае приобретения жилого помещения в строящемся жилом доме срок ввода дома в эксплуатацию не должен превышать одного года с даты заключения договора участия в долевом строительстве дома.</w:t>
      </w:r>
    </w:p>
    <w:p>
      <w:pPr>
        <w:pStyle w:val="0"/>
        <w:spacing w:before="200" w:line-rule="auto"/>
        <w:ind w:firstLine="540"/>
        <w:jc w:val="both"/>
      </w:pPr>
      <w:r>
        <w:rPr>
          <w:sz w:val="20"/>
        </w:rPr>
        <w:t xml:space="preserve">2. Предоставление субсидий отдельным категориям работников бюджетной сферы для компенсации части расходов по оплате процентов по оформленному ипотечному жилищному кредиту (займу).</w:t>
      </w:r>
    </w:p>
    <w:p>
      <w:pPr>
        <w:pStyle w:val="0"/>
        <w:spacing w:before="200" w:line-rule="auto"/>
        <w:ind w:firstLine="540"/>
        <w:jc w:val="both"/>
      </w:pPr>
      <w:r>
        <w:rPr>
          <w:sz w:val="20"/>
        </w:rPr>
        <w:t xml:space="preserve">Компенсация части расходов по оплате процентов по оформленному ипотечному жилищному кредиту (займу) до уровня 8,5% годовых осуществляется в течение срока действия кредитного договора (договора займа), но не более 3 лет. Финансирование производится на основании информации кредитной организации, в которой оформлен кредит (заем), об уплаченных гражданином процентов по соответствующему кредиту (займу).</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jc w:val="center"/>
      </w:pPr>
      <w:r>
        <w:rPr>
          <w:sz w:val="20"/>
        </w:rPr>
        <w:t xml:space="preserve">(в ред. </w:t>
      </w:r>
      <w:hyperlink w:history="0" r:id="rId761"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06.07.2018 N 287-п)</w:t>
      </w:r>
    </w:p>
    <w:p>
      <w:pPr>
        <w:pStyle w:val="0"/>
        <w:ind w:firstLine="540"/>
        <w:jc w:val="both"/>
      </w:pPr>
      <w:r>
        <w:rPr>
          <w:sz w:val="20"/>
        </w:rPr>
      </w:r>
    </w:p>
    <w:p>
      <w:pPr>
        <w:pStyle w:val="0"/>
        <w:ind w:firstLine="540"/>
        <w:jc w:val="both"/>
      </w:pPr>
      <w:r>
        <w:rPr>
          <w:sz w:val="20"/>
        </w:rPr>
        <w:t xml:space="preserve">Результатом реализации настоящей подпрограммы станет снижение доли работников бюджетной сферы, нуждающихся в улучшении жилищных условий (в соответствии с действующим законодательством), повышение обеспеченности жильем работников бюджетной сферы в Новосибирской области, а, соответственно, увеличение количества работников бюджетной сферы, обеспеченных жильем. В рамках подпрограммы улучшат жилищные условия с использованием ипотечного кредитования 81 работника бюджетной сферы.</w:t>
      </w:r>
    </w:p>
    <w:p>
      <w:pPr>
        <w:pStyle w:val="0"/>
        <w:jc w:val="both"/>
      </w:pPr>
      <w:r>
        <w:rPr>
          <w:sz w:val="20"/>
        </w:rPr>
        <w:t xml:space="preserve">(в ред. постановлений Правительства Новосибирской области от 15.02.2016 </w:t>
      </w:r>
      <w:hyperlink w:history="0" r:id="rId762"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rPr>
        <w:t xml:space="preserve">, от 15.02.2017 </w:t>
      </w:r>
      <w:hyperlink w:history="0" r:id="rId763"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06.07.2018 </w:t>
      </w:r>
      <w:hyperlink w:history="0" r:id="rId764"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w:t>
      </w:r>
    </w:p>
    <w:p>
      <w:pPr>
        <w:pStyle w:val="0"/>
        <w:spacing w:before="200" w:line-rule="auto"/>
        <w:ind w:firstLine="540"/>
        <w:jc w:val="both"/>
      </w:pPr>
      <w:r>
        <w:rPr>
          <w:sz w:val="20"/>
        </w:rPr>
        <w:t xml:space="preserve">Реализация подпрограммы будет способствовать привлечению на работу молодых квалифицированных специалистов, сокращению дефицита и текучести кадров в учреждениях бюджетной сферы в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7008" w:name="P7008"/>
    <w:bookmarkEnd w:id="7008"/>
    <w:p>
      <w:pPr>
        <w:pStyle w:val="2"/>
        <w:jc w:val="center"/>
      </w:pPr>
      <w:r>
        <w:rPr>
          <w:sz w:val="20"/>
        </w:rPr>
        <w:t xml:space="preserve">Подпрограмма</w:t>
      </w:r>
    </w:p>
    <w:p>
      <w:pPr>
        <w:pStyle w:val="2"/>
        <w:jc w:val="center"/>
      </w:pPr>
      <w:r>
        <w:rPr>
          <w:sz w:val="20"/>
        </w:rPr>
        <w:t xml:space="preserve">"Государственная поддержка отдельных категорий граждан,</w:t>
      </w:r>
    </w:p>
    <w:p>
      <w:pPr>
        <w:pStyle w:val="2"/>
        <w:jc w:val="center"/>
      </w:pPr>
      <w:r>
        <w:rPr>
          <w:sz w:val="20"/>
        </w:rPr>
        <w:t xml:space="preserve">являющихся нанимателями по договорам коммерческого найма</w:t>
      </w:r>
    </w:p>
    <w:p>
      <w:pPr>
        <w:pStyle w:val="2"/>
        <w:jc w:val="center"/>
      </w:pPr>
      <w:r>
        <w:rPr>
          <w:sz w:val="20"/>
        </w:rPr>
        <w:t xml:space="preserve">жилых помещений" государственной программы Новосибирской</w:t>
      </w:r>
    </w:p>
    <w:p>
      <w:pPr>
        <w:pStyle w:val="2"/>
        <w:jc w:val="center"/>
      </w:pPr>
      <w:r>
        <w:rPr>
          <w:sz w:val="20"/>
        </w:rPr>
        <w:t xml:space="preserve">области "Стимулирование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25.05.2015 </w:t>
            </w:r>
            <w:hyperlink w:history="0" r:id="rId765" w:tooltip="Постановление Правительства Новосибирской области от 25.05.2015 N 198-п &quot;О внесении изменений в постановление Правительства Новосибирской области от 20.02.2015 N 68-п&quot; {КонсультантПлюс}">
              <w:r>
                <w:rPr>
                  <w:sz w:val="20"/>
                  <w:color w:val="0000ff"/>
                </w:rPr>
                <w:t xml:space="preserve">N 198-п</w:t>
              </w:r>
            </w:hyperlink>
            <w:r>
              <w:rPr>
                <w:sz w:val="20"/>
                <w:color w:val="392c69"/>
              </w:rPr>
              <w:t xml:space="preserve">, от 15.02.2016 </w:t>
            </w:r>
            <w:hyperlink w:history="0" r:id="rId766"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color w:val="392c69"/>
              </w:rPr>
              <w:t xml:space="preserve">, от 15.02.2017 </w:t>
            </w:r>
            <w:hyperlink w:history="0" r:id="rId767"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color w:val="392c69"/>
              </w:rPr>
              <w:t xml:space="preserve">,</w:t>
            </w:r>
          </w:p>
          <w:p>
            <w:pPr>
              <w:pStyle w:val="0"/>
              <w:jc w:val="center"/>
            </w:pPr>
            <w:r>
              <w:rPr>
                <w:sz w:val="20"/>
                <w:color w:val="392c69"/>
              </w:rPr>
              <w:t xml:space="preserve">от 06.07.2018 </w:t>
            </w:r>
            <w:hyperlink w:history="0" r:id="rId768"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 от 19.03.2019 </w:t>
            </w:r>
            <w:hyperlink w:history="0" r:id="rId76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143"/>
      </w:tblGrid>
      <w:tr>
        <w:tblPrEx>
          <w:tblBorders>
            <w:insideH w:val="nil"/>
          </w:tblBorders>
        </w:tblPrEx>
        <w:tc>
          <w:tcPr>
            <w:tcW w:w="1928"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7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8"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"Государственная поддержка отдельных категорий граждан, являющихся нанимателями по договорам коммерческого найма жилых помещений" государственной программы (далее - подпрограмма)</w:t>
            </w:r>
          </w:p>
        </w:tc>
      </w:tr>
      <w:tr>
        <w:tblPrEx>
          <w:tblBorders>
            <w:insideH w:val="nil"/>
          </w:tblBorders>
        </w:tblPrEx>
        <w:tc>
          <w:tcPr>
            <w:tcW w:w="1928" w:type="dxa"/>
            <w:tcBorders>
              <w:bottom w:val="nil"/>
            </w:tcBorders>
          </w:tcPr>
          <w:p>
            <w:pPr>
              <w:pStyle w:val="0"/>
            </w:pPr>
            <w:r>
              <w:rPr>
                <w:sz w:val="20"/>
              </w:rPr>
              <w:t xml:space="preserve">Разработчики государственной подпрограммы</w:t>
            </w:r>
          </w:p>
        </w:tc>
        <w:tc>
          <w:tcPr>
            <w:tcW w:w="7143" w:type="dxa"/>
            <w:tcBorders>
              <w:bottom w:val="nil"/>
            </w:tcBorders>
          </w:tcPr>
          <w:p>
            <w:pPr>
              <w:pStyle w:val="0"/>
              <w:jc w:val="both"/>
            </w:pPr>
            <w:r>
              <w:rPr>
                <w:sz w:val="20"/>
              </w:rPr>
              <w:t xml:space="preserve">Министерство строительства Новосибирской области (далее - 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71"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blPrEx>
          <w:tblBorders>
            <w:insideH w:val="nil"/>
          </w:tblBorders>
        </w:tblPrEx>
        <w:tc>
          <w:tcPr>
            <w:tcW w:w="1928" w:type="dxa"/>
            <w:tcBorders>
              <w:bottom w:val="nil"/>
            </w:tcBorders>
          </w:tcPr>
          <w:p>
            <w:pPr>
              <w:pStyle w:val="0"/>
            </w:pPr>
            <w:r>
              <w:rPr>
                <w:sz w:val="20"/>
              </w:rPr>
              <w:t xml:space="preserve">Государственный заказчик (государственный заказчик-координатор) государственной подпрограммы</w:t>
            </w:r>
          </w:p>
        </w:tc>
        <w:tc>
          <w:tcPr>
            <w:tcW w:w="7143" w:type="dxa"/>
            <w:tcBorders>
              <w:bottom w:val="nil"/>
            </w:tcBorders>
          </w:tcPr>
          <w:p>
            <w:pPr>
              <w:pStyle w:val="0"/>
              <w:jc w:val="both"/>
            </w:pPr>
            <w:r>
              <w:rPr>
                <w:sz w:val="20"/>
              </w:rPr>
              <w:t xml:space="preserve">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7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tc>
      </w:tr>
      <w:tr>
        <w:tblPrEx>
          <w:tblBorders>
            <w:insideH w:val="nil"/>
          </w:tblBorders>
        </w:tblPrEx>
        <w:tc>
          <w:tcPr>
            <w:tcW w:w="1928" w:type="dxa"/>
            <w:tcBorders>
              <w:bottom w:val="nil"/>
            </w:tcBorders>
          </w:tcPr>
          <w:p>
            <w:pPr>
              <w:pStyle w:val="0"/>
            </w:pPr>
            <w:r>
              <w:rPr>
                <w:sz w:val="20"/>
              </w:rPr>
              <w:t xml:space="preserve">Руководитель подпрограммы</w:t>
            </w:r>
          </w:p>
        </w:tc>
        <w:tc>
          <w:tcPr>
            <w:tcW w:w="7143" w:type="dxa"/>
            <w:tcBorders>
              <w:bottom w:val="nil"/>
            </w:tcBorders>
          </w:tcPr>
          <w:p>
            <w:pPr>
              <w:pStyle w:val="0"/>
              <w:jc w:val="both"/>
            </w:pPr>
            <w:r>
              <w:rPr>
                <w:sz w:val="20"/>
              </w:rPr>
              <w:t xml:space="preserve">Заместитель Председателя Правительства Новосибирской области - министр строительства Новосибирской области - Боярский С.В.</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73"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tc>
      </w:tr>
      <w:tr>
        <w:tc>
          <w:tcPr>
            <w:tcW w:w="1928" w:type="dxa"/>
          </w:tcPr>
          <w:p>
            <w:pPr>
              <w:pStyle w:val="0"/>
            </w:pPr>
            <w:r>
              <w:rPr>
                <w:sz w:val="20"/>
              </w:rPr>
              <w:t xml:space="preserve">Цели и задачи подпрограммы</w:t>
            </w:r>
          </w:p>
        </w:tc>
        <w:tc>
          <w:tcPr>
            <w:tcW w:w="7143" w:type="dxa"/>
          </w:tcPr>
          <w:p>
            <w:pPr>
              <w:pStyle w:val="0"/>
              <w:jc w:val="both"/>
            </w:pPr>
            <w:r>
              <w:rPr>
                <w:sz w:val="20"/>
              </w:rPr>
              <w:t xml:space="preserve">Цель: создание условий для повышения доступности жилья для отдельных категорий граждан путем предоставления жилых помещений по договорам коммерческого найма.</w:t>
            </w:r>
          </w:p>
          <w:p>
            <w:pPr>
              <w:pStyle w:val="0"/>
              <w:jc w:val="both"/>
            </w:pPr>
            <w:r>
              <w:rPr>
                <w:sz w:val="20"/>
              </w:rPr>
              <w:t xml:space="preserve">Задача: создание условий для обеспечения граждан отдельных категорий жильем по договорам коммерческого найма</w:t>
            </w:r>
          </w:p>
        </w:tc>
      </w:tr>
      <w:tr>
        <w:tblPrEx>
          <w:tblBorders>
            <w:insideH w:val="nil"/>
          </w:tblBorders>
        </w:tblPrEx>
        <w:tc>
          <w:tcPr>
            <w:tcW w:w="1928"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- 2015 - 2016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74"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tc>
      </w:tr>
      <w:tr>
        <w:tblPrEx>
          <w:tblBorders>
            <w:insideH w:val="nil"/>
          </w:tblBorders>
        </w:tblPrEx>
        <w:tc>
          <w:tcPr>
            <w:tcW w:w="1928" w:type="dxa"/>
            <w:tcBorders>
              <w:bottom w:val="nil"/>
            </w:tcBorders>
          </w:tcPr>
          <w:p>
            <w:pPr>
              <w:pStyle w:val="0"/>
            </w:pPr>
            <w:r>
              <w:rPr>
                <w:sz w:val="20"/>
              </w:rPr>
              <w:t xml:space="preserve">Объемы финансирования подпрограммы (с расшифровкой по источникам и годам финансирования)</w:t>
            </w:r>
          </w:p>
        </w:tc>
        <w:tc>
          <w:tcPr>
            <w:tcW w:w="7143" w:type="dxa"/>
            <w:tcBorders>
              <w:bottom w:val="nil"/>
            </w:tcBorders>
          </w:tcPr>
          <w:p>
            <w:pPr>
              <w:pStyle w:val="0"/>
              <w:jc w:val="both"/>
            </w:pPr>
            <w:r>
              <w:rPr>
                <w:sz w:val="20"/>
              </w:rPr>
              <w:t xml:space="preserve">Общий объем ассигнований на реализацию подпрограммы на 2015 - 2016 годы составляет 10 795,8 тыс. рублей, в том числе по годам:</w:t>
            </w:r>
          </w:p>
          <w:p>
            <w:pPr>
              <w:pStyle w:val="0"/>
              <w:jc w:val="both"/>
            </w:pPr>
            <w:r>
              <w:rPr>
                <w:sz w:val="20"/>
              </w:rPr>
              <w:t xml:space="preserve">2015 год - 5 795,8 тыс. рублей;</w:t>
            </w:r>
          </w:p>
          <w:p>
            <w:pPr>
              <w:pStyle w:val="0"/>
              <w:jc w:val="both"/>
            </w:pPr>
            <w:r>
              <w:rPr>
                <w:sz w:val="20"/>
              </w:rPr>
              <w:t xml:space="preserve">2016 год - 5 000,0 тыс. рублей;</w:t>
            </w:r>
          </w:p>
          <w:p>
            <w:pPr>
              <w:pStyle w:val="0"/>
              <w:jc w:val="both"/>
            </w:pPr>
            <w:r>
              <w:rPr>
                <w:sz w:val="20"/>
              </w:rPr>
              <w:t xml:space="preserve">по источникам финансирования:</w:t>
            </w:r>
          </w:p>
          <w:p>
            <w:pPr>
              <w:pStyle w:val="0"/>
              <w:jc w:val="both"/>
            </w:pPr>
            <w:r>
              <w:rPr>
                <w:sz w:val="20"/>
              </w:rPr>
              <w:t xml:space="preserve">областной бюджет Новосибирской области - 10 795,8 тыс. рублей, в том числе по годам:</w:t>
            </w:r>
          </w:p>
          <w:p>
            <w:pPr>
              <w:pStyle w:val="0"/>
              <w:jc w:val="both"/>
            </w:pPr>
            <w:r>
              <w:rPr>
                <w:sz w:val="20"/>
              </w:rPr>
              <w:t xml:space="preserve">2015 год - 5 795,8 тыс. рублей;</w:t>
            </w:r>
          </w:p>
          <w:p>
            <w:pPr>
              <w:pStyle w:val="0"/>
              <w:jc w:val="both"/>
            </w:pPr>
            <w:r>
              <w:rPr>
                <w:sz w:val="20"/>
              </w:rPr>
              <w:t xml:space="preserve">2016 год - 5 000,0 тыс. рублей.</w:t>
            </w:r>
          </w:p>
          <w:p>
            <w:pPr>
              <w:pStyle w:val="0"/>
              <w:jc w:val="both"/>
            </w:pPr>
            <w:r>
              <w:rPr>
                <w:sz w:val="20"/>
              </w:rPr>
              <w:t xml:space="preserve">Суммы средств, выделяемые из областного бюджета Новосибирской области, подлежат ежегодному уточнению</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75"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tc>
      </w:tr>
      <w:tr>
        <w:tc>
          <w:tcPr>
            <w:tcW w:w="1928" w:type="dxa"/>
          </w:tcPr>
          <w:p>
            <w:pPr>
              <w:pStyle w:val="0"/>
            </w:pPr>
            <w:r>
              <w:rPr>
                <w:sz w:val="20"/>
              </w:rPr>
              <w:t xml:space="preserve">Основные целевые индикаторы подпрограммы</w:t>
            </w:r>
          </w:p>
        </w:tc>
        <w:tc>
          <w:tcPr>
            <w:tcW w:w="7143" w:type="dxa"/>
          </w:tcPr>
          <w:p>
            <w:pPr>
              <w:pStyle w:val="0"/>
              <w:jc w:val="both"/>
            </w:pPr>
            <w:r>
              <w:rPr>
                <w:sz w:val="20"/>
              </w:rPr>
              <w:t xml:space="preserve">Количество граждан, получивших государственную поддержку в рамках подпрограммы</w:t>
            </w:r>
          </w:p>
        </w:tc>
      </w:tr>
      <w:tr>
        <w:tblPrEx>
          <w:tblBorders>
            <w:insideH w:val="nil"/>
          </w:tblBorders>
        </w:tblPrEx>
        <w:tc>
          <w:tcPr>
            <w:tcW w:w="1928"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В результате реализации подпрограммы ежегодно предоставляются субсидии от 70 до 500 гражданам на компенсацию части платежей по договорам коммерческого найма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76"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tc>
      </w:tr>
    </w:tbl>
    <w:p>
      <w:pPr>
        <w:pStyle w:val="0"/>
        <w:ind w:firstLine="540"/>
        <w:jc w:val="both"/>
      </w:pPr>
      <w:r>
        <w:rPr>
          <w:sz w:val="20"/>
        </w:rPr>
      </w:r>
    </w:p>
    <w:p>
      <w:pPr>
        <w:pStyle w:val="2"/>
        <w:outlineLvl w:val="2"/>
        <w:jc w:val="center"/>
      </w:pPr>
      <w:r>
        <w:rPr>
          <w:sz w:val="20"/>
        </w:rPr>
        <w:t xml:space="preserve">II.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Необходимость развития рынка жилья коммерческого найма в Новосибирской области обусловлена следующими факторами:</w:t>
      </w:r>
    </w:p>
    <w:p>
      <w:pPr>
        <w:pStyle w:val="0"/>
        <w:spacing w:before="200" w:line-rule="auto"/>
        <w:ind w:firstLine="540"/>
        <w:jc w:val="both"/>
      </w:pPr>
      <w:r>
        <w:rPr>
          <w:sz w:val="20"/>
        </w:rPr>
        <w:t xml:space="preserve">значительная часть населения не имеет возможности приобрести жилье в собственность;</w:t>
      </w:r>
    </w:p>
    <w:p>
      <w:pPr>
        <w:pStyle w:val="0"/>
        <w:spacing w:before="200" w:line-rule="auto"/>
        <w:ind w:firstLine="540"/>
        <w:jc w:val="both"/>
      </w:pPr>
      <w:r>
        <w:rPr>
          <w:sz w:val="20"/>
        </w:rPr>
        <w:t xml:space="preserve">современная экономическая модель стимулирует высокую мобильность населения;</w:t>
      </w:r>
    </w:p>
    <w:p>
      <w:pPr>
        <w:pStyle w:val="0"/>
        <w:spacing w:before="200" w:line-rule="auto"/>
        <w:ind w:firstLine="540"/>
        <w:jc w:val="both"/>
      </w:pPr>
      <w:r>
        <w:rPr>
          <w:sz w:val="20"/>
        </w:rPr>
        <w:t xml:space="preserve">развитие экономики предполагает постоянный приток трудовой миграции в Новосибирскую область.</w:t>
      </w:r>
    </w:p>
    <w:p>
      <w:pPr>
        <w:pStyle w:val="0"/>
        <w:spacing w:before="200" w:line-rule="auto"/>
        <w:ind w:firstLine="540"/>
        <w:jc w:val="both"/>
      </w:pPr>
      <w:r>
        <w:rPr>
          <w:sz w:val="20"/>
        </w:rPr>
        <w:t xml:space="preserve">К основным факторам, сдерживающим развитие рынка жилья коммерческого найма, относятся:</w:t>
      </w:r>
    </w:p>
    <w:p>
      <w:pPr>
        <w:pStyle w:val="0"/>
        <w:spacing w:before="200" w:line-rule="auto"/>
        <w:ind w:firstLine="540"/>
        <w:jc w:val="both"/>
      </w:pPr>
      <w:r>
        <w:rPr>
          <w:sz w:val="20"/>
        </w:rPr>
        <w:t xml:space="preserve">1. Длительный срок окупаемости инвестиций при реализации проектов строительства жилья коммерческого найма вследствие:</w:t>
      </w:r>
    </w:p>
    <w:p>
      <w:pPr>
        <w:pStyle w:val="0"/>
        <w:spacing w:before="200" w:line-rule="auto"/>
        <w:ind w:firstLine="540"/>
        <w:jc w:val="both"/>
      </w:pPr>
      <w:r>
        <w:rPr>
          <w:sz w:val="20"/>
        </w:rPr>
        <w:t xml:space="preserve">высокой стоимости земельного участка под строительство;</w:t>
      </w:r>
    </w:p>
    <w:p>
      <w:pPr>
        <w:pStyle w:val="0"/>
        <w:spacing w:before="200" w:line-rule="auto"/>
        <w:ind w:firstLine="540"/>
        <w:jc w:val="both"/>
      </w:pPr>
      <w:r>
        <w:rPr>
          <w:sz w:val="20"/>
        </w:rPr>
        <w:t xml:space="preserve">высокой стоимости строительства инженерной инфраструктуры;</w:t>
      </w:r>
    </w:p>
    <w:p>
      <w:pPr>
        <w:pStyle w:val="0"/>
        <w:spacing w:before="200" w:line-rule="auto"/>
        <w:ind w:firstLine="540"/>
        <w:jc w:val="both"/>
      </w:pPr>
      <w:r>
        <w:rPr>
          <w:sz w:val="20"/>
        </w:rPr>
        <w:t xml:space="preserve">высокой стоимости объекта жилищного строительства при использовании традиционных технологий проектирования и строительства;</w:t>
      </w:r>
    </w:p>
    <w:p>
      <w:pPr>
        <w:pStyle w:val="0"/>
        <w:spacing w:before="200" w:line-rule="auto"/>
        <w:ind w:firstLine="540"/>
        <w:jc w:val="both"/>
      </w:pPr>
      <w:r>
        <w:rPr>
          <w:sz w:val="20"/>
        </w:rPr>
        <w:t xml:space="preserve">высокой стоимости заемных средств.</w:t>
      </w:r>
    </w:p>
    <w:p>
      <w:pPr>
        <w:pStyle w:val="0"/>
        <w:spacing w:before="200" w:line-rule="auto"/>
        <w:ind w:firstLine="540"/>
        <w:jc w:val="both"/>
      </w:pPr>
      <w:r>
        <w:rPr>
          <w:sz w:val="20"/>
        </w:rPr>
        <w:t xml:space="preserve">2. Низкая эффективность инвестиций, определяемая отношением высоких затрат, связанных со строительством, и низкой расчетной стоимости коммерческого найма жилья, обусловленных платежеспособностью населения.</w:t>
      </w:r>
    </w:p>
    <w:p>
      <w:pPr>
        <w:pStyle w:val="0"/>
        <w:spacing w:before="200" w:line-rule="auto"/>
        <w:ind w:firstLine="540"/>
        <w:jc w:val="both"/>
      </w:pPr>
      <w:r>
        <w:rPr>
          <w:sz w:val="20"/>
        </w:rPr>
        <w:t xml:space="preserve">Механизм стимулирования жилищного рынка через строительство жилья коммерческого найма отработан в рамках пилотного проекта. В рамках реализации инвестиционного проекта по формированию фонда жилья коммерческого найма вблизи Технопарка Новосибирского Академгородка в п. Ложок Новосибирского района Новосибирской области построено и введено в эксплуатацию два 3-этажных жилых дома. Квартиры предоставляются гражданам внаем на основе договоров коммерческого найма жилых помещений.</w:t>
      </w:r>
    </w:p>
    <w:p>
      <w:pPr>
        <w:pStyle w:val="0"/>
        <w:spacing w:before="200" w:line-rule="auto"/>
        <w:ind w:firstLine="540"/>
        <w:jc w:val="both"/>
      </w:pPr>
      <w:r>
        <w:rPr>
          <w:sz w:val="20"/>
        </w:rPr>
        <w:t xml:space="preserve">Строительство, инвестирование в строительство или приобретение жилых помещений для дальнейшего предоставления внаем в рамках настоящей подпрограммы осуществляется организациями, прошедшими конкурсный отбор в соответствии с инвестиционным законодательством Новосибирской области, реализующими инвестиционные проекты создания жилых помещений для целей коммерческого найма.</w:t>
      </w:r>
    </w:p>
    <w:p>
      <w:pPr>
        <w:pStyle w:val="0"/>
        <w:spacing w:before="200" w:line-rule="auto"/>
        <w:ind w:firstLine="540"/>
        <w:jc w:val="both"/>
      </w:pPr>
      <w:r>
        <w:rPr>
          <w:sz w:val="20"/>
        </w:rPr>
        <w:t xml:space="preserve">Формирование рынка арендного жилья и развитие некоммерческого жилищного фонда для граждан, имеющих невысокий уровень дохода, обеспечивает:</w:t>
      </w:r>
    </w:p>
    <w:p>
      <w:pPr>
        <w:pStyle w:val="0"/>
        <w:spacing w:before="200" w:line-rule="auto"/>
        <w:ind w:firstLine="540"/>
        <w:jc w:val="both"/>
      </w:pPr>
      <w:r>
        <w:rPr>
          <w:sz w:val="20"/>
        </w:rPr>
        <w:t xml:space="preserve">повышение доступности жилья для социальных категорий граждан;</w:t>
      </w:r>
    </w:p>
    <w:p>
      <w:pPr>
        <w:pStyle w:val="0"/>
        <w:spacing w:before="200" w:line-rule="auto"/>
        <w:ind w:firstLine="540"/>
        <w:jc w:val="both"/>
      </w:pPr>
      <w:r>
        <w:rPr>
          <w:sz w:val="20"/>
        </w:rPr>
        <w:t xml:space="preserve">увеличение объемов жилищного строительства за счет реализации программ строительства арендного жилищного фонда коммерческого и некоммерческого использования;</w:t>
      </w:r>
    </w:p>
    <w:p>
      <w:pPr>
        <w:pStyle w:val="0"/>
        <w:spacing w:before="200" w:line-rule="auto"/>
        <w:ind w:firstLine="540"/>
        <w:jc w:val="both"/>
      </w:pPr>
      <w:r>
        <w:rPr>
          <w:sz w:val="20"/>
        </w:rPr>
        <w:t xml:space="preserve">снижение уровня социальной напряженности в обществе, связанной с отсутствием перспектив улучшения жилищных условий у отдельных групп населения;</w:t>
      </w:r>
    </w:p>
    <w:p>
      <w:pPr>
        <w:pStyle w:val="0"/>
        <w:spacing w:before="200" w:line-rule="auto"/>
        <w:ind w:firstLine="540"/>
        <w:jc w:val="both"/>
      </w:pPr>
      <w:r>
        <w:rPr>
          <w:sz w:val="20"/>
        </w:rPr>
        <w:t xml:space="preserve">создание условий повышения миграционной активности населения и обеспечения притока квалифицированной рабочей силы в экономически эффективные отрасли и регионы.</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Цель подпрограммы - создание условий для повышения доступности жилья для отдельных категорий граждан путем предоставления жилых помещений по договорам коммерческого найма.</w:t>
      </w:r>
    </w:p>
    <w:p>
      <w:pPr>
        <w:pStyle w:val="0"/>
        <w:spacing w:before="200" w:line-rule="auto"/>
        <w:ind w:firstLine="540"/>
        <w:jc w:val="both"/>
      </w:pPr>
      <w:r>
        <w:rPr>
          <w:sz w:val="20"/>
        </w:rPr>
        <w:t xml:space="preserve">Задача подпрограммы - создание условий для обеспечения граждан отдельных категорий жильем по договорам коммерческого найма.</w:t>
      </w:r>
    </w:p>
    <w:p>
      <w:pPr>
        <w:pStyle w:val="0"/>
        <w:spacing w:before="200" w:line-rule="auto"/>
        <w:ind w:firstLine="540"/>
        <w:jc w:val="both"/>
      </w:pPr>
      <w:r>
        <w:rPr>
          <w:sz w:val="20"/>
        </w:rPr>
        <w:t xml:space="preserve">Целевым индикатором является количество граждан, получивших государственную поддержку в рамках подпрограммы, чел. Периодичность сбора информации по данному целевому индикатору - квартальная, вид временной характеристики - на конец периода.</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В рамках подпрограммы осуществляется предоставление отдельным категориям граждан субсидий на компенсацию части платежей по договорам коммерческого найма. С одной стороны, это позволит стимулировать спрос на жилье коммерческого найма, а с другой - обеспечить комфортными условиями проживания граждан, поддержка которых является приоритетом государственной политики (работники государственных учреждений, молодые специалисты компаний - резидентов парковых зон Новосибирской области и т.д.). Кроме того, это позволит повысить привлекательность Новосибирской области на рынке межрегиональной трудовой миграции высококвалифицированных кадров.</w:t>
      </w:r>
    </w:p>
    <w:p>
      <w:pPr>
        <w:pStyle w:val="0"/>
        <w:spacing w:before="200" w:line-rule="auto"/>
        <w:ind w:firstLine="540"/>
        <w:jc w:val="both"/>
      </w:pPr>
      <w:r>
        <w:rPr>
          <w:sz w:val="20"/>
        </w:rPr>
        <w:t xml:space="preserve">Условия, порядок, размер предоставления государственной поддержки отдельным категориям граждан, являющихся нанимателями по договорам коммерческого найма жилых помещений, установлены </w:t>
      </w:r>
      <w:hyperlink w:history="0" r:id="rId777" w:tooltip="Постановление Правительства Новосибирской области от 30.07.2012 N 366-п (ред. от 27.12.2016) &quot;О государственной поддержке отдельных категорий граждан, являющихся нанимателями по договорам коммерческого найма жилых помещений&quot; ------------ Утратил силу или отменен {КонсультантПлюс}">
        <w:r>
          <w:rPr>
            <w:sz w:val="20"/>
            <w:color w:val="0000ff"/>
          </w:rPr>
          <w:t xml:space="preserve">постановлением</w:t>
        </w:r>
      </w:hyperlink>
      <w:r>
        <w:rPr>
          <w:sz w:val="20"/>
        </w:rPr>
        <w:t xml:space="preserve"> Правительства Новосибирской области от 30.07.2012 N 366-п "О государственной поддержке отдельных категорий граждан, являющихся нанимателями по договорам коммерческого найма жилых помещений" и </w:t>
      </w:r>
      <w:hyperlink w:history="0" r:id="rId778" w:tooltip="Распоряжение Правительства Новосибирской области от 09.04.2013 N 160-рп (ред. от 24.07.2017) &quot;О мерах по содействию реализации инвестиционных проектов в сфере здравоохранения в рамках Стратегии социально-экономического развития Сибири до 2020 года&quot; (вместе с &quot;Положением о предоставлении субсидий сотрудникам учреждений в сфере здравоохранения, созданных на территории Новосибирской области в рамках инвестиционных проектов, указанных в разделе V Стратегии социально-экономического развития Сибири до 2020 года,  ------------ Утратил силу или отменен {КонсультантПлюс}">
        <w:r>
          <w:rPr>
            <w:sz w:val="20"/>
            <w:color w:val="0000ff"/>
          </w:rPr>
          <w:t xml:space="preserve">распоряжением</w:t>
        </w:r>
      </w:hyperlink>
      <w:r>
        <w:rPr>
          <w:sz w:val="20"/>
        </w:rPr>
        <w:t xml:space="preserve"> Правительства Новосибирской области от 09.04.2013 N 160-рп "О мерах по содействию реализации инвестиционных проектов в сфере здравоохранения в рамках Стратегии социально-экономического развития Сибири до 2020 года".</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jc w:val="center"/>
      </w:pPr>
      <w:r>
        <w:rPr>
          <w:sz w:val="20"/>
        </w:rPr>
        <w:t xml:space="preserve">(в ред. </w:t>
      </w:r>
      <w:hyperlink w:history="0" r:id="rId779"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06.07.2018 N 287-п)</w:t>
      </w:r>
    </w:p>
    <w:p>
      <w:pPr>
        <w:pStyle w:val="0"/>
        <w:jc w:val="center"/>
      </w:pPr>
      <w:r>
        <w:rPr>
          <w:sz w:val="20"/>
        </w:rPr>
        <w:t xml:space="preserve">(в ред. </w:t>
      </w:r>
      <w:hyperlink w:history="0" r:id="rId780"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15.02.2017 N 44-п)</w:t>
      </w:r>
    </w:p>
    <w:p>
      <w:pPr>
        <w:pStyle w:val="0"/>
        <w:ind w:firstLine="540"/>
        <w:jc w:val="both"/>
      </w:pPr>
      <w:r>
        <w:rPr>
          <w:sz w:val="20"/>
        </w:rPr>
      </w:r>
    </w:p>
    <w:p>
      <w:pPr>
        <w:pStyle w:val="0"/>
        <w:ind w:firstLine="540"/>
        <w:jc w:val="both"/>
      </w:pPr>
      <w:r>
        <w:rPr>
          <w:sz w:val="20"/>
        </w:rPr>
        <w:t xml:space="preserve">В результате реализации подпрограммы ежегодно предоставляются субсидии от 70 до 500 гражданам на компенсацию части платежей по договорам коммерческого найма.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7109" w:name="P7109"/>
    <w:bookmarkEnd w:id="7109"/>
    <w:p>
      <w:pPr>
        <w:pStyle w:val="2"/>
        <w:jc w:val="center"/>
      </w:pPr>
      <w:r>
        <w:rPr>
          <w:sz w:val="20"/>
        </w:rPr>
        <w:t xml:space="preserve">Подпрограмма</w:t>
      </w:r>
    </w:p>
    <w:p>
      <w:pPr>
        <w:pStyle w:val="2"/>
        <w:jc w:val="center"/>
      </w:pPr>
      <w:r>
        <w:rPr>
          <w:sz w:val="20"/>
        </w:rPr>
        <w:t xml:space="preserve">"Развитие рынка наемного жилья" государственной программы</w:t>
      </w:r>
    </w:p>
    <w:p>
      <w:pPr>
        <w:pStyle w:val="2"/>
        <w:jc w:val="center"/>
      </w:pPr>
      <w:r>
        <w:rPr>
          <w:sz w:val="20"/>
        </w:rPr>
        <w:t xml:space="preserve">Новосибирской области "Стимулирование развития жилищного</w:t>
      </w:r>
    </w:p>
    <w:p>
      <w:pPr>
        <w:pStyle w:val="2"/>
        <w:jc w:val="center"/>
      </w:pPr>
      <w:r>
        <w:rPr>
          <w:sz w:val="20"/>
        </w:rPr>
        <w:t xml:space="preserve">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781"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15.02.2017 N 44-п;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06.07.2018 </w:t>
            </w:r>
            <w:hyperlink w:history="0" r:id="rId78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 от 19.11.2018 </w:t>
            </w:r>
            <w:hyperlink w:history="0" r:id="rId783"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 от 05.02.2019 </w:t>
            </w:r>
            <w:hyperlink w:history="0" r:id="rId784" w:tooltip="Постановление Правительства Новосибирской области от 05.02.2019 N 19-п &quot;О внесении изменений в постановление Правительства Новосибирской области от 20.02.2015 N 68-п&quot; {КонсультантПлюс}">
              <w:r>
                <w:rPr>
                  <w:sz w:val="20"/>
                  <w:color w:val="0000ff"/>
                </w:rPr>
                <w:t xml:space="preserve">N 19-п</w:t>
              </w:r>
            </w:hyperlink>
            <w:r>
              <w:rPr>
                <w:sz w:val="20"/>
                <w:color w:val="392c69"/>
              </w:rPr>
              <w:t xml:space="preserve">,</w:t>
            </w:r>
          </w:p>
          <w:p>
            <w:pPr>
              <w:pStyle w:val="0"/>
              <w:jc w:val="center"/>
            </w:pPr>
            <w:r>
              <w:rPr>
                <w:sz w:val="20"/>
                <w:color w:val="392c69"/>
              </w:rPr>
              <w:t xml:space="preserve">от 19.03.2019 </w:t>
            </w:r>
            <w:hyperlink w:history="0" r:id="rId785"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 от 02.06.2020 </w:t>
            </w:r>
            <w:hyperlink w:history="0" r:id="rId786"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 от 29.09.2020 </w:t>
            </w:r>
            <w:hyperlink w:history="0" r:id="rId787"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N 411-п</w:t>
              </w:r>
            </w:hyperlink>
            <w:r>
              <w:rPr>
                <w:sz w:val="20"/>
                <w:color w:val="392c69"/>
              </w:rPr>
              <w:t xml:space="preserve">,</w:t>
            </w:r>
          </w:p>
          <w:p>
            <w:pPr>
              <w:pStyle w:val="0"/>
              <w:jc w:val="center"/>
            </w:pPr>
            <w:r>
              <w:rPr>
                <w:sz w:val="20"/>
                <w:color w:val="392c69"/>
              </w:rPr>
              <w:t xml:space="preserve">от 25.03.2021 </w:t>
            </w:r>
            <w:hyperlink w:history="0" r:id="rId788"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color w:val="392c69"/>
              </w:rPr>
              <w:t xml:space="preserve">, от 15.03.2022 </w:t>
            </w:r>
            <w:hyperlink w:history="0" r:id="rId789"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 от 29.12.2022 </w:t>
            </w:r>
            <w:hyperlink w:history="0" r:id="rId790"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color w:val="392c69"/>
              </w:rPr>
              <w:t xml:space="preserve">,</w:t>
            </w:r>
          </w:p>
          <w:p>
            <w:pPr>
              <w:pStyle w:val="0"/>
              <w:jc w:val="center"/>
            </w:pPr>
            <w:r>
              <w:rPr>
                <w:sz w:val="20"/>
                <w:color w:val="392c69"/>
              </w:rPr>
              <w:t xml:space="preserve">от 21.03.2023 </w:t>
            </w:r>
            <w:hyperlink w:history="0" r:id="rId791"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N 100-п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7143"/>
      </w:tblGrid>
      <w:tr>
        <w:tblPrEx>
          <w:tblBorders>
            <w:insideH w:val="nil"/>
          </w:tblBorders>
        </w:tblPrEx>
        <w:tc>
          <w:tcPr>
            <w:tcW w:w="1928" w:type="dxa"/>
            <w:tcBorders>
              <w:bottom w:val="nil"/>
            </w:tcBorders>
          </w:tcPr>
          <w:p>
            <w:pPr>
              <w:pStyle w:val="0"/>
            </w:pPr>
            <w:r>
              <w:rPr>
                <w:sz w:val="20"/>
              </w:rPr>
              <w:t xml:space="preserve">Наименование государственной программы</w:t>
            </w:r>
          </w:p>
        </w:tc>
        <w:tc>
          <w:tcPr>
            <w:tcW w:w="7143" w:type="dxa"/>
            <w:tcBorders>
              <w:bottom w:val="nil"/>
            </w:tcBorders>
          </w:tcPr>
          <w:p>
            <w:pPr>
              <w:pStyle w:val="0"/>
              <w:jc w:val="both"/>
            </w:pPr>
            <w:r>
              <w:rPr>
                <w:sz w:val="20"/>
              </w:rPr>
              <w:t xml:space="preserve">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79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tc>
      </w:tr>
      <w:tr>
        <w:tc>
          <w:tcPr>
            <w:tcW w:w="1928" w:type="dxa"/>
          </w:tcPr>
          <w:p>
            <w:pPr>
              <w:pStyle w:val="0"/>
            </w:pPr>
            <w:r>
              <w:rPr>
                <w:sz w:val="20"/>
              </w:rPr>
              <w:t xml:space="preserve">Наименование подпрограммы</w:t>
            </w:r>
          </w:p>
        </w:tc>
        <w:tc>
          <w:tcPr>
            <w:tcW w:w="7143" w:type="dxa"/>
          </w:tcPr>
          <w:p>
            <w:pPr>
              <w:pStyle w:val="0"/>
              <w:jc w:val="both"/>
            </w:pPr>
            <w:r>
              <w:rPr>
                <w:sz w:val="20"/>
              </w:rPr>
              <w:t xml:space="preserve">Подпрограмма "Развитие рынка наемного жилья" государственной программы (далее - подпрограмма)</w:t>
            </w:r>
          </w:p>
        </w:tc>
      </w:tr>
      <w:tr>
        <w:tblPrEx>
          <w:tblBorders>
            <w:insideH w:val="nil"/>
          </w:tblBorders>
        </w:tblPrEx>
        <w:tc>
          <w:tcPr>
            <w:tcW w:w="1928" w:type="dxa"/>
            <w:tcBorders>
              <w:bottom w:val="nil"/>
            </w:tcBorders>
          </w:tcPr>
          <w:p>
            <w:pPr>
              <w:pStyle w:val="0"/>
            </w:pPr>
            <w:r>
              <w:rPr>
                <w:sz w:val="20"/>
              </w:rPr>
              <w:t xml:space="preserve">Разработчики подпрограммы</w:t>
            </w:r>
          </w:p>
        </w:tc>
        <w:tc>
          <w:tcPr>
            <w:tcW w:w="7143" w:type="dxa"/>
            <w:tcBorders>
              <w:bottom w:val="nil"/>
            </w:tcBorders>
          </w:tcPr>
          <w:p>
            <w:pPr>
              <w:pStyle w:val="0"/>
              <w:jc w:val="both"/>
            </w:pPr>
            <w:r>
              <w:rPr>
                <w:sz w:val="20"/>
              </w:rPr>
              <w:t xml:space="preserve">Министерство строительства Новосибирской области (далее - 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79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794"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Государственный заказчик (государственный заказчик-координатор) подпрограммы</w:t>
            </w:r>
          </w:p>
        </w:tc>
        <w:tc>
          <w:tcPr>
            <w:tcW w:w="7143" w:type="dxa"/>
            <w:tcBorders>
              <w:bottom w:val="nil"/>
            </w:tcBorders>
          </w:tcPr>
          <w:p>
            <w:pPr>
              <w:pStyle w:val="0"/>
              <w:jc w:val="both"/>
            </w:pPr>
            <w:r>
              <w:rPr>
                <w:sz w:val="20"/>
              </w:rPr>
              <w:t xml:space="preserve">Минстрой НСО</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79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796"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Руководитель подпрограммы</w:t>
            </w:r>
          </w:p>
        </w:tc>
        <w:tc>
          <w:tcPr>
            <w:tcW w:w="7143" w:type="dxa"/>
            <w:tcBorders>
              <w:bottom w:val="nil"/>
            </w:tcBorders>
          </w:tcPr>
          <w:p>
            <w:pPr>
              <w:pStyle w:val="0"/>
              <w:jc w:val="both"/>
            </w:pPr>
            <w:r>
              <w:rPr>
                <w:sz w:val="20"/>
              </w:rPr>
              <w:t xml:space="preserve">Министр строительства Новосибирской области - Колмаков А.В.</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06.07.2018 </w:t>
            </w:r>
            <w:hyperlink w:history="0" r:id="rId797"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19.11.2018 </w:t>
            </w:r>
            <w:hyperlink w:history="0" r:id="rId798" w:tooltip="Постановление Правительства Новосибирской области от 19.11.2018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rPr>
              <w:t xml:space="preserve">, от 15.03.2022 </w:t>
            </w:r>
            <w:hyperlink w:history="0" r:id="rId799"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rPr>
              <w:t xml:space="preserve">, от 29.12.2022 </w:t>
            </w:r>
            <w:hyperlink w:history="0" r:id="rId800"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r>
        <w:tc>
          <w:tcPr>
            <w:tcW w:w="1928" w:type="dxa"/>
          </w:tcPr>
          <w:p>
            <w:pPr>
              <w:pStyle w:val="0"/>
            </w:pPr>
            <w:r>
              <w:rPr>
                <w:sz w:val="20"/>
              </w:rPr>
              <w:t xml:space="preserve">Цели и задачи подпрограммы</w:t>
            </w:r>
          </w:p>
        </w:tc>
        <w:tc>
          <w:tcPr>
            <w:tcW w:w="7143" w:type="dxa"/>
          </w:tcPr>
          <w:p>
            <w:pPr>
              <w:pStyle w:val="0"/>
              <w:jc w:val="both"/>
            </w:pPr>
            <w:r>
              <w:rPr>
                <w:sz w:val="20"/>
              </w:rPr>
              <w:t xml:space="preserve">Цель: развитие рынка наемного жилья на территории Новосибирской области.</w:t>
            </w:r>
          </w:p>
          <w:p>
            <w:pPr>
              <w:pStyle w:val="0"/>
              <w:jc w:val="both"/>
            </w:pPr>
            <w:r>
              <w:rPr>
                <w:sz w:val="20"/>
              </w:rPr>
              <w:t xml:space="preserve">Задачи:</w:t>
            </w:r>
          </w:p>
          <w:p>
            <w:pPr>
              <w:pStyle w:val="0"/>
              <w:jc w:val="both"/>
            </w:pPr>
            <w:r>
              <w:rPr>
                <w:sz w:val="20"/>
              </w:rPr>
              <w:t xml:space="preserve">1. Создание условий для строительства наемного жилья социального и коммерческого использования.</w:t>
            </w:r>
          </w:p>
          <w:p>
            <w:pPr>
              <w:pStyle w:val="0"/>
              <w:jc w:val="both"/>
            </w:pPr>
            <w:r>
              <w:rPr>
                <w:sz w:val="20"/>
              </w:rPr>
              <w:t xml:space="preserve">2. Создание условий для обеспечения граждан отдельных категорий жильем по договорам коммерческого найма</w:t>
            </w:r>
          </w:p>
        </w:tc>
      </w:tr>
      <w:tr>
        <w:tblPrEx>
          <w:tblBorders>
            <w:insideH w:val="nil"/>
          </w:tblBorders>
        </w:tblPrEx>
        <w:tc>
          <w:tcPr>
            <w:tcW w:w="1928" w:type="dxa"/>
            <w:tcBorders>
              <w:bottom w:val="nil"/>
            </w:tcBorders>
          </w:tcPr>
          <w:p>
            <w:pPr>
              <w:pStyle w:val="0"/>
            </w:pPr>
            <w:r>
              <w:rPr>
                <w:sz w:val="20"/>
              </w:rPr>
              <w:t xml:space="preserve">Сроки (этапы) реализации подпрограммы</w:t>
            </w:r>
          </w:p>
        </w:tc>
        <w:tc>
          <w:tcPr>
            <w:tcW w:w="7143" w:type="dxa"/>
            <w:tcBorders>
              <w:bottom w:val="nil"/>
            </w:tcBorders>
          </w:tcPr>
          <w:p>
            <w:pPr>
              <w:pStyle w:val="0"/>
              <w:jc w:val="both"/>
            </w:pPr>
            <w:r>
              <w:rPr>
                <w:sz w:val="20"/>
              </w:rPr>
              <w:t xml:space="preserve">Период реализации подпрограммы - 2017 - 2025 годы.</w:t>
            </w:r>
          </w:p>
          <w:p>
            <w:pPr>
              <w:pStyle w:val="0"/>
              <w:jc w:val="both"/>
            </w:pPr>
            <w:r>
              <w:rPr>
                <w:sz w:val="20"/>
              </w:rPr>
              <w:t xml:space="preserve">Этапы реализации подпрограммы не выделяются</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19.03.2019 </w:t>
            </w:r>
            <w:hyperlink w:history="0" r:id="rId80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02.06.2020 </w:t>
            </w:r>
            <w:hyperlink w:history="0" r:id="rId802"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29.12.2022 </w:t>
            </w:r>
            <w:hyperlink w:history="0" r:id="rId803"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tc>
      </w:tr>
      <w:tr>
        <w:tblPrEx>
          <w:tblBorders>
            <w:insideH w:val="nil"/>
          </w:tblBorders>
        </w:tblPrEx>
        <w:tc>
          <w:tcPr>
            <w:tcW w:w="1928" w:type="dxa"/>
            <w:tcBorders>
              <w:bottom w:val="nil"/>
            </w:tcBorders>
          </w:tcPr>
          <w:p>
            <w:pPr>
              <w:pStyle w:val="0"/>
            </w:pPr>
            <w:r>
              <w:rPr>
                <w:sz w:val="20"/>
              </w:rPr>
              <w:t xml:space="preserve">Объемы финансирования подпрограммы</w:t>
            </w:r>
          </w:p>
        </w:tc>
        <w:tc>
          <w:tcPr>
            <w:tcW w:w="7143" w:type="dxa"/>
            <w:tcBorders>
              <w:bottom w:val="nil"/>
            </w:tcBorders>
          </w:tcPr>
          <w:p>
            <w:pPr>
              <w:pStyle w:val="0"/>
            </w:pPr>
            <w:r>
              <w:rPr>
                <w:sz w:val="20"/>
              </w:rPr>
              <w:t xml:space="preserve">Общий объем ассигнований на реализацию подпрограммы составляет 14 649,7 тыс. руб.,</w:t>
            </w:r>
          </w:p>
          <w:p>
            <w:pPr>
              <w:pStyle w:val="0"/>
            </w:pPr>
            <w:r>
              <w:rPr>
                <w:sz w:val="20"/>
              </w:rPr>
              <w:t xml:space="preserve">в том числе по годам:</w:t>
            </w:r>
          </w:p>
          <w:p>
            <w:pPr>
              <w:pStyle w:val="0"/>
            </w:pPr>
            <w:r>
              <w:rPr>
                <w:sz w:val="20"/>
              </w:rPr>
              <w:t xml:space="preserve">2015 год - 0,0 тыс. руб.;</w:t>
            </w:r>
          </w:p>
          <w:p>
            <w:pPr>
              <w:pStyle w:val="0"/>
            </w:pPr>
            <w:r>
              <w:rPr>
                <w:sz w:val="20"/>
              </w:rPr>
              <w:t xml:space="preserve">2016 год - 0,0 тыс. руб.;</w:t>
            </w:r>
          </w:p>
          <w:p>
            <w:pPr>
              <w:pStyle w:val="0"/>
            </w:pPr>
            <w:r>
              <w:rPr>
                <w:sz w:val="20"/>
              </w:rPr>
              <w:t xml:space="preserve">2017 год - 5 000,0 тыс. руб.;</w:t>
            </w:r>
          </w:p>
          <w:p>
            <w:pPr>
              <w:pStyle w:val="0"/>
            </w:pPr>
            <w:r>
              <w:rPr>
                <w:sz w:val="20"/>
              </w:rPr>
              <w:t xml:space="preserve">2018 год - 3 800,0 тыс. руб.;</w:t>
            </w:r>
          </w:p>
          <w:p>
            <w:pPr>
              <w:pStyle w:val="0"/>
            </w:pPr>
            <w:r>
              <w:rPr>
                <w:sz w:val="20"/>
              </w:rPr>
              <w:t xml:space="preserve">2019 год - 3 200,0 тыс. руб.;</w:t>
            </w:r>
          </w:p>
          <w:p>
            <w:pPr>
              <w:pStyle w:val="0"/>
            </w:pPr>
            <w:r>
              <w:rPr>
                <w:sz w:val="20"/>
              </w:rPr>
              <w:t xml:space="preserve">2020 год - 1 680,0 тыс. руб.;</w:t>
            </w:r>
          </w:p>
          <w:p>
            <w:pPr>
              <w:pStyle w:val="0"/>
            </w:pPr>
            <w:r>
              <w:rPr>
                <w:sz w:val="20"/>
              </w:rPr>
              <w:t xml:space="preserve">2021 год - 840,0 тыс. руб.;</w:t>
            </w:r>
          </w:p>
          <w:p>
            <w:pPr>
              <w:pStyle w:val="0"/>
            </w:pPr>
            <w:r>
              <w:rPr>
                <w:sz w:val="20"/>
              </w:rPr>
              <w:t xml:space="preserve">2022 год - 129,7 тыс. руб.;</w:t>
            </w:r>
          </w:p>
          <w:p>
            <w:pPr>
              <w:pStyle w:val="0"/>
            </w:pPr>
            <w:r>
              <w:rPr>
                <w:sz w:val="20"/>
              </w:rPr>
              <w:t xml:space="preserve">2023 год - 0,0 тыс. руб.;</w:t>
            </w:r>
          </w:p>
          <w:p>
            <w:pPr>
              <w:pStyle w:val="0"/>
            </w:pPr>
            <w:r>
              <w:rPr>
                <w:sz w:val="20"/>
              </w:rPr>
              <w:t xml:space="preserve">2024 год - 0,0 тыс. руб.;</w:t>
            </w:r>
          </w:p>
          <w:p>
            <w:pPr>
              <w:pStyle w:val="0"/>
            </w:pPr>
            <w:r>
              <w:rPr>
                <w:sz w:val="20"/>
              </w:rPr>
              <w:t xml:space="preserve">2025 год - 0,0 тыс. руб.</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04"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tc>
      </w:tr>
      <w:tr>
        <w:tblPrEx>
          <w:tblBorders>
            <w:insideH w:val="nil"/>
          </w:tblBorders>
        </w:tblPrEx>
        <w:tc>
          <w:tcPr>
            <w:tcW w:w="1928" w:type="dxa"/>
            <w:tcBorders>
              <w:bottom w:val="nil"/>
            </w:tcBorders>
          </w:tcPr>
          <w:p>
            <w:pPr>
              <w:pStyle w:val="0"/>
              <w:jc w:val="both"/>
            </w:pPr>
            <w:r>
              <w:rPr>
                <w:sz w:val="20"/>
              </w:rPr>
              <w:t xml:space="preserve">Основные целевые индикаторы подпрограммы</w:t>
            </w:r>
          </w:p>
        </w:tc>
        <w:tc>
          <w:tcPr>
            <w:tcW w:w="7143" w:type="dxa"/>
            <w:tcBorders>
              <w:bottom w:val="nil"/>
            </w:tcBorders>
          </w:tcPr>
          <w:p>
            <w:pPr>
              <w:pStyle w:val="0"/>
              <w:jc w:val="both"/>
            </w:pPr>
            <w:r>
              <w:rPr>
                <w:sz w:val="20"/>
              </w:rPr>
              <w:t xml:space="preserve">Площадь земельных участков, планируемых для целей строительства наемного жилья коммерческого или социального использования;</w:t>
            </w:r>
          </w:p>
          <w:p>
            <w:pPr>
              <w:pStyle w:val="0"/>
              <w:jc w:val="both"/>
            </w:pPr>
            <w:r>
              <w:rPr>
                <w:sz w:val="20"/>
              </w:rPr>
              <w:t xml:space="preserve">общая площадь построенного наемного жилья социального использования;</w:t>
            </w:r>
          </w:p>
          <w:p>
            <w:pPr>
              <w:pStyle w:val="0"/>
              <w:jc w:val="both"/>
            </w:pPr>
            <w:r>
              <w:rPr>
                <w:sz w:val="20"/>
              </w:rPr>
              <w:t xml:space="preserve">общая площадь построенного наемного жилья коммерческого использования;</w:t>
            </w:r>
          </w:p>
          <w:p>
            <w:pPr>
              <w:pStyle w:val="0"/>
              <w:jc w:val="both"/>
            </w:pPr>
            <w:r>
              <w:rPr>
                <w:sz w:val="20"/>
              </w:rPr>
              <w:t xml:space="preserve">доля наемного жилья, предоставленного организациями, от общей площади жилищного фонда на территории Новосибирской области;</w:t>
            </w:r>
          </w:p>
          <w:p>
            <w:pPr>
              <w:pStyle w:val="0"/>
              <w:jc w:val="both"/>
            </w:pPr>
            <w:r>
              <w:rPr>
                <w:sz w:val="20"/>
              </w:rPr>
              <w:t xml:space="preserve">количество граждан, получивших государственную поддержку в рамках подпрограммы</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05"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02.06.2020 N 215-п)</w:t>
            </w:r>
          </w:p>
        </w:tc>
      </w:tr>
      <w:tr>
        <w:tblPrEx>
          <w:tblBorders>
            <w:insideH w:val="nil"/>
          </w:tblBorders>
        </w:tblPrEx>
        <w:tc>
          <w:tcPr>
            <w:tcW w:w="1928" w:type="dxa"/>
            <w:tcBorders>
              <w:bottom w:val="nil"/>
            </w:tcBorders>
          </w:tcPr>
          <w:p>
            <w:pPr>
              <w:pStyle w:val="0"/>
              <w:jc w:val="both"/>
            </w:pPr>
            <w:r>
              <w:rPr>
                <w:sz w:val="20"/>
              </w:rPr>
              <w:t xml:space="preserve">Ожидаемые результаты реализации подпрограммы, выраженные в количественно измеримых показателях</w:t>
            </w:r>
          </w:p>
        </w:tc>
        <w:tc>
          <w:tcPr>
            <w:tcW w:w="7143" w:type="dxa"/>
            <w:tcBorders>
              <w:bottom w:val="nil"/>
            </w:tcBorders>
          </w:tcPr>
          <w:p>
            <w:pPr>
              <w:pStyle w:val="0"/>
              <w:jc w:val="both"/>
            </w:pPr>
            <w:r>
              <w:rPr>
                <w:sz w:val="20"/>
              </w:rPr>
              <w:t xml:space="preserve">За счет реализации подпрограммы планируется:</w:t>
            </w:r>
          </w:p>
          <w:p>
            <w:pPr>
              <w:pStyle w:val="0"/>
              <w:jc w:val="both"/>
            </w:pPr>
            <w:r>
              <w:rPr>
                <w:sz w:val="20"/>
              </w:rPr>
              <w:t xml:space="preserve">формирование земельных участков площадью 19,0 га в целях строительства наемного жилья коммерческого или социального использования;</w:t>
            </w:r>
          </w:p>
          <w:p>
            <w:pPr>
              <w:pStyle w:val="0"/>
              <w:jc w:val="both"/>
            </w:pPr>
            <w:r>
              <w:rPr>
                <w:sz w:val="20"/>
              </w:rPr>
              <w:t xml:space="preserve">создание до 14,0 тыс. кв. м общей площади наемного жилья, в том числе:</w:t>
            </w:r>
          </w:p>
          <w:p>
            <w:pPr>
              <w:pStyle w:val="0"/>
              <w:jc w:val="both"/>
            </w:pPr>
            <w:r>
              <w:rPr>
                <w:sz w:val="20"/>
              </w:rPr>
              <w:t xml:space="preserve">до 6,8 тыс. кв. м общей площади наемного жилья социального использования;</w:t>
            </w:r>
          </w:p>
          <w:p>
            <w:pPr>
              <w:pStyle w:val="0"/>
              <w:jc w:val="both"/>
            </w:pPr>
            <w:r>
              <w:rPr>
                <w:sz w:val="20"/>
              </w:rPr>
              <w:t xml:space="preserve">до 7,2 тыс. кв. м общей площади наемного жилья коммерческого использования;</w:t>
            </w:r>
          </w:p>
          <w:p>
            <w:pPr>
              <w:pStyle w:val="0"/>
              <w:jc w:val="both"/>
            </w:pPr>
            <w:r>
              <w:rPr>
                <w:sz w:val="20"/>
              </w:rPr>
              <w:t xml:space="preserve">увеличение доли наемного жилья, предоставленного организациями, от общей площади жилищного фонда на территории Новосибирской области;</w:t>
            </w:r>
          </w:p>
          <w:p>
            <w:pPr>
              <w:pStyle w:val="0"/>
              <w:jc w:val="both"/>
            </w:pPr>
            <w:r>
              <w:rPr>
                <w:sz w:val="20"/>
              </w:rPr>
              <w:t xml:space="preserve">ежегодное предоставление гражданам субсидии на компенсацию части платежей по договорам коммерческого найма жилых помещений</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806"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02.06.2020 N 215-п)</w:t>
            </w:r>
          </w:p>
        </w:tc>
      </w:tr>
    </w:tbl>
    <w:p>
      <w:pPr>
        <w:pStyle w:val="0"/>
        <w:ind w:firstLine="540"/>
        <w:jc w:val="both"/>
      </w:pPr>
      <w:r>
        <w:rPr>
          <w:sz w:val="20"/>
        </w:rPr>
      </w:r>
    </w:p>
    <w:p>
      <w:pPr>
        <w:pStyle w:val="2"/>
        <w:outlineLvl w:val="2"/>
        <w:jc w:val="center"/>
      </w:pPr>
      <w:r>
        <w:rPr>
          <w:sz w:val="20"/>
        </w:rPr>
        <w:t xml:space="preserve">II.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807"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2"/>
        <w:outlineLvl w:val="2"/>
        <w:jc w:val="center"/>
      </w:pPr>
      <w:r>
        <w:rPr>
          <w:sz w:val="20"/>
        </w:rPr>
        <w:t xml:space="preserve">III.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Утратил силу. - </w:t>
      </w:r>
      <w:hyperlink w:history="0" r:id="rId808"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2"/>
        <w:outlineLvl w:val="2"/>
        <w:jc w:val="center"/>
      </w:pPr>
      <w:r>
        <w:rPr>
          <w:sz w:val="20"/>
        </w:rPr>
        <w:t xml:space="preserve">IV. Характеристика мероприятий подпрограммы</w:t>
      </w:r>
    </w:p>
    <w:p>
      <w:pPr>
        <w:pStyle w:val="0"/>
        <w:ind w:firstLine="540"/>
        <w:jc w:val="both"/>
      </w:pPr>
      <w:r>
        <w:rPr>
          <w:sz w:val="20"/>
        </w:rPr>
      </w:r>
    </w:p>
    <w:p>
      <w:pPr>
        <w:pStyle w:val="0"/>
        <w:ind w:firstLine="540"/>
        <w:jc w:val="both"/>
      </w:pPr>
      <w:r>
        <w:rPr>
          <w:sz w:val="20"/>
        </w:rPr>
        <w:t xml:space="preserve">В рамках подпрограммы реализуются мероприятия, способствующие созданию наемного жилищного фонда коммерческого использования, наемного жилищного фонда социального использования, а также мероприятия по оказанию государственной поддержки отдельным категориям граждан на оплату по договорам найма жилых помещений.</w:t>
      </w:r>
    </w:p>
    <w:p>
      <w:pPr>
        <w:pStyle w:val="0"/>
        <w:spacing w:before="200" w:line-rule="auto"/>
        <w:ind w:firstLine="540"/>
        <w:jc w:val="both"/>
      </w:pPr>
      <w:r>
        <w:rPr>
          <w:sz w:val="20"/>
        </w:rPr>
        <w:t xml:space="preserve">Решение задачи по созданию условий для строительства наемного жилья социального и коммерческого использования обеспечивается за счет:</w:t>
      </w:r>
    </w:p>
    <w:p>
      <w:pPr>
        <w:pStyle w:val="0"/>
        <w:jc w:val="both"/>
      </w:pPr>
      <w:r>
        <w:rPr>
          <w:sz w:val="20"/>
        </w:rPr>
        <w:t xml:space="preserve">(в ред. </w:t>
      </w:r>
      <w:hyperlink w:history="0" r:id="rId809"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1. Определения потребности в жилье социального и коммерческого использования.</w:t>
      </w:r>
    </w:p>
    <w:p>
      <w:pPr>
        <w:pStyle w:val="0"/>
        <w:jc w:val="both"/>
      </w:pPr>
      <w:r>
        <w:rPr>
          <w:sz w:val="20"/>
        </w:rPr>
        <w:t xml:space="preserve">(в ред. </w:t>
      </w:r>
      <w:hyperlink w:history="0" r:id="rId81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Реализацию данного мероприятия планируется осуществить путем проведения мониторинга муниципальных образований Новосибирской области по изучению спроса среди населения на жилье социального и коммерческого использования.</w:t>
      </w:r>
    </w:p>
    <w:p>
      <w:pPr>
        <w:pStyle w:val="0"/>
        <w:spacing w:before="200" w:line-rule="auto"/>
        <w:ind w:firstLine="540"/>
        <w:jc w:val="both"/>
      </w:pPr>
      <w:r>
        <w:rPr>
          <w:sz w:val="20"/>
        </w:rPr>
        <w:t xml:space="preserve">Проведение мониторинга среди муниципальных образований Новосибирской области позволит сформировать управленческие решения по созданию жилья социального и коммерческого использования.</w:t>
      </w:r>
    </w:p>
    <w:p>
      <w:pPr>
        <w:pStyle w:val="0"/>
        <w:spacing w:before="200" w:line-rule="auto"/>
        <w:ind w:firstLine="540"/>
        <w:jc w:val="both"/>
      </w:pPr>
      <w:r>
        <w:rPr>
          <w:sz w:val="20"/>
        </w:rPr>
        <w:t xml:space="preserve">2. Определения территорий для строительства наемного жилья социального и коммерческого использования.</w:t>
      </w:r>
    </w:p>
    <w:p>
      <w:pPr>
        <w:pStyle w:val="0"/>
        <w:jc w:val="both"/>
      </w:pPr>
      <w:r>
        <w:rPr>
          <w:sz w:val="20"/>
        </w:rPr>
        <w:t xml:space="preserve">(в ред. </w:t>
      </w:r>
      <w:hyperlink w:history="0" r:id="rId811"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Реализацию данного мероприятия планируется осуществить путем мониторинга территорий муниципальных образований Новосибирской области по определению наиболее эффективных земельных участков под строительство наемного жилья на территории Новосибирской области.</w:t>
      </w:r>
    </w:p>
    <w:p>
      <w:pPr>
        <w:pStyle w:val="0"/>
        <w:spacing w:before="200" w:line-rule="auto"/>
        <w:ind w:firstLine="540"/>
        <w:jc w:val="both"/>
      </w:pPr>
      <w:r>
        <w:rPr>
          <w:sz w:val="20"/>
        </w:rPr>
        <w:t xml:space="preserve">Данное мероприятие позволит подготовить земельные участки для проведения аукционов на право заключения договора об освоении территории в целях строительства и эксплуатации строительства наемного жилья социального и коммерческого использования в муниципальных образованиях.</w:t>
      </w:r>
    </w:p>
    <w:p>
      <w:pPr>
        <w:pStyle w:val="0"/>
        <w:spacing w:before="200" w:line-rule="auto"/>
        <w:ind w:firstLine="540"/>
        <w:jc w:val="both"/>
      </w:pPr>
      <w:r>
        <w:rPr>
          <w:sz w:val="20"/>
        </w:rPr>
        <w:t xml:space="preserve">3. Стимулирования строительства наемного жилья социального и коммерческого использования.</w:t>
      </w:r>
    </w:p>
    <w:p>
      <w:pPr>
        <w:pStyle w:val="0"/>
        <w:jc w:val="both"/>
      </w:pPr>
      <w:r>
        <w:rPr>
          <w:sz w:val="20"/>
        </w:rPr>
        <w:t xml:space="preserve">(в ред. </w:t>
      </w:r>
      <w:hyperlink w:history="0" r:id="rId812"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Реализацию данного мероприятия планируется осуществлять путем предоставления налоговых льгот организациям, осуществляющим строительство наемного жилья в соответствии с </w:t>
      </w:r>
      <w:hyperlink w:history="0" r:id="rId813" w:tooltip="Закон Новосибирской области от 16.10.2003 N 142-ОЗ (ред. от 21.12.2022) &quot;О налогах и особенностях налогообложения отдельных категорий налогоплательщиков в Новосибирской области&quot; (принят постановлением Новосибирского областного Совета депутатов от 02.10.2003 N 142-ОСД) (с изм. и доп., вступающими в силу с 11.01.2023) {КонсультантПлюс}">
        <w:r>
          <w:rPr>
            <w:sz w:val="20"/>
            <w:color w:val="0000ff"/>
          </w:rPr>
          <w:t xml:space="preserve">Законом</w:t>
        </w:r>
      </w:hyperlink>
      <w:r>
        <w:rPr>
          <w:sz w:val="20"/>
        </w:rP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(далее - закон).</w:t>
      </w:r>
    </w:p>
    <w:p>
      <w:pPr>
        <w:pStyle w:val="0"/>
        <w:spacing w:before="200" w:line-rule="auto"/>
        <w:ind w:firstLine="540"/>
        <w:jc w:val="both"/>
      </w:pPr>
      <w:hyperlink w:history="0" r:id="rId814" w:tooltip="Закон Новосибирской области от 16.10.2003 N 142-ОЗ (ред. от 21.12.2022) &quot;О налогах и особенностях налогообложения отдельных категорий налогоплательщиков в Новосибирской области&quot; (принят постановлением Новосибирского областного Совета депутатов от 02.10.2003 N 142-ОСД) (с изм. и доп., вступающими в силу с 11.01.2023) {КонсультантПлюс}">
        <w:r>
          <w:rPr>
            <w:sz w:val="20"/>
            <w:color w:val="0000ff"/>
          </w:rPr>
          <w:t xml:space="preserve">Закон</w:t>
        </w:r>
      </w:hyperlink>
      <w:r>
        <w:rPr>
          <w:sz w:val="20"/>
        </w:rPr>
        <w:t xml:space="preserve"> предусматривает налоговые льготы по налогу на имущество для организаций в отношении жилых помещений, общей площадью не менее 2300 квадратных метров в многоквартирном доме, используемых в отчетном (налоговом) периоде для предоставления нанимателям и (или) наймодателям по договорам найма жилого помещения.</w:t>
      </w:r>
    </w:p>
    <w:p>
      <w:pPr>
        <w:pStyle w:val="0"/>
        <w:spacing w:before="200" w:line-rule="auto"/>
        <w:ind w:firstLine="540"/>
        <w:jc w:val="both"/>
      </w:pPr>
      <w:r>
        <w:rPr>
          <w:sz w:val="20"/>
        </w:rPr>
        <w:t xml:space="preserve">Предоставление данной налоговой льготы позволит:</w:t>
      </w:r>
    </w:p>
    <w:p>
      <w:pPr>
        <w:pStyle w:val="0"/>
        <w:spacing w:before="200" w:line-rule="auto"/>
        <w:ind w:firstLine="540"/>
        <w:jc w:val="both"/>
      </w:pPr>
      <w:r>
        <w:rPr>
          <w:sz w:val="20"/>
        </w:rPr>
        <w:t xml:space="preserve">ускорить темпы формирования в Новосибирской области фонда арендного жилья;</w:t>
      </w:r>
    </w:p>
    <w:p>
      <w:pPr>
        <w:pStyle w:val="0"/>
        <w:spacing w:before="200" w:line-rule="auto"/>
        <w:ind w:firstLine="540"/>
        <w:jc w:val="both"/>
      </w:pPr>
      <w:r>
        <w:rPr>
          <w:sz w:val="20"/>
        </w:rPr>
        <w:t xml:space="preserve">увеличить доступность найма жилья;</w:t>
      </w:r>
    </w:p>
    <w:p>
      <w:pPr>
        <w:pStyle w:val="0"/>
        <w:spacing w:before="200" w:line-rule="auto"/>
        <w:ind w:firstLine="540"/>
        <w:jc w:val="both"/>
      </w:pPr>
      <w:r>
        <w:rPr>
          <w:sz w:val="20"/>
        </w:rPr>
        <w:t xml:space="preserve">вывести аренду жилья из теневого сектора экономики;</w:t>
      </w:r>
    </w:p>
    <w:p>
      <w:pPr>
        <w:pStyle w:val="0"/>
        <w:spacing w:before="200" w:line-rule="auto"/>
        <w:ind w:firstLine="540"/>
        <w:jc w:val="both"/>
      </w:pPr>
      <w:r>
        <w:rPr>
          <w:sz w:val="20"/>
        </w:rPr>
        <w:t xml:space="preserve">понизить стоимость арендного жилья за счет повышения рентабельности инвестиционных проектов.</w:t>
      </w:r>
    </w:p>
    <w:p>
      <w:pPr>
        <w:pStyle w:val="0"/>
        <w:spacing w:before="200" w:line-rule="auto"/>
        <w:ind w:firstLine="540"/>
        <w:jc w:val="both"/>
      </w:pPr>
      <w:r>
        <w:rPr>
          <w:sz w:val="20"/>
        </w:rPr>
        <w:t xml:space="preserve">Процесс вхождения организаций-застройщиков в проекты создания наемного жилья социального и коммерческого использования в начальной стадии. В этой связи первые результаты по созданию наемного жилья социального и коммерческого использования ожидаются в 2019 году.</w:t>
      </w:r>
    </w:p>
    <w:p>
      <w:pPr>
        <w:pStyle w:val="0"/>
        <w:spacing w:before="200" w:line-rule="auto"/>
        <w:ind w:firstLine="540"/>
        <w:jc w:val="both"/>
      </w:pPr>
      <w:r>
        <w:rPr>
          <w:sz w:val="20"/>
        </w:rPr>
        <w:t xml:space="preserve">Для использования построенного наемного жилья и регулирования отношений по найму жилых помещений жилищного фонда в Новосибирской области подготовлена нормативно-правовая база, необходимая для развития рынка доступного арендного жилья и некоммерческого жилищного фонда в Новосибирской области.</w:t>
      </w:r>
    </w:p>
    <w:p>
      <w:pPr>
        <w:pStyle w:val="0"/>
        <w:spacing w:before="200" w:line-rule="auto"/>
        <w:ind w:firstLine="540"/>
        <w:jc w:val="both"/>
      </w:pPr>
      <w:r>
        <w:rPr>
          <w:sz w:val="20"/>
        </w:rPr>
        <w:t xml:space="preserve">В частности, Правительством Новосибирской области принято </w:t>
      </w:r>
      <w:hyperlink w:history="0" r:id="rId815" w:tooltip="Постановление Правительства Новосибирской области от 15.10.2015 N 376-п &quot;Об утверждении Порядка установления, изменения и ежегодной индексации максимального размера платы за наем жилых помещений по договорам найма жилых помещений жилищного фонда социального использования в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15.10.2015 N 376-п "Об утверждении Порядка установления, изменения и ежегодной индексации максимального размера платы за наем жилых помещений по договорам найма жилых помещений жилищного фонда социального использования в Новосибирской области".</w:t>
      </w:r>
    </w:p>
    <w:p>
      <w:pPr>
        <w:pStyle w:val="0"/>
        <w:spacing w:before="200" w:line-rule="auto"/>
        <w:ind w:firstLine="540"/>
        <w:jc w:val="both"/>
      </w:pPr>
      <w:r>
        <w:rPr>
          <w:sz w:val="20"/>
        </w:rPr>
        <w:t xml:space="preserve">Принято </w:t>
      </w:r>
      <w:hyperlink w:history="0" r:id="rId816" w:tooltip="Постановление Правительства Новосибирской области от 21.06.2016 N 169-п &quot;О Порядке учета расположенных на территории Новосибирской области наемных домов социального использования и земельных участков, предоставленных или предназначенных для их строительства&quot; {КонсультантПлюс}">
        <w:r>
          <w:rPr>
            <w:sz w:val="20"/>
            <w:color w:val="0000ff"/>
          </w:rPr>
          <w:t xml:space="preserve">постановление</w:t>
        </w:r>
      </w:hyperlink>
      <w:r>
        <w:rPr>
          <w:sz w:val="20"/>
        </w:rPr>
        <w:t xml:space="preserve"> Правительства Новосибирской области от 21.06.2016 N 169-п "О порядке учета расположенных на территории Новосибирской области наемных домов социального использования и земельных участков, предоставленных или предназначенных для их строительства".</w:t>
      </w:r>
    </w:p>
    <w:p>
      <w:pPr>
        <w:pStyle w:val="0"/>
        <w:spacing w:before="200" w:line-rule="auto"/>
        <w:ind w:firstLine="540"/>
        <w:jc w:val="both"/>
      </w:pPr>
      <w:r>
        <w:rPr>
          <w:sz w:val="20"/>
        </w:rPr>
        <w:t xml:space="preserve">Сессией Законодательного Собрания Новосибирской области утвержден </w:t>
      </w:r>
      <w:hyperlink w:history="0" r:id="rId817" w:tooltip="Закон Новосибирской области от 29.06.2016 N 84-ОЗ (ред. от 22.12.2020) &quot;Об отдельных вопросах регулирования отношений по предоставлению жилых помещений по договорам найма жилых помещений жилищного фонда социального использования на территории Новосибирской области&quot; (принят постановлением Законодательного Собрания Новосибирской области от 23.06.2016 N 84-ЗС) {КонсультантПлюс}">
        <w:r>
          <w:rPr>
            <w:sz w:val="20"/>
            <w:color w:val="0000ff"/>
          </w:rPr>
          <w:t xml:space="preserve">Закон</w:t>
        </w:r>
      </w:hyperlink>
      <w:r>
        <w:rPr>
          <w:sz w:val="20"/>
        </w:rPr>
        <w:t xml:space="preserve"> Новосибирской области от 29.06.2016 N 84-ОЗ "Об отдельных вопросах регулирования отношений по предоставлению жилых помещений по договорам найма жилых помещений жилищного фонда социального использования на территории Новосибирской области".</w:t>
      </w:r>
    </w:p>
    <w:p>
      <w:pPr>
        <w:pStyle w:val="0"/>
        <w:spacing w:before="200" w:line-rule="auto"/>
        <w:ind w:firstLine="540"/>
        <w:jc w:val="both"/>
      </w:pPr>
      <w:r>
        <w:rPr>
          <w:sz w:val="20"/>
        </w:rPr>
        <w:t xml:space="preserve">Решение задачи по созданию условий для обеспечения граждан отдельных категорий жильем по договорам коммерческого найма обеспечивается выполнением мероприятия по предоставлению отдельным категориям граждан субсидий на компенсацию части платежей по договорам коммерческого найма.</w:t>
      </w:r>
    </w:p>
    <w:p>
      <w:pPr>
        <w:pStyle w:val="0"/>
        <w:spacing w:before="200" w:line-rule="auto"/>
        <w:ind w:firstLine="540"/>
        <w:jc w:val="both"/>
      </w:pPr>
      <w:r>
        <w:rPr>
          <w:sz w:val="20"/>
        </w:rPr>
        <w:t xml:space="preserve">С одной стороны, это позволит стимулировать спрос на жилье коммерческого найма, а с другой - обеспечить комфортными условиями проживания граждан, поддержка которых является приоритетом государственной политики (работники государственных учреждений, молодые специалисты компаний - резидентов парковых зон Новосибирской области и т.д.). Кроме того, это позволит повысить привлекательность Новосибирской области на рынке межрегиональной трудовой миграции высококвалифицированных кадров.</w:t>
      </w:r>
    </w:p>
    <w:p>
      <w:pPr>
        <w:pStyle w:val="0"/>
        <w:spacing w:before="200" w:line-rule="auto"/>
        <w:ind w:firstLine="540"/>
        <w:jc w:val="both"/>
      </w:pPr>
      <w:r>
        <w:rPr>
          <w:sz w:val="20"/>
        </w:rPr>
        <w:t xml:space="preserve">Условия, порядок, размер предоставления государственной поддержки отдельным категориям граждан, являющихся нанимателями по договорам коммерческого найма жилых помещений, установлены </w:t>
      </w:r>
      <w:hyperlink w:history="0" r:id="rId818" w:tooltip="Постановление Правительства Новосибирской области от 30.07.2012 N 366-п (ред. от 27.12.2016) &quot;О государственной поддержке отдельных категорий граждан, являющихся нанимателями по договорам коммерческого найма жилых помещений&quot; ------------ Утратил силу или отменен {КонсультантПлюс}">
        <w:r>
          <w:rPr>
            <w:sz w:val="20"/>
            <w:color w:val="0000ff"/>
          </w:rPr>
          <w:t xml:space="preserve">постановлением</w:t>
        </w:r>
      </w:hyperlink>
      <w:r>
        <w:rPr>
          <w:sz w:val="20"/>
        </w:rPr>
        <w:t xml:space="preserve"> Правительства Новосибирской области от 30.07.2012 N 366-п "О государственной поддержке отдельных категорий граждан, являющихся нанимателями по договорам коммерческого найма жилых помещений" и </w:t>
      </w:r>
      <w:hyperlink w:history="0" r:id="rId819" w:tooltip="Распоряжение Правительства Новосибирской области от 09.04.2013 N 160-рп (ред. от 24.07.2017) &quot;О мерах по содействию реализации инвестиционных проектов в сфере здравоохранения в рамках Стратегии социально-экономического развития Сибири до 2020 года&quot; (вместе с &quot;Положением о предоставлении субсидий сотрудникам учреждений в сфере здравоохранения, созданных на территории Новосибирской области в рамках инвестиционных проектов, указанных в разделе V Стратегии социально-экономического развития Сибири до 2020 года,  ------------ Утратил силу или отменен {КонсультантПлюс}">
        <w:r>
          <w:rPr>
            <w:sz w:val="20"/>
            <w:color w:val="0000ff"/>
          </w:rPr>
          <w:t xml:space="preserve">распоряжением</w:t>
        </w:r>
      </w:hyperlink>
      <w:r>
        <w:rPr>
          <w:sz w:val="20"/>
        </w:rPr>
        <w:t xml:space="preserve"> Правительства Новосибирской области от 09.04.2013 N 160-рп "О мерах по содействию реализации инвестиционных проектов в сфере здравоохранения в рамках Стратегии социально-экономического развития Сибири до 2020 года".</w:t>
      </w:r>
    </w:p>
    <w:p>
      <w:pPr>
        <w:pStyle w:val="0"/>
        <w:ind w:firstLine="540"/>
        <w:jc w:val="both"/>
      </w:pPr>
      <w:r>
        <w:rPr>
          <w:sz w:val="20"/>
        </w:rPr>
      </w:r>
    </w:p>
    <w:p>
      <w:pPr>
        <w:pStyle w:val="2"/>
        <w:outlineLvl w:val="2"/>
        <w:jc w:val="center"/>
      </w:pPr>
      <w:r>
        <w:rPr>
          <w:sz w:val="20"/>
        </w:rPr>
        <w:t xml:space="preserve">V. Ожидаемые и конечные результаты</w:t>
      </w:r>
    </w:p>
    <w:p>
      <w:pPr>
        <w:pStyle w:val="0"/>
        <w:ind w:firstLine="540"/>
        <w:jc w:val="both"/>
      </w:pPr>
      <w:r>
        <w:rPr>
          <w:sz w:val="20"/>
        </w:rPr>
      </w:r>
    </w:p>
    <w:p>
      <w:pPr>
        <w:pStyle w:val="0"/>
        <w:ind w:firstLine="540"/>
        <w:jc w:val="both"/>
      </w:pPr>
      <w:r>
        <w:rPr>
          <w:sz w:val="20"/>
        </w:rPr>
        <w:t xml:space="preserve">Утратил силу. - </w:t>
      </w:r>
      <w:hyperlink w:history="0" r:id="rId820"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21.03.2023 N 100-п.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p>
      <w:pPr>
        <w:pStyle w:val="2"/>
        <w:jc w:val="center"/>
      </w:pPr>
      <w:r>
        <w:rPr>
          <w:sz w:val="20"/>
        </w:rPr>
        <w:t xml:space="preserve">Методики</w:t>
      </w:r>
    </w:p>
    <w:p>
      <w:pPr>
        <w:pStyle w:val="2"/>
        <w:jc w:val="center"/>
      </w:pPr>
      <w:r>
        <w:rPr>
          <w:sz w:val="20"/>
        </w:rPr>
        <w:t xml:space="preserve">расчета размеров субсидий из областного бюджета</w:t>
      </w:r>
    </w:p>
    <w:p>
      <w:pPr>
        <w:pStyle w:val="2"/>
        <w:jc w:val="center"/>
      </w:pPr>
      <w:r>
        <w:rPr>
          <w:sz w:val="20"/>
        </w:rPr>
        <w:t xml:space="preserve">Новосибирской области, предоставляемых бюджетам</w:t>
      </w:r>
    </w:p>
    <w:p>
      <w:pPr>
        <w:pStyle w:val="2"/>
        <w:jc w:val="center"/>
      </w:pPr>
      <w:r>
        <w:rPr>
          <w:sz w:val="20"/>
        </w:rPr>
        <w:t xml:space="preserve">муниципальных образований Новосибирской области на</w:t>
      </w:r>
    </w:p>
    <w:p>
      <w:pPr>
        <w:pStyle w:val="2"/>
        <w:jc w:val="center"/>
      </w:pPr>
      <w:r>
        <w:rPr>
          <w:sz w:val="20"/>
        </w:rPr>
        <w:t xml:space="preserve">реализацию подпрограмм государственной программы</w:t>
      </w:r>
    </w:p>
    <w:p>
      <w:pPr>
        <w:pStyle w:val="2"/>
        <w:jc w:val="center"/>
      </w:pPr>
      <w:r>
        <w:rPr>
          <w:sz w:val="20"/>
        </w:rPr>
        <w:t xml:space="preserve">Новосибирской области "Стимулирование развития жилищного</w:t>
      </w:r>
    </w:p>
    <w:p>
      <w:pPr>
        <w:pStyle w:val="2"/>
        <w:jc w:val="center"/>
      </w:pPr>
      <w:r>
        <w:rPr>
          <w:sz w:val="20"/>
        </w:rPr>
        <w:t xml:space="preserve">строительства в Новосибирской области"</w:t>
      </w:r>
    </w:p>
    <w:p>
      <w:pPr>
        <w:pStyle w:val="0"/>
        <w:ind w:firstLine="540"/>
        <w:jc w:val="both"/>
      </w:pPr>
      <w:r>
        <w:rPr>
          <w:sz w:val="20"/>
        </w:rPr>
      </w:r>
    </w:p>
    <w:p>
      <w:pPr>
        <w:pStyle w:val="0"/>
        <w:ind w:firstLine="540"/>
        <w:jc w:val="both"/>
      </w:pPr>
      <w:r>
        <w:rPr>
          <w:sz w:val="20"/>
        </w:rPr>
        <w:t xml:space="preserve">Утратили силу. - </w:t>
      </w:r>
      <w:hyperlink w:history="0" r:id="rId821"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29.09.2020 N 411-п.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12</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7253" w:name="P7253"/>
    <w:bookmarkEnd w:id="7253"/>
    <w:p>
      <w:pPr>
        <w:pStyle w:val="2"/>
        <w:jc w:val="center"/>
      </w:pPr>
      <w:r>
        <w:rPr>
          <w:sz w:val="20"/>
        </w:rPr>
        <w:t xml:space="preserve">СЕТЕВОЙ ГРАФИК</w:t>
      </w:r>
    </w:p>
    <w:p>
      <w:pPr>
        <w:pStyle w:val="2"/>
        <w:jc w:val="center"/>
      </w:pPr>
      <w:r>
        <w:rPr>
          <w:sz w:val="20"/>
        </w:rPr>
        <w:t xml:space="preserve">реализации основных мероприятий освоения земельных участков</w:t>
      </w:r>
    </w:p>
    <w:p>
      <w:pPr>
        <w:pStyle w:val="2"/>
        <w:jc w:val="center"/>
      </w:pPr>
      <w:r>
        <w:rPr>
          <w:sz w:val="20"/>
        </w:rPr>
        <w:t xml:space="preserve">комплексного жилищного 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15.03.2022 </w:t>
            </w:r>
            <w:hyperlink w:history="0" r:id="rId822"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 от 29.12.2022 </w:t>
            </w:r>
            <w:hyperlink w:history="0" r:id="rId823"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11"/>
        <w:gridCol w:w="907"/>
        <w:gridCol w:w="907"/>
        <w:gridCol w:w="832"/>
        <w:gridCol w:w="832"/>
        <w:gridCol w:w="832"/>
        <w:gridCol w:w="832"/>
        <w:gridCol w:w="835"/>
        <w:gridCol w:w="737"/>
        <w:gridCol w:w="1134"/>
        <w:gridCol w:w="992"/>
        <w:gridCol w:w="996"/>
        <w:gridCol w:w="856"/>
        <w:gridCol w:w="856"/>
        <w:gridCol w:w="856"/>
        <w:gridCol w:w="1117"/>
        <w:gridCol w:w="763"/>
      </w:tblGrid>
      <w:tr>
        <w:tc>
          <w:tcPr>
            <w:tcW w:w="567" w:type="dxa"/>
            <w:vMerge w:val="restart"/>
          </w:tcPr>
          <w:p>
            <w:pPr>
              <w:pStyle w:val="0"/>
              <w:jc w:val="center"/>
            </w:pPr>
            <w:r>
              <w:rPr>
                <w:sz w:val="20"/>
              </w:rPr>
              <w:t xml:space="preserve">N п/п</w:t>
            </w:r>
          </w:p>
        </w:tc>
        <w:tc>
          <w:tcPr>
            <w:tcW w:w="2211" w:type="dxa"/>
            <w:vMerge w:val="restart"/>
          </w:tcPr>
          <w:p>
            <w:pPr>
              <w:pStyle w:val="0"/>
              <w:jc w:val="center"/>
            </w:pPr>
            <w:r>
              <w:rPr>
                <w:sz w:val="20"/>
              </w:rPr>
              <w:t xml:space="preserve">Месторасположение площадки комплексного жилищного строительства, наименование проекта</w:t>
            </w:r>
          </w:p>
        </w:tc>
        <w:tc>
          <w:tcPr>
            <w:tcW w:w="907" w:type="dxa"/>
            <w:vMerge w:val="restart"/>
          </w:tcPr>
          <w:p>
            <w:pPr>
              <w:pStyle w:val="0"/>
              <w:jc w:val="center"/>
            </w:pPr>
            <w:r>
              <w:rPr>
                <w:sz w:val="20"/>
              </w:rPr>
              <w:t xml:space="preserve">Площадь участка (га)</w:t>
            </w:r>
          </w:p>
        </w:tc>
        <w:tc>
          <w:tcPr>
            <w:gridSpan w:val="6"/>
            <w:tcW w:w="5070" w:type="dxa"/>
          </w:tcPr>
          <w:p>
            <w:pPr>
              <w:pStyle w:val="0"/>
              <w:jc w:val="center"/>
            </w:pPr>
            <w:r>
              <w:rPr>
                <w:sz w:val="20"/>
              </w:rPr>
              <w:t xml:space="preserve">Общая площадь жилищного строительства в границах участка, тыс. кв. м</w:t>
            </w:r>
          </w:p>
        </w:tc>
        <w:tc>
          <w:tcPr>
            <w:tcW w:w="737" w:type="dxa"/>
            <w:vMerge w:val="restart"/>
          </w:tcPr>
          <w:p>
            <w:pPr>
              <w:pStyle w:val="0"/>
              <w:jc w:val="center"/>
            </w:pPr>
            <w:r>
              <w:rPr>
                <w:sz w:val="20"/>
              </w:rPr>
              <w:t xml:space="preserve">Тип застройки (индивидуальное жилищное строительство, малоэтажная, многоэтажная)</w:t>
            </w:r>
          </w:p>
        </w:tc>
        <w:tc>
          <w:tcPr>
            <w:tcW w:w="1134" w:type="dxa"/>
            <w:vMerge w:val="restart"/>
          </w:tcPr>
          <w:p>
            <w:pPr>
              <w:pStyle w:val="0"/>
              <w:jc w:val="center"/>
            </w:pPr>
            <w:r>
              <w:rPr>
                <w:sz w:val="20"/>
              </w:rPr>
              <w:t xml:space="preserve">Наименование застройщиков</w:t>
            </w:r>
          </w:p>
        </w:tc>
        <w:tc>
          <w:tcPr>
            <w:gridSpan w:val="7"/>
            <w:tcW w:w="6436" w:type="dxa"/>
          </w:tcPr>
          <w:p>
            <w:pPr>
              <w:pStyle w:val="0"/>
              <w:jc w:val="center"/>
            </w:pPr>
            <w:r>
              <w:rPr>
                <w:sz w:val="20"/>
              </w:rPr>
              <w:t xml:space="preserve">График реализации мероприятий освоения земельных участков комплексного жилищного строительства, включая строительство объектов капитального строительства, инженерной, транспортной и социальной инфраструктуры (по годам)</w:t>
            </w:r>
          </w:p>
        </w:tc>
      </w:tr>
      <w:tr>
        <w:tc>
          <w:tcPr>
            <w:vMerge w:val="continue"/>
          </w:tcPr>
          <w:p/>
        </w:tc>
        <w:tc>
          <w:tcPr>
            <w:vMerge w:val="continue"/>
          </w:tcPr>
          <w:p/>
        </w:tc>
        <w:tc>
          <w:tcPr>
            <w:vMerge w:val="continue"/>
          </w:tcPr>
          <w:p/>
        </w:tc>
        <w:tc>
          <w:tcPr>
            <w:tcW w:w="907" w:type="dxa"/>
          </w:tcPr>
          <w:p>
            <w:pPr>
              <w:pStyle w:val="0"/>
              <w:jc w:val="center"/>
            </w:pPr>
            <w:r>
              <w:rPr>
                <w:sz w:val="20"/>
              </w:rPr>
              <w:t xml:space="preserve">емкость площадки</w:t>
            </w:r>
          </w:p>
        </w:tc>
        <w:tc>
          <w:tcPr>
            <w:tcW w:w="832" w:type="dxa"/>
          </w:tcPr>
          <w:p>
            <w:pPr>
              <w:pStyle w:val="0"/>
              <w:jc w:val="center"/>
            </w:pPr>
            <w:r>
              <w:rPr>
                <w:sz w:val="20"/>
              </w:rPr>
              <w:t xml:space="preserve">факт по состоянию на 01.01.2021</w:t>
            </w:r>
          </w:p>
        </w:tc>
        <w:tc>
          <w:tcPr>
            <w:tcW w:w="832" w:type="dxa"/>
          </w:tcPr>
          <w:p>
            <w:pPr>
              <w:pStyle w:val="0"/>
              <w:jc w:val="center"/>
            </w:pPr>
            <w:r>
              <w:rPr>
                <w:sz w:val="20"/>
              </w:rPr>
              <w:t xml:space="preserve">фактический ввод за 2018 - 2020 годы</w:t>
            </w:r>
          </w:p>
        </w:tc>
        <w:tc>
          <w:tcPr>
            <w:tcW w:w="832" w:type="dxa"/>
          </w:tcPr>
          <w:p>
            <w:pPr>
              <w:pStyle w:val="0"/>
              <w:jc w:val="center"/>
            </w:pPr>
            <w:r>
              <w:rPr>
                <w:sz w:val="20"/>
              </w:rPr>
              <w:t xml:space="preserve">в том числе план на 2021 год</w:t>
            </w:r>
          </w:p>
        </w:tc>
        <w:tc>
          <w:tcPr>
            <w:tcW w:w="832" w:type="dxa"/>
          </w:tcPr>
          <w:p>
            <w:pPr>
              <w:pStyle w:val="0"/>
              <w:jc w:val="center"/>
            </w:pPr>
            <w:r>
              <w:rPr>
                <w:sz w:val="20"/>
              </w:rPr>
              <w:t xml:space="preserve">в том числе план на 2021 - 2024 годы</w:t>
            </w:r>
          </w:p>
        </w:tc>
        <w:tc>
          <w:tcPr>
            <w:tcW w:w="835" w:type="dxa"/>
          </w:tcPr>
          <w:p>
            <w:pPr>
              <w:pStyle w:val="0"/>
              <w:jc w:val="center"/>
            </w:pPr>
            <w:r>
              <w:rPr>
                <w:sz w:val="20"/>
              </w:rPr>
              <w:t xml:space="preserve">в том числе план на 2025 - 2030 годы</w:t>
            </w:r>
          </w:p>
        </w:tc>
        <w:tc>
          <w:tcPr>
            <w:vMerge w:val="continue"/>
          </w:tcPr>
          <w:p/>
        </w:tc>
        <w:tc>
          <w:tcPr>
            <w:vMerge w:val="continue"/>
          </w:tcPr>
          <w:p/>
        </w:tc>
        <w:tc>
          <w:tcPr>
            <w:tcW w:w="992" w:type="dxa"/>
          </w:tcPr>
          <w:p>
            <w:pPr>
              <w:pStyle w:val="0"/>
              <w:jc w:val="center"/>
            </w:pPr>
            <w:r>
              <w:rPr>
                <w:sz w:val="20"/>
              </w:rPr>
              <w:t xml:space="preserve">подготовка и утверждение документации по планировке территории</w:t>
            </w:r>
          </w:p>
        </w:tc>
        <w:tc>
          <w:tcPr>
            <w:tcW w:w="996" w:type="dxa"/>
          </w:tcPr>
          <w:p>
            <w:pPr>
              <w:pStyle w:val="0"/>
              <w:jc w:val="center"/>
            </w:pPr>
            <w:r>
              <w:rPr>
                <w:sz w:val="20"/>
              </w:rPr>
              <w:t xml:space="preserve">получение ТУ на подключение к сетям инженерно-технической инфраструктуры</w:t>
            </w:r>
          </w:p>
        </w:tc>
        <w:tc>
          <w:tcPr>
            <w:tcW w:w="856" w:type="dxa"/>
          </w:tcPr>
          <w:p>
            <w:pPr>
              <w:pStyle w:val="0"/>
              <w:jc w:val="center"/>
            </w:pPr>
            <w:r>
              <w:rPr>
                <w:sz w:val="20"/>
              </w:rPr>
              <w:t xml:space="preserve">подготовка проектной документации</w:t>
            </w:r>
          </w:p>
        </w:tc>
        <w:tc>
          <w:tcPr>
            <w:tcW w:w="856" w:type="dxa"/>
          </w:tcPr>
          <w:p>
            <w:pPr>
              <w:pStyle w:val="0"/>
              <w:jc w:val="center"/>
            </w:pPr>
            <w:r>
              <w:rPr>
                <w:sz w:val="20"/>
              </w:rPr>
              <w:t xml:space="preserve">оформление разрешительной документации, получение разрешения на строительство</w:t>
            </w:r>
          </w:p>
        </w:tc>
        <w:tc>
          <w:tcPr>
            <w:tcW w:w="856" w:type="dxa"/>
          </w:tcPr>
          <w:p>
            <w:pPr>
              <w:pStyle w:val="0"/>
              <w:jc w:val="center"/>
            </w:pPr>
            <w:r>
              <w:rPr>
                <w:sz w:val="20"/>
              </w:rPr>
              <w:t xml:space="preserve">выполнение работ по строительству инженерной и транспортной инфраструктуры</w:t>
            </w:r>
          </w:p>
        </w:tc>
        <w:tc>
          <w:tcPr>
            <w:tcW w:w="1117" w:type="dxa"/>
          </w:tcPr>
          <w:p>
            <w:pPr>
              <w:pStyle w:val="0"/>
              <w:jc w:val="center"/>
            </w:pPr>
            <w:r>
              <w:rPr>
                <w:sz w:val="20"/>
              </w:rPr>
              <w:t xml:space="preserve">строительство объектов жилищного строительства и социальной инфраструктуры</w:t>
            </w:r>
          </w:p>
        </w:tc>
        <w:tc>
          <w:tcPr>
            <w:tcW w:w="763" w:type="dxa"/>
          </w:tcPr>
          <w:p>
            <w:pPr>
              <w:pStyle w:val="0"/>
              <w:jc w:val="center"/>
            </w:pPr>
            <w:r>
              <w:rPr>
                <w:sz w:val="20"/>
              </w:rPr>
              <w:t xml:space="preserve">выполнение благоустройства, ввод в эксплуатацию</w:t>
            </w:r>
          </w:p>
        </w:tc>
      </w:tr>
      <w:tr>
        <w:tc>
          <w:tcPr>
            <w:tcW w:w="567" w:type="dxa"/>
          </w:tcPr>
          <w:p>
            <w:pPr>
              <w:pStyle w:val="0"/>
              <w:jc w:val="center"/>
            </w:pPr>
            <w:r>
              <w:rPr>
                <w:sz w:val="20"/>
              </w:rPr>
              <w:t xml:space="preserve">1</w:t>
            </w:r>
          </w:p>
        </w:tc>
        <w:tc>
          <w:tcPr>
            <w:tcW w:w="2211" w:type="dxa"/>
          </w:tcPr>
          <w:p>
            <w:pPr>
              <w:pStyle w:val="0"/>
              <w:jc w:val="center"/>
            </w:pPr>
            <w:r>
              <w:rPr>
                <w:sz w:val="20"/>
              </w:rPr>
              <w:t xml:space="preserve">2</w:t>
            </w:r>
          </w:p>
        </w:tc>
        <w:tc>
          <w:tcPr>
            <w:tcW w:w="907" w:type="dxa"/>
          </w:tcPr>
          <w:p>
            <w:pPr>
              <w:pStyle w:val="0"/>
              <w:jc w:val="center"/>
            </w:pPr>
            <w:r>
              <w:rPr>
                <w:sz w:val="20"/>
              </w:rPr>
              <w:t xml:space="preserve">3</w:t>
            </w:r>
          </w:p>
        </w:tc>
        <w:tc>
          <w:tcPr>
            <w:tcW w:w="907" w:type="dxa"/>
          </w:tcPr>
          <w:p>
            <w:pPr>
              <w:pStyle w:val="0"/>
              <w:jc w:val="center"/>
            </w:pPr>
            <w:r>
              <w:rPr>
                <w:sz w:val="20"/>
              </w:rPr>
              <w:t xml:space="preserve">4</w:t>
            </w:r>
          </w:p>
        </w:tc>
        <w:tc>
          <w:tcPr>
            <w:tcW w:w="832" w:type="dxa"/>
          </w:tcPr>
          <w:p>
            <w:pPr>
              <w:pStyle w:val="0"/>
              <w:jc w:val="center"/>
            </w:pPr>
            <w:r>
              <w:rPr>
                <w:sz w:val="20"/>
              </w:rPr>
              <w:t xml:space="preserve">5</w:t>
            </w:r>
          </w:p>
        </w:tc>
        <w:tc>
          <w:tcPr>
            <w:tcW w:w="832" w:type="dxa"/>
          </w:tcPr>
          <w:p>
            <w:pPr>
              <w:pStyle w:val="0"/>
              <w:jc w:val="center"/>
            </w:pPr>
            <w:r>
              <w:rPr>
                <w:sz w:val="20"/>
              </w:rPr>
              <w:t xml:space="preserve">6</w:t>
            </w:r>
          </w:p>
        </w:tc>
        <w:tc>
          <w:tcPr>
            <w:tcW w:w="832" w:type="dxa"/>
          </w:tcPr>
          <w:p>
            <w:pPr>
              <w:pStyle w:val="0"/>
              <w:jc w:val="center"/>
            </w:pPr>
            <w:r>
              <w:rPr>
                <w:sz w:val="20"/>
              </w:rPr>
              <w:t xml:space="preserve">7</w:t>
            </w:r>
          </w:p>
        </w:tc>
        <w:tc>
          <w:tcPr>
            <w:tcW w:w="832" w:type="dxa"/>
          </w:tcPr>
          <w:p>
            <w:pPr>
              <w:pStyle w:val="0"/>
              <w:jc w:val="center"/>
            </w:pPr>
            <w:r>
              <w:rPr>
                <w:sz w:val="20"/>
              </w:rPr>
              <w:t xml:space="preserve">8</w:t>
            </w:r>
          </w:p>
        </w:tc>
        <w:tc>
          <w:tcPr>
            <w:tcW w:w="835" w:type="dxa"/>
          </w:tcPr>
          <w:p>
            <w:pPr>
              <w:pStyle w:val="0"/>
              <w:jc w:val="center"/>
            </w:pPr>
            <w:r>
              <w:rPr>
                <w:sz w:val="20"/>
              </w:rPr>
              <w:t xml:space="preserve">9</w:t>
            </w:r>
          </w:p>
        </w:tc>
        <w:tc>
          <w:tcPr>
            <w:tcW w:w="737" w:type="dxa"/>
          </w:tcPr>
          <w:p>
            <w:pPr>
              <w:pStyle w:val="0"/>
              <w:jc w:val="center"/>
            </w:pPr>
            <w:r>
              <w:rPr>
                <w:sz w:val="20"/>
              </w:rPr>
              <w:t xml:space="preserve">10</w:t>
            </w:r>
          </w:p>
        </w:tc>
        <w:tc>
          <w:tcPr>
            <w:tcW w:w="1134" w:type="dxa"/>
          </w:tcPr>
          <w:p>
            <w:pPr>
              <w:pStyle w:val="0"/>
              <w:jc w:val="center"/>
            </w:pPr>
            <w:r>
              <w:rPr>
                <w:sz w:val="20"/>
              </w:rPr>
              <w:t xml:space="preserve">11</w:t>
            </w:r>
          </w:p>
        </w:tc>
        <w:tc>
          <w:tcPr>
            <w:tcW w:w="992" w:type="dxa"/>
          </w:tcPr>
          <w:p>
            <w:pPr>
              <w:pStyle w:val="0"/>
              <w:jc w:val="center"/>
            </w:pPr>
            <w:r>
              <w:rPr>
                <w:sz w:val="20"/>
              </w:rPr>
              <w:t xml:space="preserve">12</w:t>
            </w:r>
          </w:p>
        </w:tc>
        <w:tc>
          <w:tcPr>
            <w:tcW w:w="996" w:type="dxa"/>
          </w:tcPr>
          <w:p>
            <w:pPr>
              <w:pStyle w:val="0"/>
              <w:jc w:val="center"/>
            </w:pPr>
            <w:r>
              <w:rPr>
                <w:sz w:val="20"/>
              </w:rPr>
              <w:t xml:space="preserve">13</w:t>
            </w:r>
          </w:p>
        </w:tc>
        <w:tc>
          <w:tcPr>
            <w:tcW w:w="856" w:type="dxa"/>
          </w:tcPr>
          <w:p>
            <w:pPr>
              <w:pStyle w:val="0"/>
              <w:jc w:val="center"/>
            </w:pPr>
            <w:r>
              <w:rPr>
                <w:sz w:val="20"/>
              </w:rPr>
              <w:t xml:space="preserve">14</w:t>
            </w:r>
          </w:p>
        </w:tc>
        <w:tc>
          <w:tcPr>
            <w:tcW w:w="856" w:type="dxa"/>
          </w:tcPr>
          <w:p>
            <w:pPr>
              <w:pStyle w:val="0"/>
              <w:jc w:val="center"/>
            </w:pPr>
            <w:r>
              <w:rPr>
                <w:sz w:val="20"/>
              </w:rPr>
              <w:t xml:space="preserve">15</w:t>
            </w:r>
          </w:p>
        </w:tc>
        <w:tc>
          <w:tcPr>
            <w:tcW w:w="856" w:type="dxa"/>
          </w:tcPr>
          <w:p>
            <w:pPr>
              <w:pStyle w:val="0"/>
              <w:jc w:val="center"/>
            </w:pPr>
            <w:r>
              <w:rPr>
                <w:sz w:val="20"/>
              </w:rPr>
              <w:t xml:space="preserve">16</w:t>
            </w:r>
          </w:p>
        </w:tc>
        <w:tc>
          <w:tcPr>
            <w:tcW w:w="1117" w:type="dxa"/>
          </w:tcPr>
          <w:p>
            <w:pPr>
              <w:pStyle w:val="0"/>
              <w:jc w:val="center"/>
            </w:pPr>
            <w:r>
              <w:rPr>
                <w:sz w:val="20"/>
              </w:rPr>
              <w:t xml:space="preserve">17</w:t>
            </w:r>
          </w:p>
        </w:tc>
        <w:tc>
          <w:tcPr>
            <w:tcW w:w="763" w:type="dxa"/>
          </w:tcPr>
          <w:p>
            <w:pPr>
              <w:pStyle w:val="0"/>
              <w:jc w:val="center"/>
            </w:pPr>
            <w:r>
              <w:rPr>
                <w:sz w:val="20"/>
              </w:rPr>
              <w:t xml:space="preserve">18</w:t>
            </w:r>
          </w:p>
        </w:tc>
      </w:tr>
      <w:tr>
        <w:tc>
          <w:tcPr>
            <w:gridSpan w:val="18"/>
            <w:tcW w:w="17062" w:type="dxa"/>
          </w:tcPr>
          <w:p>
            <w:pPr>
              <w:pStyle w:val="0"/>
              <w:outlineLvl w:val="2"/>
            </w:pPr>
            <w:r>
              <w:rPr>
                <w:sz w:val="20"/>
              </w:rPr>
              <w:t xml:space="preserve">Баганский район</w:t>
            </w:r>
          </w:p>
        </w:tc>
      </w:tr>
      <w:tr>
        <w:tc>
          <w:tcPr>
            <w:tcW w:w="567" w:type="dxa"/>
          </w:tcPr>
          <w:p>
            <w:pPr>
              <w:pStyle w:val="0"/>
              <w:jc w:val="center"/>
            </w:pPr>
            <w:r>
              <w:rPr>
                <w:sz w:val="20"/>
              </w:rPr>
              <w:t xml:space="preserve">1</w:t>
            </w:r>
          </w:p>
        </w:tc>
        <w:tc>
          <w:tcPr>
            <w:tcW w:w="2211" w:type="dxa"/>
          </w:tcPr>
          <w:p>
            <w:pPr>
              <w:pStyle w:val="0"/>
            </w:pPr>
            <w:r>
              <w:rPr>
                <w:sz w:val="20"/>
              </w:rPr>
              <w:t xml:space="preserve">Юго-восточный жилой квартал с. Баган, Баганский район Новосибирской области</w:t>
            </w:r>
          </w:p>
        </w:tc>
        <w:tc>
          <w:tcPr>
            <w:tcW w:w="907" w:type="dxa"/>
          </w:tcPr>
          <w:p>
            <w:pPr>
              <w:pStyle w:val="0"/>
              <w:jc w:val="center"/>
            </w:pPr>
            <w:r>
              <w:rPr>
                <w:sz w:val="20"/>
              </w:rPr>
              <w:t xml:space="preserve">42,0</w:t>
            </w:r>
          </w:p>
        </w:tc>
        <w:tc>
          <w:tcPr>
            <w:tcW w:w="907" w:type="dxa"/>
          </w:tcPr>
          <w:p>
            <w:pPr>
              <w:pStyle w:val="0"/>
              <w:jc w:val="center"/>
            </w:pPr>
            <w:r>
              <w:rPr>
                <w:sz w:val="20"/>
              </w:rPr>
              <w:t xml:space="preserve">17,7</w:t>
            </w:r>
          </w:p>
        </w:tc>
        <w:tc>
          <w:tcPr>
            <w:tcW w:w="832" w:type="dxa"/>
          </w:tcPr>
          <w:p>
            <w:pPr>
              <w:pStyle w:val="0"/>
              <w:jc w:val="center"/>
            </w:pPr>
            <w:r>
              <w:rPr>
                <w:sz w:val="20"/>
              </w:rPr>
              <w:t xml:space="preserve">11,5</w:t>
            </w:r>
          </w:p>
        </w:tc>
        <w:tc>
          <w:tcPr>
            <w:tcW w:w="832" w:type="dxa"/>
          </w:tcPr>
          <w:p>
            <w:pPr>
              <w:pStyle w:val="0"/>
              <w:jc w:val="center"/>
            </w:pPr>
            <w:r>
              <w:rPr>
                <w:sz w:val="20"/>
              </w:rPr>
              <w:t xml:space="preserve">6,2</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ИЖС, малоэтажная</w:t>
            </w:r>
          </w:p>
        </w:tc>
        <w:tc>
          <w:tcPr>
            <w:tcW w:w="1134" w:type="dxa"/>
          </w:tcPr>
          <w:p>
            <w:pPr>
              <w:pStyle w:val="0"/>
              <w:jc w:val="center"/>
            </w:pPr>
            <w:r>
              <w:rPr>
                <w:sz w:val="20"/>
              </w:rPr>
              <w:t xml:space="preserve">индивидуальные</w:t>
            </w:r>
          </w:p>
        </w:tc>
        <w:tc>
          <w:tcPr>
            <w:tcW w:w="992" w:type="dxa"/>
          </w:tcPr>
          <w:p>
            <w:pPr>
              <w:pStyle w:val="0"/>
              <w:jc w:val="center"/>
            </w:pPr>
            <w:r>
              <w:rPr>
                <w:sz w:val="20"/>
              </w:rPr>
              <w:t xml:space="preserve">2022</w:t>
            </w:r>
          </w:p>
        </w:tc>
        <w:tc>
          <w:tcPr>
            <w:tcW w:w="996" w:type="dxa"/>
          </w:tcPr>
          <w:p>
            <w:pPr>
              <w:pStyle w:val="0"/>
              <w:jc w:val="center"/>
            </w:pPr>
            <w:r>
              <w:rPr>
                <w:sz w:val="20"/>
              </w:rPr>
              <w:t xml:space="preserve">2022</w:t>
            </w:r>
          </w:p>
        </w:tc>
        <w:tc>
          <w:tcPr>
            <w:tcW w:w="856" w:type="dxa"/>
          </w:tcPr>
          <w:p>
            <w:pPr>
              <w:pStyle w:val="0"/>
              <w:jc w:val="center"/>
            </w:pPr>
            <w:r>
              <w:rPr>
                <w:sz w:val="20"/>
              </w:rPr>
              <w:t xml:space="preserve">2023</w:t>
            </w:r>
          </w:p>
        </w:tc>
        <w:tc>
          <w:tcPr>
            <w:tcW w:w="856" w:type="dxa"/>
          </w:tcPr>
          <w:p>
            <w:pPr>
              <w:pStyle w:val="0"/>
              <w:jc w:val="center"/>
            </w:pPr>
            <w:r>
              <w:rPr>
                <w:sz w:val="20"/>
              </w:rPr>
              <w:t xml:space="preserve">2023</w:t>
            </w:r>
          </w:p>
        </w:tc>
        <w:tc>
          <w:tcPr>
            <w:tcW w:w="856" w:type="dxa"/>
          </w:tcPr>
          <w:p>
            <w:pPr>
              <w:pStyle w:val="0"/>
              <w:jc w:val="center"/>
            </w:pPr>
            <w:r>
              <w:rPr>
                <w:sz w:val="20"/>
              </w:rPr>
              <w:t xml:space="preserve">2023</w:t>
            </w:r>
          </w:p>
        </w:tc>
        <w:tc>
          <w:tcPr>
            <w:tcW w:w="1117" w:type="dxa"/>
          </w:tcPr>
          <w:p>
            <w:pPr>
              <w:pStyle w:val="0"/>
              <w:jc w:val="center"/>
            </w:pPr>
            <w:r>
              <w:rPr>
                <w:sz w:val="20"/>
              </w:rPr>
              <w:t xml:space="preserve">2023 - 2030</w:t>
            </w:r>
          </w:p>
        </w:tc>
        <w:tc>
          <w:tcPr>
            <w:tcW w:w="763" w:type="dxa"/>
          </w:tcPr>
          <w:p>
            <w:pPr>
              <w:pStyle w:val="0"/>
              <w:jc w:val="center"/>
            </w:pPr>
            <w:r>
              <w:rPr>
                <w:sz w:val="20"/>
              </w:rPr>
              <w:t xml:space="preserve">2024</w:t>
            </w:r>
          </w:p>
        </w:tc>
      </w:tr>
      <w:tr>
        <w:tc>
          <w:tcPr>
            <w:gridSpan w:val="18"/>
            <w:tcW w:w="17062" w:type="dxa"/>
          </w:tcPr>
          <w:p>
            <w:pPr>
              <w:pStyle w:val="0"/>
              <w:outlineLvl w:val="2"/>
            </w:pPr>
            <w:r>
              <w:rPr>
                <w:sz w:val="20"/>
              </w:rPr>
              <w:t xml:space="preserve">Болотнинский район</w:t>
            </w:r>
          </w:p>
        </w:tc>
      </w:tr>
      <w:tr>
        <w:tc>
          <w:tcPr>
            <w:tcW w:w="567" w:type="dxa"/>
          </w:tcPr>
          <w:p>
            <w:pPr>
              <w:pStyle w:val="0"/>
              <w:jc w:val="center"/>
            </w:pPr>
            <w:r>
              <w:rPr>
                <w:sz w:val="20"/>
              </w:rPr>
              <w:t xml:space="preserve">2</w:t>
            </w:r>
          </w:p>
        </w:tc>
        <w:tc>
          <w:tcPr>
            <w:tcW w:w="2211" w:type="dxa"/>
          </w:tcPr>
          <w:p>
            <w:pPr>
              <w:pStyle w:val="0"/>
            </w:pPr>
            <w:r>
              <w:rPr>
                <w:sz w:val="20"/>
              </w:rPr>
              <w:t xml:space="preserve">Город Болотное, площадка комплексной застройки (ул. Новая, ул. К. Бабахина, ул. Николая Борисова, ул. Василия Иванова, ул. Луговая)</w:t>
            </w:r>
          </w:p>
        </w:tc>
        <w:tc>
          <w:tcPr>
            <w:tcW w:w="907" w:type="dxa"/>
          </w:tcPr>
          <w:p>
            <w:pPr>
              <w:pStyle w:val="0"/>
              <w:jc w:val="center"/>
            </w:pPr>
            <w:r>
              <w:rPr>
                <w:sz w:val="20"/>
              </w:rPr>
              <w:t xml:space="preserve">29,89</w:t>
            </w:r>
          </w:p>
        </w:tc>
        <w:tc>
          <w:tcPr>
            <w:tcW w:w="907" w:type="dxa"/>
          </w:tcPr>
          <w:p>
            <w:pPr>
              <w:pStyle w:val="0"/>
              <w:jc w:val="center"/>
            </w:pPr>
            <w:r>
              <w:rPr>
                <w:sz w:val="20"/>
              </w:rPr>
              <w:t xml:space="preserve">19,5</w:t>
            </w:r>
          </w:p>
        </w:tc>
        <w:tc>
          <w:tcPr>
            <w:tcW w:w="832" w:type="dxa"/>
          </w:tcPr>
          <w:p>
            <w:pPr>
              <w:pStyle w:val="0"/>
              <w:jc w:val="center"/>
            </w:pPr>
            <w:r>
              <w:rPr>
                <w:sz w:val="20"/>
              </w:rPr>
              <w:t xml:space="preserve">1,3</w:t>
            </w:r>
          </w:p>
        </w:tc>
        <w:tc>
          <w:tcPr>
            <w:tcW w:w="832" w:type="dxa"/>
          </w:tcPr>
          <w:p>
            <w:pPr>
              <w:pStyle w:val="0"/>
              <w:jc w:val="center"/>
            </w:pPr>
            <w:r>
              <w:rPr>
                <w:sz w:val="20"/>
              </w:rPr>
              <w:t xml:space="preserve">0,395</w:t>
            </w:r>
          </w:p>
        </w:tc>
        <w:tc>
          <w:tcPr>
            <w:tcW w:w="832" w:type="dxa"/>
          </w:tcPr>
          <w:p>
            <w:pPr>
              <w:pStyle w:val="0"/>
              <w:jc w:val="center"/>
            </w:pPr>
            <w:r>
              <w:rPr>
                <w:sz w:val="20"/>
              </w:rPr>
              <w:t xml:space="preserve">0,6</w:t>
            </w:r>
          </w:p>
        </w:tc>
        <w:tc>
          <w:tcPr>
            <w:tcW w:w="832" w:type="dxa"/>
          </w:tcPr>
          <w:p>
            <w:pPr>
              <w:pStyle w:val="0"/>
              <w:jc w:val="center"/>
            </w:pPr>
            <w:r>
              <w:rPr>
                <w:sz w:val="20"/>
              </w:rPr>
              <w:t xml:space="preserve">2,3</w:t>
            </w:r>
          </w:p>
        </w:tc>
        <w:tc>
          <w:tcPr>
            <w:tcW w:w="835" w:type="dxa"/>
          </w:tcPr>
          <w:p>
            <w:pPr>
              <w:pStyle w:val="0"/>
              <w:jc w:val="center"/>
            </w:pPr>
            <w:r>
              <w:rPr>
                <w:sz w:val="20"/>
              </w:rPr>
              <w:t xml:space="preserve">15,5</w:t>
            </w:r>
          </w:p>
        </w:tc>
        <w:tc>
          <w:tcPr>
            <w:tcW w:w="737" w:type="dxa"/>
          </w:tcPr>
          <w:p>
            <w:pPr>
              <w:pStyle w:val="0"/>
              <w:jc w:val="center"/>
            </w:pPr>
            <w:r>
              <w:rPr>
                <w:sz w:val="20"/>
              </w:rPr>
              <w:t xml:space="preserve">ИЖС</w:t>
            </w:r>
          </w:p>
        </w:tc>
        <w:tc>
          <w:tcPr>
            <w:tcW w:w="1134" w:type="dxa"/>
          </w:tcPr>
          <w:p>
            <w:pPr>
              <w:pStyle w:val="0"/>
              <w:jc w:val="center"/>
            </w:pPr>
            <w:r>
              <w:rPr>
                <w:sz w:val="20"/>
              </w:rPr>
              <w:t xml:space="preserve">не определен</w:t>
            </w:r>
          </w:p>
        </w:tc>
        <w:tc>
          <w:tcPr>
            <w:tcW w:w="992" w:type="dxa"/>
          </w:tcPr>
          <w:p>
            <w:pPr>
              <w:pStyle w:val="0"/>
              <w:jc w:val="center"/>
            </w:pPr>
            <w:r>
              <w:rPr>
                <w:sz w:val="20"/>
              </w:rPr>
              <w:t xml:space="preserve">утверждены</w:t>
            </w:r>
          </w:p>
        </w:tc>
        <w:tc>
          <w:tcPr>
            <w:tcW w:w="996" w:type="dxa"/>
          </w:tcPr>
          <w:p>
            <w:pPr>
              <w:pStyle w:val="0"/>
              <w:jc w:val="center"/>
            </w:pPr>
            <w:r>
              <w:rPr>
                <w:sz w:val="20"/>
              </w:rPr>
              <w:t xml:space="preserve">не требуются</w:t>
            </w:r>
          </w:p>
        </w:tc>
        <w:tc>
          <w:tcPr>
            <w:tcW w:w="856" w:type="dxa"/>
          </w:tcPr>
          <w:p>
            <w:pPr>
              <w:pStyle w:val="0"/>
              <w:jc w:val="center"/>
            </w:pPr>
            <w:r>
              <w:rPr>
                <w:sz w:val="20"/>
              </w:rPr>
              <w:t xml:space="preserve">2023 - 2030</w:t>
            </w:r>
          </w:p>
        </w:tc>
        <w:tc>
          <w:tcPr>
            <w:tcW w:w="856" w:type="dxa"/>
          </w:tcPr>
          <w:p>
            <w:pPr>
              <w:pStyle w:val="0"/>
              <w:jc w:val="center"/>
            </w:pPr>
            <w:r>
              <w:rPr>
                <w:sz w:val="20"/>
              </w:rPr>
              <w:t xml:space="preserve">2023 - 2030</w:t>
            </w:r>
          </w:p>
        </w:tc>
        <w:tc>
          <w:tcPr>
            <w:tcW w:w="856" w:type="dxa"/>
          </w:tcPr>
          <w:p>
            <w:pPr>
              <w:pStyle w:val="0"/>
              <w:jc w:val="center"/>
            </w:pPr>
            <w:r>
              <w:rPr>
                <w:sz w:val="20"/>
              </w:rPr>
              <w:t xml:space="preserve">2024 - 2030</w:t>
            </w:r>
          </w:p>
        </w:tc>
        <w:tc>
          <w:tcPr>
            <w:tcW w:w="1117" w:type="dxa"/>
          </w:tcPr>
          <w:p>
            <w:pPr>
              <w:pStyle w:val="0"/>
              <w:jc w:val="center"/>
            </w:pPr>
            <w:r>
              <w:rPr>
                <w:sz w:val="20"/>
              </w:rPr>
              <w:t xml:space="preserve">2021 - 2030</w:t>
            </w:r>
          </w:p>
        </w:tc>
        <w:tc>
          <w:tcPr>
            <w:tcW w:w="763" w:type="dxa"/>
          </w:tcPr>
          <w:p>
            <w:pPr>
              <w:pStyle w:val="0"/>
              <w:jc w:val="center"/>
            </w:pPr>
            <w:r>
              <w:rPr>
                <w:sz w:val="20"/>
              </w:rPr>
              <w:t xml:space="preserve">2030</w:t>
            </w:r>
          </w:p>
        </w:tc>
      </w:tr>
      <w:tr>
        <w:tc>
          <w:tcPr>
            <w:gridSpan w:val="18"/>
            <w:tcW w:w="17062" w:type="dxa"/>
          </w:tcPr>
          <w:p>
            <w:pPr>
              <w:pStyle w:val="0"/>
              <w:outlineLvl w:val="2"/>
            </w:pPr>
            <w:r>
              <w:rPr>
                <w:sz w:val="20"/>
              </w:rPr>
              <w:t xml:space="preserve">Искитимский район</w:t>
            </w:r>
          </w:p>
        </w:tc>
      </w:tr>
      <w:tr>
        <w:tc>
          <w:tcPr>
            <w:tcW w:w="567" w:type="dxa"/>
          </w:tcPr>
          <w:p>
            <w:pPr>
              <w:pStyle w:val="0"/>
              <w:jc w:val="center"/>
            </w:pPr>
            <w:r>
              <w:rPr>
                <w:sz w:val="20"/>
              </w:rPr>
              <w:t xml:space="preserve">3</w:t>
            </w:r>
          </w:p>
        </w:tc>
        <w:tc>
          <w:tcPr>
            <w:tcW w:w="2211" w:type="dxa"/>
          </w:tcPr>
          <w:p>
            <w:pPr>
              <w:pStyle w:val="0"/>
            </w:pPr>
            <w:r>
              <w:rPr>
                <w:sz w:val="20"/>
              </w:rPr>
              <w:t xml:space="preserve">С. Морозово, Морозовский с/с, V очередь застройки</w:t>
            </w:r>
          </w:p>
        </w:tc>
        <w:tc>
          <w:tcPr>
            <w:tcW w:w="907" w:type="dxa"/>
          </w:tcPr>
          <w:p>
            <w:pPr>
              <w:pStyle w:val="0"/>
              <w:jc w:val="center"/>
            </w:pPr>
            <w:r>
              <w:rPr>
                <w:sz w:val="20"/>
              </w:rPr>
              <w:t xml:space="preserve">31,4</w:t>
            </w:r>
          </w:p>
        </w:tc>
        <w:tc>
          <w:tcPr>
            <w:tcW w:w="907" w:type="dxa"/>
          </w:tcPr>
          <w:p>
            <w:pPr>
              <w:pStyle w:val="0"/>
              <w:jc w:val="center"/>
            </w:pPr>
            <w:r>
              <w:rPr>
                <w:sz w:val="20"/>
              </w:rPr>
              <w:t xml:space="preserve">14,0</w:t>
            </w:r>
          </w:p>
        </w:tc>
        <w:tc>
          <w:tcPr>
            <w:tcW w:w="832" w:type="dxa"/>
          </w:tcPr>
          <w:p>
            <w:pPr>
              <w:pStyle w:val="0"/>
              <w:jc w:val="center"/>
            </w:pPr>
            <w:r>
              <w:rPr>
                <w:sz w:val="20"/>
              </w:rPr>
              <w:t xml:space="preserve">5,9</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ИЖС</w:t>
            </w:r>
          </w:p>
        </w:tc>
        <w:tc>
          <w:tcPr>
            <w:tcW w:w="1134" w:type="dxa"/>
          </w:tcPr>
          <w:p>
            <w:pPr>
              <w:pStyle w:val="0"/>
              <w:jc w:val="center"/>
            </w:pPr>
            <w:r>
              <w:rPr>
                <w:sz w:val="20"/>
              </w:rPr>
              <w:t xml:space="preserve">муниципальная собственность</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2016 - 2030</w:t>
            </w:r>
          </w:p>
        </w:tc>
        <w:tc>
          <w:tcPr>
            <w:tcW w:w="1117" w:type="dxa"/>
          </w:tcPr>
          <w:p>
            <w:pPr>
              <w:pStyle w:val="0"/>
              <w:jc w:val="center"/>
            </w:pPr>
            <w:r>
              <w:rPr>
                <w:sz w:val="20"/>
              </w:rPr>
              <w:t xml:space="preserve">2016 - 2030</w:t>
            </w:r>
          </w:p>
        </w:tc>
        <w:tc>
          <w:tcPr>
            <w:tcW w:w="763" w:type="dxa"/>
          </w:tcPr>
          <w:p>
            <w:pPr>
              <w:pStyle w:val="0"/>
              <w:jc w:val="center"/>
            </w:pPr>
            <w:r>
              <w:rPr>
                <w:sz w:val="20"/>
              </w:rPr>
              <w:t xml:space="preserve">2016 - 2030</w:t>
            </w:r>
          </w:p>
        </w:tc>
      </w:tr>
      <w:tr>
        <w:tc>
          <w:tcPr>
            <w:tcW w:w="567" w:type="dxa"/>
          </w:tcPr>
          <w:p>
            <w:pPr>
              <w:pStyle w:val="0"/>
              <w:jc w:val="center"/>
            </w:pPr>
            <w:r>
              <w:rPr>
                <w:sz w:val="20"/>
              </w:rPr>
              <w:t xml:space="preserve">4</w:t>
            </w:r>
          </w:p>
        </w:tc>
        <w:tc>
          <w:tcPr>
            <w:tcW w:w="2211" w:type="dxa"/>
          </w:tcPr>
          <w:p>
            <w:pPr>
              <w:pStyle w:val="0"/>
            </w:pPr>
            <w:r>
              <w:rPr>
                <w:sz w:val="20"/>
              </w:rPr>
              <w:t xml:space="preserve">С. Морозово, Морозовский с/с, III очередь застройки</w:t>
            </w:r>
          </w:p>
        </w:tc>
        <w:tc>
          <w:tcPr>
            <w:tcW w:w="907" w:type="dxa"/>
          </w:tcPr>
          <w:p>
            <w:pPr>
              <w:pStyle w:val="0"/>
              <w:jc w:val="center"/>
            </w:pPr>
            <w:r>
              <w:rPr>
                <w:sz w:val="20"/>
              </w:rPr>
              <w:t xml:space="preserve">28,5</w:t>
            </w:r>
          </w:p>
        </w:tc>
        <w:tc>
          <w:tcPr>
            <w:tcW w:w="907" w:type="dxa"/>
          </w:tcPr>
          <w:p>
            <w:pPr>
              <w:pStyle w:val="0"/>
              <w:jc w:val="center"/>
            </w:pPr>
            <w:r>
              <w:rPr>
                <w:sz w:val="20"/>
              </w:rPr>
              <w:t xml:space="preserve">12,0</w:t>
            </w:r>
          </w:p>
        </w:tc>
        <w:tc>
          <w:tcPr>
            <w:tcW w:w="832" w:type="dxa"/>
          </w:tcPr>
          <w:p>
            <w:pPr>
              <w:pStyle w:val="0"/>
              <w:jc w:val="center"/>
            </w:pPr>
            <w:r>
              <w:rPr>
                <w:sz w:val="20"/>
              </w:rPr>
              <w:t xml:space="preserve">1,82</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ИЖС</w:t>
            </w:r>
          </w:p>
        </w:tc>
        <w:tc>
          <w:tcPr>
            <w:tcW w:w="1134" w:type="dxa"/>
          </w:tcPr>
          <w:p>
            <w:pPr>
              <w:pStyle w:val="0"/>
              <w:jc w:val="center"/>
            </w:pPr>
            <w:r>
              <w:rPr>
                <w:sz w:val="20"/>
              </w:rPr>
              <w:t xml:space="preserve">муниципальная, переданная под ИЖС частным лицам</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2016 - 2030</w:t>
            </w:r>
          </w:p>
        </w:tc>
        <w:tc>
          <w:tcPr>
            <w:tcW w:w="1117" w:type="dxa"/>
          </w:tcPr>
          <w:p>
            <w:pPr>
              <w:pStyle w:val="0"/>
              <w:jc w:val="center"/>
            </w:pPr>
            <w:r>
              <w:rPr>
                <w:sz w:val="20"/>
              </w:rPr>
              <w:t xml:space="preserve">2016 - 2030</w:t>
            </w:r>
          </w:p>
        </w:tc>
        <w:tc>
          <w:tcPr>
            <w:tcW w:w="763" w:type="dxa"/>
          </w:tcPr>
          <w:p>
            <w:pPr>
              <w:pStyle w:val="0"/>
              <w:jc w:val="center"/>
            </w:pPr>
            <w:r>
              <w:rPr>
                <w:sz w:val="20"/>
              </w:rPr>
              <w:t xml:space="preserve">2016 - 2030</w:t>
            </w:r>
          </w:p>
        </w:tc>
      </w:tr>
      <w:tr>
        <w:tc>
          <w:tcPr>
            <w:tcW w:w="567" w:type="dxa"/>
          </w:tcPr>
          <w:p>
            <w:pPr>
              <w:pStyle w:val="0"/>
              <w:jc w:val="center"/>
            </w:pPr>
            <w:r>
              <w:rPr>
                <w:sz w:val="20"/>
              </w:rPr>
              <w:t xml:space="preserve">5</w:t>
            </w:r>
          </w:p>
        </w:tc>
        <w:tc>
          <w:tcPr>
            <w:tcW w:w="2211" w:type="dxa"/>
          </w:tcPr>
          <w:p>
            <w:pPr>
              <w:pStyle w:val="0"/>
            </w:pPr>
            <w:r>
              <w:rPr>
                <w:sz w:val="20"/>
              </w:rPr>
              <w:t xml:space="preserve">П. Мичуринский, Мичуринский с/с</w:t>
            </w:r>
          </w:p>
        </w:tc>
        <w:tc>
          <w:tcPr>
            <w:tcW w:w="907" w:type="dxa"/>
          </w:tcPr>
          <w:p>
            <w:pPr>
              <w:pStyle w:val="0"/>
              <w:jc w:val="center"/>
            </w:pPr>
            <w:r>
              <w:rPr>
                <w:sz w:val="20"/>
              </w:rPr>
              <w:t xml:space="preserve">228,0</w:t>
            </w:r>
          </w:p>
        </w:tc>
        <w:tc>
          <w:tcPr>
            <w:tcW w:w="907" w:type="dxa"/>
          </w:tcPr>
          <w:p>
            <w:pPr>
              <w:pStyle w:val="0"/>
              <w:jc w:val="center"/>
            </w:pPr>
            <w:r>
              <w:rPr>
                <w:sz w:val="20"/>
              </w:rPr>
              <w:t xml:space="preserve">650,0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100,0</w:t>
            </w:r>
          </w:p>
        </w:tc>
        <w:tc>
          <w:tcPr>
            <w:tcW w:w="835" w:type="dxa"/>
          </w:tcPr>
          <w:p>
            <w:pPr>
              <w:pStyle w:val="0"/>
              <w:jc w:val="center"/>
            </w:pPr>
            <w:r>
              <w:rPr>
                <w:sz w:val="20"/>
              </w:rPr>
              <w:t xml:space="preserve">400,0</w:t>
            </w:r>
          </w:p>
        </w:tc>
        <w:tc>
          <w:tcPr>
            <w:tcW w:w="737" w:type="dxa"/>
          </w:tcPr>
          <w:p>
            <w:pPr>
              <w:pStyle w:val="0"/>
              <w:jc w:val="center"/>
            </w:pPr>
            <w:r>
              <w:rPr>
                <w:sz w:val="20"/>
              </w:rPr>
              <w:t xml:space="preserve">малоэтажная многоквартирная застройка, таунхаусы</w:t>
            </w:r>
          </w:p>
        </w:tc>
        <w:tc>
          <w:tcPr>
            <w:tcW w:w="1134" w:type="dxa"/>
          </w:tcPr>
          <w:p>
            <w:pPr>
              <w:pStyle w:val="0"/>
              <w:jc w:val="center"/>
            </w:pPr>
            <w:r>
              <w:rPr>
                <w:sz w:val="20"/>
              </w:rPr>
              <w:t xml:space="preserve">ООО Малоэтажное строительство "Мичуринский"</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2021 - 2022</w:t>
            </w:r>
          </w:p>
        </w:tc>
        <w:tc>
          <w:tcPr>
            <w:tcW w:w="856" w:type="dxa"/>
          </w:tcPr>
          <w:p>
            <w:pPr>
              <w:pStyle w:val="0"/>
              <w:jc w:val="center"/>
            </w:pPr>
            <w:r>
              <w:rPr>
                <w:sz w:val="20"/>
              </w:rPr>
              <w:t xml:space="preserve">2021 - 2022</w:t>
            </w:r>
          </w:p>
        </w:tc>
        <w:tc>
          <w:tcPr>
            <w:tcW w:w="856" w:type="dxa"/>
          </w:tcPr>
          <w:p>
            <w:pPr>
              <w:pStyle w:val="0"/>
              <w:jc w:val="center"/>
            </w:pPr>
            <w:r>
              <w:rPr>
                <w:sz w:val="20"/>
              </w:rPr>
              <w:t xml:space="preserve">2021 - 2024</w:t>
            </w:r>
          </w:p>
        </w:tc>
        <w:tc>
          <w:tcPr>
            <w:tcW w:w="1117" w:type="dxa"/>
          </w:tcPr>
          <w:p>
            <w:pPr>
              <w:pStyle w:val="0"/>
              <w:jc w:val="center"/>
            </w:pPr>
            <w:r>
              <w:rPr>
                <w:sz w:val="20"/>
              </w:rPr>
              <w:t xml:space="preserve">2022 - 2030</w:t>
            </w:r>
          </w:p>
        </w:tc>
        <w:tc>
          <w:tcPr>
            <w:tcW w:w="763" w:type="dxa"/>
          </w:tcPr>
          <w:p>
            <w:pPr>
              <w:pStyle w:val="0"/>
              <w:jc w:val="center"/>
            </w:pPr>
            <w:r>
              <w:rPr>
                <w:sz w:val="20"/>
              </w:rPr>
              <w:t xml:space="preserve">2022 - 2030</w:t>
            </w:r>
          </w:p>
        </w:tc>
      </w:tr>
      <w:tr>
        <w:tc>
          <w:tcPr>
            <w:gridSpan w:val="18"/>
            <w:tcW w:w="17062" w:type="dxa"/>
          </w:tcPr>
          <w:p>
            <w:pPr>
              <w:pStyle w:val="0"/>
              <w:outlineLvl w:val="2"/>
            </w:pPr>
            <w:r>
              <w:rPr>
                <w:sz w:val="20"/>
              </w:rPr>
              <w:t xml:space="preserve">Карасукский район</w:t>
            </w:r>
          </w:p>
        </w:tc>
      </w:tr>
      <w:tr>
        <w:tc>
          <w:tcPr>
            <w:tcW w:w="567" w:type="dxa"/>
          </w:tcPr>
          <w:p>
            <w:pPr>
              <w:pStyle w:val="0"/>
              <w:jc w:val="center"/>
            </w:pPr>
            <w:r>
              <w:rPr>
                <w:sz w:val="20"/>
              </w:rPr>
              <w:t xml:space="preserve">6</w:t>
            </w:r>
          </w:p>
        </w:tc>
        <w:tc>
          <w:tcPr>
            <w:tcW w:w="2211" w:type="dxa"/>
          </w:tcPr>
          <w:p>
            <w:pPr>
              <w:pStyle w:val="0"/>
            </w:pPr>
            <w:r>
              <w:rPr>
                <w:sz w:val="20"/>
              </w:rPr>
              <w:t xml:space="preserve">Г. Карасук, микрорайон Юго-Западный</w:t>
            </w:r>
          </w:p>
        </w:tc>
        <w:tc>
          <w:tcPr>
            <w:tcW w:w="907" w:type="dxa"/>
          </w:tcPr>
          <w:p>
            <w:pPr>
              <w:pStyle w:val="0"/>
              <w:jc w:val="center"/>
            </w:pPr>
            <w:r>
              <w:rPr>
                <w:sz w:val="20"/>
              </w:rPr>
              <w:t xml:space="preserve">60,0</w:t>
            </w:r>
          </w:p>
        </w:tc>
        <w:tc>
          <w:tcPr>
            <w:tcW w:w="907" w:type="dxa"/>
          </w:tcPr>
          <w:p>
            <w:pPr>
              <w:pStyle w:val="0"/>
              <w:jc w:val="center"/>
            </w:pPr>
            <w:r>
              <w:rPr>
                <w:sz w:val="20"/>
              </w:rPr>
              <w:t xml:space="preserve">367,0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367,0</w:t>
            </w:r>
          </w:p>
        </w:tc>
        <w:tc>
          <w:tcPr>
            <w:tcW w:w="835" w:type="dxa"/>
          </w:tcPr>
          <w:p>
            <w:pPr>
              <w:pStyle w:val="0"/>
              <w:jc w:val="center"/>
            </w:pPr>
            <w:r>
              <w:rPr>
                <w:sz w:val="20"/>
              </w:rPr>
              <w:t xml:space="preserve">0,0</w:t>
            </w:r>
          </w:p>
        </w:tc>
        <w:tc>
          <w:tcPr>
            <w:tcW w:w="737" w:type="dxa"/>
          </w:tcPr>
          <w:p>
            <w:pPr>
              <w:pStyle w:val="0"/>
              <w:jc w:val="center"/>
            </w:pPr>
            <w:r>
              <w:rPr>
                <w:sz w:val="20"/>
              </w:rPr>
              <w:t xml:space="preserve">ИЖС</w:t>
            </w:r>
          </w:p>
        </w:tc>
        <w:tc>
          <w:tcPr>
            <w:tcW w:w="1134" w:type="dxa"/>
          </w:tcPr>
          <w:p>
            <w:pPr>
              <w:pStyle w:val="0"/>
              <w:jc w:val="center"/>
            </w:pPr>
            <w:r>
              <w:rPr>
                <w:sz w:val="20"/>
              </w:rPr>
              <w:t xml:space="preserve">не определен</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2021 - 2025</w:t>
            </w:r>
          </w:p>
        </w:tc>
        <w:tc>
          <w:tcPr>
            <w:tcW w:w="856" w:type="dxa"/>
          </w:tcPr>
          <w:p>
            <w:pPr>
              <w:pStyle w:val="0"/>
              <w:jc w:val="center"/>
            </w:pPr>
            <w:r>
              <w:rPr>
                <w:sz w:val="20"/>
              </w:rPr>
              <w:t xml:space="preserve">2021 - 2025</w:t>
            </w:r>
          </w:p>
        </w:tc>
        <w:tc>
          <w:tcPr>
            <w:tcW w:w="1117" w:type="dxa"/>
          </w:tcPr>
          <w:p>
            <w:pPr>
              <w:pStyle w:val="0"/>
              <w:jc w:val="center"/>
            </w:pPr>
            <w:r>
              <w:rPr>
                <w:sz w:val="20"/>
              </w:rPr>
              <w:t xml:space="preserve">2021 - 2025</w:t>
            </w:r>
          </w:p>
        </w:tc>
        <w:tc>
          <w:tcPr>
            <w:tcW w:w="763" w:type="dxa"/>
          </w:tcPr>
          <w:p>
            <w:pPr>
              <w:pStyle w:val="0"/>
              <w:jc w:val="center"/>
            </w:pPr>
            <w:r>
              <w:rPr>
                <w:sz w:val="20"/>
              </w:rPr>
              <w:t xml:space="preserve">2021 - 2025</w:t>
            </w:r>
          </w:p>
        </w:tc>
      </w:tr>
      <w:tr>
        <w:tc>
          <w:tcPr>
            <w:gridSpan w:val="18"/>
            <w:tcW w:w="17062" w:type="dxa"/>
          </w:tcPr>
          <w:p>
            <w:pPr>
              <w:pStyle w:val="0"/>
              <w:outlineLvl w:val="2"/>
            </w:pPr>
            <w:r>
              <w:rPr>
                <w:sz w:val="20"/>
              </w:rPr>
              <w:t xml:space="preserve">Колыванский район</w:t>
            </w:r>
          </w:p>
        </w:tc>
      </w:tr>
      <w:tr>
        <w:tc>
          <w:tcPr>
            <w:tcW w:w="567" w:type="dxa"/>
          </w:tcPr>
          <w:p>
            <w:pPr>
              <w:pStyle w:val="0"/>
              <w:jc w:val="center"/>
            </w:pPr>
            <w:r>
              <w:rPr>
                <w:sz w:val="20"/>
              </w:rPr>
              <w:t xml:space="preserve">7</w:t>
            </w:r>
          </w:p>
        </w:tc>
        <w:tc>
          <w:tcPr>
            <w:tcW w:w="2211" w:type="dxa"/>
          </w:tcPr>
          <w:p>
            <w:pPr>
              <w:pStyle w:val="0"/>
            </w:pPr>
            <w:r>
              <w:rPr>
                <w:sz w:val="20"/>
              </w:rPr>
              <w:t xml:space="preserve">Область Новосибирская, район Колыванский, МО Скалинский сельсовет в южной части кадастрового квартала 54:10:028205:953</w:t>
            </w:r>
          </w:p>
        </w:tc>
        <w:tc>
          <w:tcPr>
            <w:tcW w:w="907" w:type="dxa"/>
          </w:tcPr>
          <w:p>
            <w:pPr>
              <w:pStyle w:val="0"/>
              <w:jc w:val="center"/>
            </w:pPr>
            <w:r>
              <w:rPr>
                <w:sz w:val="20"/>
              </w:rPr>
              <w:t xml:space="preserve">12,5</w:t>
            </w:r>
          </w:p>
        </w:tc>
        <w:tc>
          <w:tcPr>
            <w:tcW w:w="907" w:type="dxa"/>
          </w:tcPr>
          <w:p>
            <w:pPr>
              <w:pStyle w:val="0"/>
              <w:jc w:val="center"/>
            </w:pPr>
            <w:r>
              <w:rPr>
                <w:sz w:val="20"/>
              </w:rPr>
              <w:t xml:space="preserve">10,0</w:t>
            </w:r>
          </w:p>
        </w:tc>
        <w:tc>
          <w:tcPr>
            <w:tcW w:w="832" w:type="dxa"/>
          </w:tcPr>
          <w:p>
            <w:pPr>
              <w:pStyle w:val="0"/>
              <w:jc w:val="center"/>
            </w:pPr>
            <w:r>
              <w:rPr>
                <w:sz w:val="20"/>
              </w:rPr>
              <w:t xml:space="preserve">3,5</w:t>
            </w:r>
          </w:p>
        </w:tc>
        <w:tc>
          <w:tcPr>
            <w:tcW w:w="832" w:type="dxa"/>
          </w:tcPr>
          <w:p>
            <w:pPr>
              <w:pStyle w:val="0"/>
              <w:jc w:val="center"/>
            </w:pPr>
            <w:r>
              <w:rPr>
                <w:sz w:val="20"/>
              </w:rPr>
              <w:t xml:space="preserve">3,0</w:t>
            </w:r>
          </w:p>
        </w:tc>
        <w:tc>
          <w:tcPr>
            <w:tcW w:w="832" w:type="dxa"/>
          </w:tcPr>
          <w:p>
            <w:pPr>
              <w:pStyle w:val="0"/>
              <w:jc w:val="center"/>
            </w:pPr>
            <w:r>
              <w:rPr>
                <w:sz w:val="20"/>
              </w:rPr>
              <w:t xml:space="preserve">0,5</w:t>
            </w:r>
          </w:p>
        </w:tc>
        <w:tc>
          <w:tcPr>
            <w:tcW w:w="832" w:type="dxa"/>
          </w:tcPr>
          <w:p>
            <w:pPr>
              <w:pStyle w:val="0"/>
              <w:jc w:val="center"/>
            </w:pPr>
            <w:r>
              <w:rPr>
                <w:sz w:val="20"/>
              </w:rPr>
              <w:t xml:space="preserve">2,0</w:t>
            </w:r>
          </w:p>
        </w:tc>
        <w:tc>
          <w:tcPr>
            <w:tcW w:w="835" w:type="dxa"/>
          </w:tcPr>
          <w:p>
            <w:pPr>
              <w:pStyle w:val="0"/>
              <w:jc w:val="center"/>
            </w:pPr>
            <w:r>
              <w:rPr>
                <w:sz w:val="20"/>
              </w:rPr>
              <w:t xml:space="preserve">4,5</w:t>
            </w:r>
          </w:p>
        </w:tc>
        <w:tc>
          <w:tcPr>
            <w:tcW w:w="737" w:type="dxa"/>
          </w:tcPr>
          <w:p>
            <w:pPr>
              <w:pStyle w:val="0"/>
              <w:jc w:val="center"/>
            </w:pPr>
            <w:r>
              <w:rPr>
                <w:sz w:val="20"/>
              </w:rPr>
              <w:t xml:space="preserve">ИЖС, малоэтажная</w:t>
            </w:r>
          </w:p>
        </w:tc>
        <w:tc>
          <w:tcPr>
            <w:tcW w:w="1134" w:type="dxa"/>
          </w:tcPr>
          <w:p>
            <w:pPr>
              <w:pStyle w:val="0"/>
              <w:jc w:val="center"/>
            </w:pPr>
            <w:r>
              <w:rPr>
                <w:sz w:val="20"/>
              </w:rPr>
              <w:t xml:space="preserve">индивидуальные застройщики (физические лица)</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 за исключением сетей газоснабжения</w:t>
            </w:r>
          </w:p>
        </w:tc>
        <w:tc>
          <w:tcPr>
            <w:tcW w:w="1117" w:type="dxa"/>
          </w:tcPr>
          <w:p>
            <w:pPr>
              <w:pStyle w:val="0"/>
              <w:jc w:val="center"/>
            </w:pPr>
            <w:r>
              <w:rPr>
                <w:sz w:val="20"/>
              </w:rPr>
              <w:t xml:space="preserve">2022</w:t>
            </w:r>
          </w:p>
        </w:tc>
        <w:tc>
          <w:tcPr>
            <w:tcW w:w="763" w:type="dxa"/>
          </w:tcPr>
          <w:p>
            <w:pPr>
              <w:pStyle w:val="0"/>
              <w:jc w:val="center"/>
            </w:pPr>
            <w:r>
              <w:rPr>
                <w:sz w:val="20"/>
              </w:rPr>
              <w:t xml:space="preserve">2022</w:t>
            </w:r>
          </w:p>
        </w:tc>
      </w:tr>
      <w:tr>
        <w:tc>
          <w:tcPr>
            <w:gridSpan w:val="18"/>
            <w:tcW w:w="17062" w:type="dxa"/>
          </w:tcPr>
          <w:p>
            <w:pPr>
              <w:pStyle w:val="0"/>
              <w:outlineLvl w:val="2"/>
            </w:pPr>
            <w:r>
              <w:rPr>
                <w:sz w:val="20"/>
              </w:rPr>
              <w:t xml:space="preserve">Коченевский район</w:t>
            </w:r>
          </w:p>
        </w:tc>
      </w:tr>
      <w:tr>
        <w:tc>
          <w:tcPr>
            <w:tcW w:w="567" w:type="dxa"/>
          </w:tcPr>
          <w:p>
            <w:pPr>
              <w:pStyle w:val="0"/>
              <w:jc w:val="center"/>
            </w:pPr>
            <w:r>
              <w:rPr>
                <w:sz w:val="20"/>
              </w:rPr>
              <w:t xml:space="preserve">8</w:t>
            </w:r>
          </w:p>
        </w:tc>
        <w:tc>
          <w:tcPr>
            <w:tcW w:w="2211" w:type="dxa"/>
          </w:tcPr>
          <w:p>
            <w:pPr>
              <w:pStyle w:val="0"/>
            </w:pPr>
            <w:r>
              <w:rPr>
                <w:sz w:val="20"/>
              </w:rPr>
              <w:t xml:space="preserve">р.п. Коченево, южная сторона 54:11:040327:438; 432; 467; 469; 470; 472; 478; 483</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c>
          <w:tcPr>
            <w:tcW w:w="832" w:type="dxa"/>
          </w:tcPr>
          <w:p>
            <w:pPr>
              <w:pStyle w:val="0"/>
              <w:jc w:val="center"/>
            </w:pPr>
            <w:r>
              <w:rPr>
                <w:sz w:val="20"/>
              </w:rPr>
              <w:t xml:space="preserve">1,0</w:t>
            </w:r>
          </w:p>
        </w:tc>
        <w:tc>
          <w:tcPr>
            <w:tcW w:w="832" w:type="dxa"/>
          </w:tcPr>
          <w:p>
            <w:pPr>
              <w:pStyle w:val="0"/>
              <w:jc w:val="center"/>
            </w:pPr>
            <w:r>
              <w:rPr>
                <w:sz w:val="20"/>
              </w:rPr>
              <w:t xml:space="preserve">1,4</w:t>
            </w:r>
          </w:p>
        </w:tc>
        <w:tc>
          <w:tcPr>
            <w:tcW w:w="832" w:type="dxa"/>
          </w:tcPr>
          <w:p>
            <w:pPr>
              <w:pStyle w:val="0"/>
              <w:jc w:val="center"/>
            </w:pPr>
            <w:r>
              <w:rPr>
                <w:sz w:val="20"/>
              </w:rPr>
              <w:t xml:space="preserve">0,4</w:t>
            </w:r>
          </w:p>
        </w:tc>
        <w:tc>
          <w:tcPr>
            <w:tcW w:w="832" w:type="dxa"/>
          </w:tcPr>
          <w:p>
            <w:pPr>
              <w:pStyle w:val="0"/>
              <w:jc w:val="center"/>
            </w:pPr>
            <w:r>
              <w:rPr>
                <w:sz w:val="20"/>
              </w:rPr>
              <w:t xml:space="preserve">5,0</w:t>
            </w:r>
          </w:p>
        </w:tc>
        <w:tc>
          <w:tcPr>
            <w:tcW w:w="835" w:type="dxa"/>
          </w:tcPr>
          <w:p>
            <w:pPr>
              <w:pStyle w:val="0"/>
              <w:jc w:val="center"/>
            </w:pPr>
            <w:r>
              <w:rPr>
                <w:sz w:val="20"/>
              </w:rPr>
              <w:t xml:space="preserve">1,0</w:t>
            </w:r>
          </w:p>
        </w:tc>
        <w:tc>
          <w:tcPr>
            <w:tcW w:w="737" w:type="dxa"/>
          </w:tcPr>
          <w:p>
            <w:pPr>
              <w:pStyle w:val="0"/>
              <w:jc w:val="center"/>
            </w:pPr>
            <w:r>
              <w:rPr>
                <w:sz w:val="20"/>
              </w:rPr>
              <w:t xml:space="preserve">ИЖС</w:t>
            </w:r>
          </w:p>
        </w:tc>
        <w:tc>
          <w:tcPr>
            <w:tcW w:w="1134" w:type="dxa"/>
          </w:tcPr>
          <w:p>
            <w:pPr>
              <w:pStyle w:val="0"/>
              <w:jc w:val="center"/>
            </w:pPr>
            <w:r>
              <w:rPr>
                <w:sz w:val="20"/>
              </w:rPr>
              <w:t xml:space="preserve">физические лица - правообладатели земельных участков</w:t>
            </w:r>
          </w:p>
        </w:tc>
        <w:tc>
          <w:tcPr>
            <w:tcW w:w="992" w:type="dxa"/>
          </w:tcPr>
          <w:p>
            <w:pPr>
              <w:pStyle w:val="0"/>
              <w:jc w:val="center"/>
            </w:pPr>
            <w:r>
              <w:rPr>
                <w:sz w:val="20"/>
              </w:rPr>
              <w:t xml:space="preserve">2021</w:t>
            </w:r>
          </w:p>
        </w:tc>
        <w:tc>
          <w:tcPr>
            <w:tcW w:w="996" w:type="dxa"/>
          </w:tcPr>
          <w:p>
            <w:pPr>
              <w:pStyle w:val="0"/>
              <w:jc w:val="center"/>
            </w:pPr>
            <w:r>
              <w:rPr>
                <w:sz w:val="20"/>
              </w:rPr>
              <w:t xml:space="preserve">2021</w:t>
            </w:r>
          </w:p>
        </w:tc>
        <w:tc>
          <w:tcPr>
            <w:tcW w:w="856" w:type="dxa"/>
          </w:tcPr>
          <w:p>
            <w:pPr>
              <w:pStyle w:val="0"/>
              <w:jc w:val="center"/>
            </w:pPr>
            <w:r>
              <w:rPr>
                <w:sz w:val="20"/>
              </w:rPr>
              <w:t xml:space="preserve">2021</w:t>
            </w:r>
          </w:p>
        </w:tc>
        <w:tc>
          <w:tcPr>
            <w:tcW w:w="856" w:type="dxa"/>
          </w:tcPr>
          <w:p>
            <w:pPr>
              <w:pStyle w:val="0"/>
              <w:jc w:val="center"/>
            </w:pPr>
            <w:r>
              <w:rPr>
                <w:sz w:val="20"/>
              </w:rPr>
              <w:t xml:space="preserve">2023</w:t>
            </w:r>
          </w:p>
        </w:tc>
        <w:tc>
          <w:tcPr>
            <w:tcW w:w="856" w:type="dxa"/>
          </w:tcPr>
          <w:p>
            <w:pPr>
              <w:pStyle w:val="0"/>
              <w:jc w:val="center"/>
            </w:pPr>
            <w:r>
              <w:rPr>
                <w:sz w:val="20"/>
              </w:rPr>
              <w:t xml:space="preserve">2025</w:t>
            </w:r>
          </w:p>
        </w:tc>
        <w:tc>
          <w:tcPr>
            <w:tcW w:w="1117" w:type="dxa"/>
          </w:tcPr>
          <w:p>
            <w:pPr>
              <w:pStyle w:val="0"/>
              <w:jc w:val="center"/>
            </w:pPr>
            <w:r>
              <w:rPr>
                <w:sz w:val="20"/>
              </w:rPr>
              <w:t xml:space="preserve">2028</w:t>
            </w:r>
          </w:p>
        </w:tc>
        <w:tc>
          <w:tcPr>
            <w:tcW w:w="763" w:type="dxa"/>
          </w:tcPr>
          <w:p>
            <w:pPr>
              <w:pStyle w:val="0"/>
              <w:jc w:val="center"/>
            </w:pPr>
            <w:r>
              <w:rPr>
                <w:sz w:val="20"/>
              </w:rPr>
              <w:t xml:space="preserve">2030</w:t>
            </w:r>
          </w:p>
        </w:tc>
      </w:tr>
      <w:tr>
        <w:tc>
          <w:tcPr>
            <w:tcW w:w="567" w:type="dxa"/>
          </w:tcPr>
          <w:p>
            <w:pPr>
              <w:pStyle w:val="0"/>
              <w:jc w:val="center"/>
            </w:pPr>
            <w:r>
              <w:rPr>
                <w:sz w:val="20"/>
              </w:rPr>
              <w:t xml:space="preserve">9</w:t>
            </w:r>
          </w:p>
        </w:tc>
        <w:tc>
          <w:tcPr>
            <w:tcW w:w="2211" w:type="dxa"/>
          </w:tcPr>
          <w:p>
            <w:pPr>
              <w:pStyle w:val="0"/>
            </w:pPr>
            <w:r>
              <w:rPr>
                <w:sz w:val="20"/>
              </w:rPr>
              <w:t xml:space="preserve">Р.п. Коченево, Заречный жилмассив</w:t>
            </w:r>
          </w:p>
        </w:tc>
        <w:tc>
          <w:tcPr>
            <w:tcW w:w="907" w:type="dxa"/>
          </w:tcPr>
          <w:p>
            <w:pPr>
              <w:pStyle w:val="0"/>
              <w:jc w:val="center"/>
            </w:pPr>
            <w:r>
              <w:rPr>
                <w:sz w:val="20"/>
              </w:rPr>
              <w:t xml:space="preserve">20,0</w:t>
            </w:r>
          </w:p>
        </w:tc>
        <w:tc>
          <w:tcPr>
            <w:tcW w:w="907" w:type="dxa"/>
          </w:tcPr>
          <w:p>
            <w:pPr>
              <w:pStyle w:val="0"/>
              <w:jc w:val="center"/>
            </w:pPr>
            <w:r>
              <w:rPr>
                <w:sz w:val="20"/>
              </w:rPr>
              <w:t xml:space="preserve">25,0</w:t>
            </w:r>
          </w:p>
        </w:tc>
        <w:tc>
          <w:tcPr>
            <w:tcW w:w="832" w:type="dxa"/>
          </w:tcPr>
          <w:p>
            <w:pPr>
              <w:pStyle w:val="0"/>
              <w:jc w:val="center"/>
            </w:pPr>
            <w:r>
              <w:rPr>
                <w:sz w:val="20"/>
              </w:rPr>
              <w:t xml:space="preserve">0,4</w:t>
            </w:r>
          </w:p>
        </w:tc>
        <w:tc>
          <w:tcPr>
            <w:tcW w:w="832" w:type="dxa"/>
          </w:tcPr>
          <w:p>
            <w:pPr>
              <w:pStyle w:val="0"/>
              <w:jc w:val="center"/>
            </w:pPr>
            <w:r>
              <w:rPr>
                <w:sz w:val="20"/>
              </w:rPr>
              <w:t xml:space="preserve">0,4</w:t>
            </w:r>
          </w:p>
        </w:tc>
        <w:tc>
          <w:tcPr>
            <w:tcW w:w="832" w:type="dxa"/>
          </w:tcPr>
          <w:p>
            <w:pPr>
              <w:pStyle w:val="0"/>
              <w:jc w:val="center"/>
            </w:pPr>
            <w:r>
              <w:rPr>
                <w:sz w:val="20"/>
              </w:rPr>
              <w:t xml:space="preserve">0,6</w:t>
            </w:r>
          </w:p>
        </w:tc>
        <w:tc>
          <w:tcPr>
            <w:tcW w:w="832" w:type="dxa"/>
          </w:tcPr>
          <w:p>
            <w:pPr>
              <w:pStyle w:val="0"/>
              <w:jc w:val="center"/>
            </w:pPr>
            <w:r>
              <w:rPr>
                <w:sz w:val="20"/>
              </w:rPr>
              <w:t xml:space="preserve">10,0</w:t>
            </w:r>
          </w:p>
        </w:tc>
        <w:tc>
          <w:tcPr>
            <w:tcW w:w="835" w:type="dxa"/>
          </w:tcPr>
          <w:p>
            <w:pPr>
              <w:pStyle w:val="0"/>
              <w:jc w:val="center"/>
            </w:pPr>
            <w:r>
              <w:rPr>
                <w:sz w:val="20"/>
              </w:rPr>
              <w:t xml:space="preserve">14,0</w:t>
            </w:r>
          </w:p>
        </w:tc>
        <w:tc>
          <w:tcPr>
            <w:tcW w:w="737" w:type="dxa"/>
          </w:tcPr>
          <w:p>
            <w:pPr>
              <w:pStyle w:val="0"/>
              <w:jc w:val="center"/>
            </w:pPr>
            <w:r>
              <w:rPr>
                <w:sz w:val="20"/>
              </w:rPr>
              <w:t xml:space="preserve">ИЖС</w:t>
            </w:r>
          </w:p>
        </w:tc>
        <w:tc>
          <w:tcPr>
            <w:tcW w:w="1134" w:type="dxa"/>
          </w:tcPr>
          <w:p>
            <w:pPr>
              <w:pStyle w:val="0"/>
              <w:jc w:val="center"/>
            </w:pPr>
            <w:r>
              <w:rPr>
                <w:sz w:val="20"/>
              </w:rPr>
              <w:t xml:space="preserve">физические лица - правообладатели земельных участков</w:t>
            </w:r>
          </w:p>
        </w:tc>
        <w:tc>
          <w:tcPr>
            <w:tcW w:w="992" w:type="dxa"/>
          </w:tcPr>
          <w:p>
            <w:pPr>
              <w:pStyle w:val="0"/>
              <w:jc w:val="center"/>
            </w:pPr>
            <w:r>
              <w:rPr>
                <w:sz w:val="20"/>
              </w:rPr>
              <w:t xml:space="preserve">2021</w:t>
            </w:r>
          </w:p>
        </w:tc>
        <w:tc>
          <w:tcPr>
            <w:tcW w:w="996" w:type="dxa"/>
          </w:tcPr>
          <w:p>
            <w:pPr>
              <w:pStyle w:val="0"/>
              <w:jc w:val="center"/>
            </w:pPr>
            <w:r>
              <w:rPr>
                <w:sz w:val="20"/>
              </w:rPr>
              <w:t xml:space="preserve">2021</w:t>
            </w:r>
          </w:p>
        </w:tc>
        <w:tc>
          <w:tcPr>
            <w:tcW w:w="856" w:type="dxa"/>
          </w:tcPr>
          <w:p>
            <w:pPr>
              <w:pStyle w:val="0"/>
              <w:jc w:val="center"/>
            </w:pPr>
            <w:r>
              <w:rPr>
                <w:sz w:val="20"/>
              </w:rPr>
              <w:t xml:space="preserve">2021</w:t>
            </w:r>
          </w:p>
        </w:tc>
        <w:tc>
          <w:tcPr>
            <w:tcW w:w="856" w:type="dxa"/>
          </w:tcPr>
          <w:p>
            <w:pPr>
              <w:pStyle w:val="0"/>
              <w:jc w:val="center"/>
            </w:pPr>
            <w:r>
              <w:rPr>
                <w:sz w:val="20"/>
              </w:rPr>
              <w:t xml:space="preserve">2023</w:t>
            </w:r>
          </w:p>
        </w:tc>
        <w:tc>
          <w:tcPr>
            <w:tcW w:w="856" w:type="dxa"/>
          </w:tcPr>
          <w:p>
            <w:pPr>
              <w:pStyle w:val="0"/>
              <w:jc w:val="center"/>
            </w:pPr>
            <w:r>
              <w:rPr>
                <w:sz w:val="20"/>
              </w:rPr>
              <w:t xml:space="preserve">2025</w:t>
            </w:r>
          </w:p>
        </w:tc>
        <w:tc>
          <w:tcPr>
            <w:tcW w:w="1117" w:type="dxa"/>
          </w:tcPr>
          <w:p>
            <w:pPr>
              <w:pStyle w:val="0"/>
              <w:jc w:val="center"/>
            </w:pPr>
            <w:r>
              <w:rPr>
                <w:sz w:val="20"/>
              </w:rPr>
              <w:t xml:space="preserve">2028</w:t>
            </w:r>
          </w:p>
        </w:tc>
        <w:tc>
          <w:tcPr>
            <w:tcW w:w="763" w:type="dxa"/>
          </w:tcPr>
          <w:p>
            <w:pPr>
              <w:pStyle w:val="0"/>
              <w:jc w:val="center"/>
            </w:pPr>
            <w:r>
              <w:rPr>
                <w:sz w:val="20"/>
              </w:rPr>
              <w:t xml:space="preserve">2030</w:t>
            </w:r>
          </w:p>
        </w:tc>
      </w:tr>
      <w:tr>
        <w:tc>
          <w:tcPr>
            <w:tcW w:w="567" w:type="dxa"/>
          </w:tcPr>
          <w:p>
            <w:pPr>
              <w:pStyle w:val="0"/>
              <w:jc w:val="center"/>
            </w:pPr>
            <w:r>
              <w:rPr>
                <w:sz w:val="20"/>
              </w:rPr>
              <w:t xml:space="preserve">10</w:t>
            </w:r>
          </w:p>
        </w:tc>
        <w:tc>
          <w:tcPr>
            <w:tcW w:w="2211" w:type="dxa"/>
          </w:tcPr>
          <w:p>
            <w:pPr>
              <w:pStyle w:val="0"/>
            </w:pPr>
            <w:r>
              <w:rPr>
                <w:sz w:val="20"/>
              </w:rPr>
              <w:t xml:space="preserve">С. Прокудское</w:t>
            </w:r>
          </w:p>
        </w:tc>
        <w:tc>
          <w:tcPr>
            <w:tcW w:w="907" w:type="dxa"/>
          </w:tcPr>
          <w:p>
            <w:pPr>
              <w:pStyle w:val="0"/>
              <w:jc w:val="center"/>
            </w:pPr>
            <w:r>
              <w:rPr>
                <w:sz w:val="20"/>
              </w:rPr>
              <w:t xml:space="preserve">32,0</w:t>
            </w:r>
          </w:p>
        </w:tc>
        <w:tc>
          <w:tcPr>
            <w:tcW w:w="907" w:type="dxa"/>
          </w:tcPr>
          <w:p>
            <w:pPr>
              <w:pStyle w:val="0"/>
              <w:jc w:val="center"/>
            </w:pPr>
            <w:r>
              <w:rPr>
                <w:sz w:val="20"/>
              </w:rPr>
              <w:t xml:space="preserve">20,0</w:t>
            </w:r>
          </w:p>
        </w:tc>
        <w:tc>
          <w:tcPr>
            <w:tcW w:w="832" w:type="dxa"/>
          </w:tcPr>
          <w:p>
            <w:pPr>
              <w:pStyle w:val="0"/>
              <w:jc w:val="center"/>
            </w:pPr>
            <w:r>
              <w:rPr>
                <w:sz w:val="20"/>
              </w:rPr>
              <w:t xml:space="preserve">0,5</w:t>
            </w:r>
          </w:p>
        </w:tc>
        <w:tc>
          <w:tcPr>
            <w:tcW w:w="832" w:type="dxa"/>
          </w:tcPr>
          <w:p>
            <w:pPr>
              <w:pStyle w:val="0"/>
              <w:jc w:val="center"/>
            </w:pPr>
            <w:r>
              <w:rPr>
                <w:sz w:val="20"/>
              </w:rPr>
              <w:t xml:space="preserve">0,5</w:t>
            </w:r>
          </w:p>
        </w:tc>
        <w:tc>
          <w:tcPr>
            <w:tcW w:w="832" w:type="dxa"/>
          </w:tcPr>
          <w:p>
            <w:pPr>
              <w:pStyle w:val="0"/>
              <w:jc w:val="center"/>
            </w:pPr>
            <w:r>
              <w:rPr>
                <w:sz w:val="20"/>
              </w:rPr>
              <w:t xml:space="preserve">0,6</w:t>
            </w:r>
          </w:p>
        </w:tc>
        <w:tc>
          <w:tcPr>
            <w:tcW w:w="832" w:type="dxa"/>
          </w:tcPr>
          <w:p>
            <w:pPr>
              <w:pStyle w:val="0"/>
              <w:jc w:val="center"/>
            </w:pPr>
            <w:r>
              <w:rPr>
                <w:sz w:val="20"/>
              </w:rPr>
              <w:t xml:space="preserve">10,0</w:t>
            </w:r>
          </w:p>
        </w:tc>
        <w:tc>
          <w:tcPr>
            <w:tcW w:w="835" w:type="dxa"/>
          </w:tcPr>
          <w:p>
            <w:pPr>
              <w:pStyle w:val="0"/>
              <w:jc w:val="center"/>
            </w:pPr>
            <w:r>
              <w:rPr>
                <w:sz w:val="20"/>
              </w:rPr>
              <w:t xml:space="preserve">8,90</w:t>
            </w:r>
          </w:p>
        </w:tc>
        <w:tc>
          <w:tcPr>
            <w:tcW w:w="737" w:type="dxa"/>
          </w:tcPr>
          <w:p>
            <w:pPr>
              <w:pStyle w:val="0"/>
              <w:jc w:val="center"/>
            </w:pPr>
            <w:r>
              <w:rPr>
                <w:sz w:val="20"/>
              </w:rPr>
              <w:t xml:space="preserve">ИЖС</w:t>
            </w:r>
          </w:p>
        </w:tc>
        <w:tc>
          <w:tcPr>
            <w:tcW w:w="1134" w:type="dxa"/>
          </w:tcPr>
          <w:p>
            <w:pPr>
              <w:pStyle w:val="0"/>
              <w:jc w:val="center"/>
            </w:pPr>
            <w:r>
              <w:rPr>
                <w:sz w:val="20"/>
              </w:rPr>
              <w:t xml:space="preserve">физические лица - правообладатели земельных участков</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2021</w:t>
            </w:r>
          </w:p>
        </w:tc>
        <w:tc>
          <w:tcPr>
            <w:tcW w:w="856" w:type="dxa"/>
          </w:tcPr>
          <w:p>
            <w:pPr>
              <w:pStyle w:val="0"/>
              <w:jc w:val="center"/>
            </w:pPr>
            <w:r>
              <w:rPr>
                <w:sz w:val="20"/>
              </w:rPr>
              <w:t xml:space="preserve">2023</w:t>
            </w:r>
          </w:p>
        </w:tc>
        <w:tc>
          <w:tcPr>
            <w:tcW w:w="856" w:type="dxa"/>
          </w:tcPr>
          <w:p>
            <w:pPr>
              <w:pStyle w:val="0"/>
              <w:jc w:val="center"/>
            </w:pPr>
            <w:r>
              <w:rPr>
                <w:sz w:val="20"/>
              </w:rPr>
              <w:t xml:space="preserve">2025</w:t>
            </w:r>
          </w:p>
        </w:tc>
        <w:tc>
          <w:tcPr>
            <w:tcW w:w="1117" w:type="dxa"/>
          </w:tcPr>
          <w:p>
            <w:pPr>
              <w:pStyle w:val="0"/>
              <w:jc w:val="center"/>
            </w:pPr>
            <w:r>
              <w:rPr>
                <w:sz w:val="20"/>
              </w:rPr>
              <w:t xml:space="preserve">2028</w:t>
            </w:r>
          </w:p>
        </w:tc>
        <w:tc>
          <w:tcPr>
            <w:tcW w:w="763" w:type="dxa"/>
          </w:tcPr>
          <w:p>
            <w:pPr>
              <w:pStyle w:val="0"/>
              <w:jc w:val="center"/>
            </w:pPr>
            <w:r>
              <w:rPr>
                <w:sz w:val="20"/>
              </w:rPr>
              <w:t xml:space="preserve">2030</w:t>
            </w:r>
          </w:p>
        </w:tc>
      </w:tr>
      <w:tr>
        <w:tc>
          <w:tcPr>
            <w:tcW w:w="567" w:type="dxa"/>
          </w:tcPr>
          <w:p>
            <w:pPr>
              <w:pStyle w:val="0"/>
              <w:jc w:val="center"/>
            </w:pPr>
            <w:r>
              <w:rPr>
                <w:sz w:val="20"/>
              </w:rPr>
              <w:t xml:space="preserve">11</w:t>
            </w:r>
          </w:p>
        </w:tc>
        <w:tc>
          <w:tcPr>
            <w:tcW w:w="2211" w:type="dxa"/>
          </w:tcPr>
          <w:p>
            <w:pPr>
              <w:pStyle w:val="0"/>
            </w:pPr>
            <w:r>
              <w:rPr>
                <w:sz w:val="20"/>
              </w:rPr>
              <w:t xml:space="preserve">С. Чистополье</w:t>
            </w:r>
          </w:p>
        </w:tc>
        <w:tc>
          <w:tcPr>
            <w:tcW w:w="907" w:type="dxa"/>
          </w:tcPr>
          <w:p>
            <w:pPr>
              <w:pStyle w:val="0"/>
              <w:jc w:val="center"/>
            </w:pPr>
            <w:r>
              <w:rPr>
                <w:sz w:val="20"/>
              </w:rPr>
              <w:t xml:space="preserve">15,0</w:t>
            </w:r>
          </w:p>
        </w:tc>
        <w:tc>
          <w:tcPr>
            <w:tcW w:w="907" w:type="dxa"/>
          </w:tcPr>
          <w:p>
            <w:pPr>
              <w:pStyle w:val="0"/>
              <w:jc w:val="center"/>
            </w:pPr>
            <w:r>
              <w:rPr>
                <w:sz w:val="20"/>
              </w:rPr>
              <w:t xml:space="preserve">8,0</w:t>
            </w:r>
          </w:p>
        </w:tc>
        <w:tc>
          <w:tcPr>
            <w:tcW w:w="832" w:type="dxa"/>
          </w:tcPr>
          <w:p>
            <w:pPr>
              <w:pStyle w:val="0"/>
              <w:jc w:val="center"/>
            </w:pPr>
            <w:r>
              <w:rPr>
                <w:sz w:val="20"/>
              </w:rPr>
              <w:t xml:space="preserve">1,0</w:t>
            </w:r>
          </w:p>
        </w:tc>
        <w:tc>
          <w:tcPr>
            <w:tcW w:w="832" w:type="dxa"/>
          </w:tcPr>
          <w:p>
            <w:pPr>
              <w:pStyle w:val="0"/>
              <w:jc w:val="center"/>
            </w:pPr>
            <w:r>
              <w:rPr>
                <w:sz w:val="20"/>
              </w:rPr>
              <w:t xml:space="preserve">1,0</w:t>
            </w:r>
          </w:p>
        </w:tc>
        <w:tc>
          <w:tcPr>
            <w:tcW w:w="832" w:type="dxa"/>
          </w:tcPr>
          <w:p>
            <w:pPr>
              <w:pStyle w:val="0"/>
              <w:jc w:val="center"/>
            </w:pPr>
            <w:r>
              <w:rPr>
                <w:sz w:val="20"/>
              </w:rPr>
              <w:t xml:space="preserve">0,5</w:t>
            </w:r>
          </w:p>
        </w:tc>
        <w:tc>
          <w:tcPr>
            <w:tcW w:w="832" w:type="dxa"/>
          </w:tcPr>
          <w:p>
            <w:pPr>
              <w:pStyle w:val="0"/>
              <w:jc w:val="center"/>
            </w:pPr>
            <w:r>
              <w:rPr>
                <w:sz w:val="20"/>
              </w:rPr>
              <w:t xml:space="preserve">2,0</w:t>
            </w:r>
          </w:p>
        </w:tc>
        <w:tc>
          <w:tcPr>
            <w:tcW w:w="835" w:type="dxa"/>
          </w:tcPr>
          <w:p>
            <w:pPr>
              <w:pStyle w:val="0"/>
              <w:jc w:val="center"/>
            </w:pPr>
            <w:r>
              <w:rPr>
                <w:sz w:val="20"/>
              </w:rPr>
              <w:t xml:space="preserve">4,50</w:t>
            </w:r>
          </w:p>
        </w:tc>
        <w:tc>
          <w:tcPr>
            <w:tcW w:w="737" w:type="dxa"/>
          </w:tcPr>
          <w:p>
            <w:pPr>
              <w:pStyle w:val="0"/>
              <w:jc w:val="center"/>
            </w:pPr>
            <w:r>
              <w:rPr>
                <w:sz w:val="20"/>
              </w:rPr>
              <w:t xml:space="preserve">ИЖС</w:t>
            </w:r>
          </w:p>
        </w:tc>
        <w:tc>
          <w:tcPr>
            <w:tcW w:w="1134" w:type="dxa"/>
          </w:tcPr>
          <w:p>
            <w:pPr>
              <w:pStyle w:val="0"/>
              <w:jc w:val="center"/>
            </w:pPr>
            <w:r>
              <w:rPr>
                <w:sz w:val="20"/>
              </w:rPr>
              <w:t xml:space="preserve">физические лица - правообладатели земельных участков</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2021</w:t>
            </w:r>
          </w:p>
        </w:tc>
        <w:tc>
          <w:tcPr>
            <w:tcW w:w="856" w:type="dxa"/>
          </w:tcPr>
          <w:p>
            <w:pPr>
              <w:pStyle w:val="0"/>
              <w:jc w:val="center"/>
            </w:pPr>
            <w:r>
              <w:rPr>
                <w:sz w:val="20"/>
              </w:rPr>
              <w:t xml:space="preserve">2021</w:t>
            </w:r>
          </w:p>
        </w:tc>
        <w:tc>
          <w:tcPr>
            <w:tcW w:w="856" w:type="dxa"/>
          </w:tcPr>
          <w:p>
            <w:pPr>
              <w:pStyle w:val="0"/>
              <w:jc w:val="center"/>
            </w:pPr>
            <w:r>
              <w:rPr>
                <w:sz w:val="20"/>
              </w:rPr>
              <w:t xml:space="preserve">2023</w:t>
            </w:r>
          </w:p>
        </w:tc>
        <w:tc>
          <w:tcPr>
            <w:tcW w:w="856" w:type="dxa"/>
          </w:tcPr>
          <w:p>
            <w:pPr>
              <w:pStyle w:val="0"/>
              <w:jc w:val="center"/>
            </w:pPr>
            <w:r>
              <w:rPr>
                <w:sz w:val="20"/>
              </w:rPr>
              <w:t xml:space="preserve">2025</w:t>
            </w:r>
          </w:p>
        </w:tc>
        <w:tc>
          <w:tcPr>
            <w:tcW w:w="1117" w:type="dxa"/>
          </w:tcPr>
          <w:p>
            <w:pPr>
              <w:pStyle w:val="0"/>
              <w:jc w:val="center"/>
            </w:pPr>
            <w:r>
              <w:rPr>
                <w:sz w:val="20"/>
              </w:rPr>
              <w:t xml:space="preserve">2028</w:t>
            </w:r>
          </w:p>
        </w:tc>
        <w:tc>
          <w:tcPr>
            <w:tcW w:w="763" w:type="dxa"/>
          </w:tcPr>
          <w:p>
            <w:pPr>
              <w:pStyle w:val="0"/>
              <w:jc w:val="center"/>
            </w:pPr>
            <w:r>
              <w:rPr>
                <w:sz w:val="20"/>
              </w:rPr>
              <w:t xml:space="preserve">2030</w:t>
            </w:r>
          </w:p>
        </w:tc>
      </w:tr>
      <w:tr>
        <w:tc>
          <w:tcPr>
            <w:gridSpan w:val="18"/>
            <w:tcW w:w="17062" w:type="dxa"/>
          </w:tcPr>
          <w:p>
            <w:pPr>
              <w:pStyle w:val="0"/>
              <w:outlineLvl w:val="2"/>
            </w:pPr>
            <w:r>
              <w:rPr>
                <w:sz w:val="20"/>
              </w:rPr>
              <w:t xml:space="preserve">Краснозерский район</w:t>
            </w:r>
          </w:p>
        </w:tc>
      </w:tr>
      <w:tr>
        <w:tc>
          <w:tcPr>
            <w:tcW w:w="567" w:type="dxa"/>
          </w:tcPr>
          <w:p>
            <w:pPr>
              <w:pStyle w:val="0"/>
              <w:jc w:val="center"/>
            </w:pPr>
            <w:r>
              <w:rPr>
                <w:sz w:val="20"/>
              </w:rPr>
              <w:t xml:space="preserve">12</w:t>
            </w:r>
          </w:p>
        </w:tc>
        <w:tc>
          <w:tcPr>
            <w:tcW w:w="2211" w:type="dxa"/>
          </w:tcPr>
          <w:p>
            <w:pPr>
              <w:pStyle w:val="0"/>
            </w:pPr>
            <w:r>
              <w:rPr>
                <w:sz w:val="20"/>
              </w:rPr>
              <w:t xml:space="preserve">Р.п. Краснозерское, северо-восток населенного пункта, вдоль автомобильной трассы К-17р</w:t>
            </w:r>
          </w:p>
        </w:tc>
        <w:tc>
          <w:tcPr>
            <w:tcW w:w="907" w:type="dxa"/>
          </w:tcPr>
          <w:p>
            <w:pPr>
              <w:pStyle w:val="0"/>
              <w:jc w:val="center"/>
            </w:pPr>
            <w:r>
              <w:rPr>
                <w:sz w:val="20"/>
              </w:rPr>
              <w:t xml:space="preserve">168,6</w:t>
            </w:r>
          </w:p>
        </w:tc>
        <w:tc>
          <w:tcPr>
            <w:tcW w:w="907" w:type="dxa"/>
          </w:tcPr>
          <w:p>
            <w:pPr>
              <w:pStyle w:val="0"/>
              <w:jc w:val="center"/>
            </w:pPr>
            <w:r>
              <w:rPr>
                <w:sz w:val="20"/>
              </w:rPr>
              <w:t xml:space="preserve">217,0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20,04</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не определен</w:t>
            </w:r>
          </w:p>
        </w:tc>
        <w:tc>
          <w:tcPr>
            <w:tcW w:w="992" w:type="dxa"/>
          </w:tcPr>
          <w:p>
            <w:pPr>
              <w:pStyle w:val="0"/>
              <w:jc w:val="center"/>
            </w:pPr>
            <w:r>
              <w:rPr>
                <w:sz w:val="20"/>
              </w:rPr>
              <w:t xml:space="preserve">2022</w:t>
            </w:r>
          </w:p>
        </w:tc>
        <w:tc>
          <w:tcPr>
            <w:tcW w:w="996" w:type="dxa"/>
          </w:tcPr>
          <w:p>
            <w:pPr>
              <w:pStyle w:val="0"/>
              <w:jc w:val="center"/>
            </w:pPr>
            <w:r>
              <w:rPr>
                <w:sz w:val="20"/>
              </w:rPr>
              <w:t xml:space="preserve">2022</w:t>
            </w:r>
          </w:p>
        </w:tc>
        <w:tc>
          <w:tcPr>
            <w:tcW w:w="856" w:type="dxa"/>
          </w:tcPr>
          <w:p>
            <w:pPr>
              <w:pStyle w:val="0"/>
              <w:jc w:val="center"/>
            </w:pPr>
            <w:r>
              <w:rPr>
                <w:sz w:val="20"/>
              </w:rPr>
              <w:t xml:space="preserve">2025</w:t>
            </w:r>
          </w:p>
        </w:tc>
        <w:tc>
          <w:tcPr>
            <w:tcW w:w="856" w:type="dxa"/>
          </w:tcPr>
          <w:p>
            <w:pPr>
              <w:pStyle w:val="0"/>
              <w:jc w:val="center"/>
            </w:pPr>
            <w:r>
              <w:rPr>
                <w:sz w:val="20"/>
              </w:rPr>
              <w:t xml:space="preserve">2026</w:t>
            </w:r>
          </w:p>
        </w:tc>
        <w:tc>
          <w:tcPr>
            <w:tcW w:w="856" w:type="dxa"/>
          </w:tcPr>
          <w:p>
            <w:pPr>
              <w:pStyle w:val="0"/>
              <w:jc w:val="center"/>
            </w:pPr>
            <w:r>
              <w:rPr>
                <w:sz w:val="20"/>
              </w:rPr>
              <w:t xml:space="preserve">2026</w:t>
            </w:r>
          </w:p>
        </w:tc>
        <w:tc>
          <w:tcPr>
            <w:tcW w:w="1117" w:type="dxa"/>
          </w:tcPr>
          <w:p>
            <w:pPr>
              <w:pStyle w:val="0"/>
              <w:jc w:val="center"/>
            </w:pPr>
            <w:r>
              <w:rPr>
                <w:sz w:val="20"/>
              </w:rPr>
              <w:t xml:space="preserve">2028</w:t>
            </w:r>
          </w:p>
        </w:tc>
        <w:tc>
          <w:tcPr>
            <w:tcW w:w="763" w:type="dxa"/>
          </w:tcPr>
          <w:p>
            <w:pPr>
              <w:pStyle w:val="0"/>
              <w:jc w:val="center"/>
            </w:pPr>
            <w:r>
              <w:rPr>
                <w:sz w:val="20"/>
              </w:rPr>
              <w:t xml:space="preserve">2036</w:t>
            </w:r>
          </w:p>
        </w:tc>
      </w:tr>
      <w:tr>
        <w:tc>
          <w:tcPr>
            <w:tcW w:w="567" w:type="dxa"/>
          </w:tcPr>
          <w:p>
            <w:pPr>
              <w:pStyle w:val="0"/>
              <w:jc w:val="center"/>
            </w:pPr>
            <w:r>
              <w:rPr>
                <w:sz w:val="20"/>
              </w:rPr>
              <w:t xml:space="preserve">13</w:t>
            </w:r>
          </w:p>
        </w:tc>
        <w:tc>
          <w:tcPr>
            <w:tcW w:w="2211" w:type="dxa"/>
          </w:tcPr>
          <w:p>
            <w:pPr>
              <w:pStyle w:val="0"/>
            </w:pPr>
            <w:r>
              <w:rPr>
                <w:sz w:val="20"/>
              </w:rPr>
              <w:t xml:space="preserve">С. Майское, ул. Молодежная</w:t>
            </w:r>
          </w:p>
        </w:tc>
        <w:tc>
          <w:tcPr>
            <w:tcW w:w="907" w:type="dxa"/>
          </w:tcPr>
          <w:p>
            <w:pPr>
              <w:pStyle w:val="0"/>
              <w:jc w:val="center"/>
            </w:pPr>
            <w:r>
              <w:rPr>
                <w:sz w:val="20"/>
              </w:rPr>
              <w:t xml:space="preserve">40,0</w:t>
            </w:r>
          </w:p>
        </w:tc>
        <w:tc>
          <w:tcPr>
            <w:tcW w:w="907" w:type="dxa"/>
          </w:tcPr>
          <w:p>
            <w:pPr>
              <w:pStyle w:val="0"/>
              <w:jc w:val="center"/>
            </w:pPr>
            <w:r>
              <w:rPr>
                <w:sz w:val="20"/>
              </w:rPr>
              <w:t xml:space="preserve">20,0</w:t>
            </w:r>
          </w:p>
        </w:tc>
        <w:tc>
          <w:tcPr>
            <w:tcW w:w="832" w:type="dxa"/>
          </w:tcPr>
          <w:p>
            <w:pPr>
              <w:pStyle w:val="0"/>
              <w:jc w:val="center"/>
            </w:pPr>
            <w:r>
              <w:rPr>
                <w:sz w:val="20"/>
              </w:rPr>
              <w:t xml:space="preserve">6,0</w:t>
            </w:r>
          </w:p>
        </w:tc>
        <w:tc>
          <w:tcPr>
            <w:tcW w:w="832" w:type="dxa"/>
          </w:tcPr>
          <w:p>
            <w:pPr>
              <w:pStyle w:val="0"/>
              <w:jc w:val="center"/>
            </w:pPr>
            <w:r>
              <w:rPr>
                <w:sz w:val="20"/>
              </w:rPr>
              <w:t xml:space="preserve">2,6</w:t>
            </w:r>
          </w:p>
        </w:tc>
        <w:tc>
          <w:tcPr>
            <w:tcW w:w="832" w:type="dxa"/>
          </w:tcPr>
          <w:p>
            <w:pPr>
              <w:pStyle w:val="0"/>
              <w:jc w:val="center"/>
            </w:pPr>
            <w:r>
              <w:rPr>
                <w:sz w:val="20"/>
              </w:rPr>
              <w:t xml:space="preserve">6,0</w:t>
            </w:r>
          </w:p>
        </w:tc>
        <w:tc>
          <w:tcPr>
            <w:tcW w:w="832" w:type="dxa"/>
          </w:tcPr>
          <w:p>
            <w:pPr>
              <w:pStyle w:val="0"/>
              <w:jc w:val="center"/>
            </w:pPr>
            <w:r>
              <w:rPr>
                <w:sz w:val="20"/>
              </w:rPr>
              <w:t xml:space="preserve">6,0</w:t>
            </w:r>
          </w:p>
        </w:tc>
        <w:tc>
          <w:tcPr>
            <w:tcW w:w="835" w:type="dxa"/>
          </w:tcPr>
          <w:p>
            <w:pPr>
              <w:pStyle w:val="0"/>
              <w:jc w:val="center"/>
            </w:pPr>
            <w:r>
              <w:rPr>
                <w:sz w:val="20"/>
              </w:rPr>
              <w:t xml:space="preserve">8,0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не определен</w:t>
            </w:r>
          </w:p>
        </w:tc>
        <w:tc>
          <w:tcPr>
            <w:tcW w:w="992" w:type="dxa"/>
          </w:tcPr>
          <w:p>
            <w:pPr>
              <w:pStyle w:val="0"/>
              <w:jc w:val="center"/>
            </w:pPr>
            <w:r>
              <w:rPr>
                <w:sz w:val="20"/>
              </w:rPr>
              <w:t xml:space="preserve">2023</w:t>
            </w:r>
          </w:p>
        </w:tc>
        <w:tc>
          <w:tcPr>
            <w:tcW w:w="996" w:type="dxa"/>
          </w:tcPr>
          <w:p>
            <w:pPr>
              <w:pStyle w:val="0"/>
              <w:jc w:val="center"/>
            </w:pPr>
            <w:r>
              <w:rPr>
                <w:sz w:val="20"/>
              </w:rPr>
              <w:t xml:space="preserve">2023</w:t>
            </w:r>
          </w:p>
        </w:tc>
        <w:tc>
          <w:tcPr>
            <w:tcW w:w="856" w:type="dxa"/>
          </w:tcPr>
          <w:p>
            <w:pPr>
              <w:pStyle w:val="0"/>
              <w:jc w:val="center"/>
            </w:pPr>
            <w:r>
              <w:rPr>
                <w:sz w:val="20"/>
              </w:rPr>
              <w:t xml:space="preserve">2025</w:t>
            </w:r>
          </w:p>
        </w:tc>
        <w:tc>
          <w:tcPr>
            <w:tcW w:w="856" w:type="dxa"/>
          </w:tcPr>
          <w:p>
            <w:pPr>
              <w:pStyle w:val="0"/>
              <w:jc w:val="center"/>
            </w:pPr>
            <w:r>
              <w:rPr>
                <w:sz w:val="20"/>
              </w:rPr>
              <w:t xml:space="preserve">2026</w:t>
            </w:r>
          </w:p>
        </w:tc>
        <w:tc>
          <w:tcPr>
            <w:tcW w:w="856" w:type="dxa"/>
          </w:tcPr>
          <w:p>
            <w:pPr>
              <w:pStyle w:val="0"/>
              <w:jc w:val="center"/>
            </w:pPr>
            <w:r>
              <w:rPr>
                <w:sz w:val="20"/>
              </w:rPr>
              <w:t xml:space="preserve">2026</w:t>
            </w:r>
          </w:p>
        </w:tc>
        <w:tc>
          <w:tcPr>
            <w:tcW w:w="1117" w:type="dxa"/>
          </w:tcPr>
          <w:p>
            <w:pPr>
              <w:pStyle w:val="0"/>
              <w:jc w:val="center"/>
            </w:pPr>
            <w:r>
              <w:rPr>
                <w:sz w:val="20"/>
              </w:rPr>
              <w:t xml:space="preserve">2028</w:t>
            </w:r>
          </w:p>
        </w:tc>
        <w:tc>
          <w:tcPr>
            <w:tcW w:w="763" w:type="dxa"/>
          </w:tcPr>
          <w:p>
            <w:pPr>
              <w:pStyle w:val="0"/>
              <w:jc w:val="center"/>
            </w:pPr>
            <w:r>
              <w:rPr>
                <w:sz w:val="20"/>
              </w:rPr>
              <w:t xml:space="preserve">2036</w:t>
            </w:r>
          </w:p>
        </w:tc>
      </w:tr>
      <w:tr>
        <w:tc>
          <w:tcPr>
            <w:tcW w:w="567" w:type="dxa"/>
          </w:tcPr>
          <w:p>
            <w:pPr>
              <w:pStyle w:val="0"/>
              <w:jc w:val="center"/>
            </w:pPr>
            <w:r>
              <w:rPr>
                <w:sz w:val="20"/>
              </w:rPr>
              <w:t xml:space="preserve">14</w:t>
            </w:r>
          </w:p>
        </w:tc>
        <w:tc>
          <w:tcPr>
            <w:tcW w:w="2211" w:type="dxa"/>
          </w:tcPr>
          <w:p>
            <w:pPr>
              <w:pStyle w:val="0"/>
            </w:pPr>
            <w:r>
              <w:rPr>
                <w:sz w:val="20"/>
              </w:rPr>
              <w:t xml:space="preserve">С. Колыбелька, 50 метров от ул. Весенней</w:t>
            </w:r>
          </w:p>
        </w:tc>
        <w:tc>
          <w:tcPr>
            <w:tcW w:w="907" w:type="dxa"/>
          </w:tcPr>
          <w:p>
            <w:pPr>
              <w:pStyle w:val="0"/>
              <w:jc w:val="center"/>
            </w:pPr>
            <w:r>
              <w:rPr>
                <w:sz w:val="20"/>
              </w:rPr>
              <w:t xml:space="preserve">5,5</w:t>
            </w:r>
          </w:p>
        </w:tc>
        <w:tc>
          <w:tcPr>
            <w:tcW w:w="907" w:type="dxa"/>
          </w:tcPr>
          <w:p>
            <w:pPr>
              <w:pStyle w:val="0"/>
              <w:jc w:val="center"/>
            </w:pPr>
            <w:r>
              <w:rPr>
                <w:sz w:val="20"/>
              </w:rPr>
              <w:t xml:space="preserve">1,8</w:t>
            </w:r>
          </w:p>
        </w:tc>
        <w:tc>
          <w:tcPr>
            <w:tcW w:w="832" w:type="dxa"/>
          </w:tcPr>
          <w:p>
            <w:pPr>
              <w:pStyle w:val="0"/>
              <w:jc w:val="center"/>
            </w:pPr>
            <w:r>
              <w:rPr>
                <w:sz w:val="20"/>
              </w:rPr>
              <w:t xml:space="preserve">1,5</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0,3</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не определен</w:t>
            </w:r>
          </w:p>
        </w:tc>
        <w:tc>
          <w:tcPr>
            <w:tcW w:w="992" w:type="dxa"/>
          </w:tcPr>
          <w:p>
            <w:pPr>
              <w:pStyle w:val="0"/>
              <w:jc w:val="center"/>
            </w:pPr>
            <w:r>
              <w:rPr>
                <w:sz w:val="20"/>
              </w:rPr>
              <w:t xml:space="preserve">2022</w:t>
            </w:r>
          </w:p>
        </w:tc>
        <w:tc>
          <w:tcPr>
            <w:tcW w:w="996" w:type="dxa"/>
          </w:tcPr>
          <w:p>
            <w:pPr>
              <w:pStyle w:val="0"/>
              <w:jc w:val="center"/>
            </w:pPr>
            <w:r>
              <w:rPr>
                <w:sz w:val="20"/>
              </w:rPr>
              <w:t xml:space="preserve">2022</w:t>
            </w:r>
          </w:p>
        </w:tc>
        <w:tc>
          <w:tcPr>
            <w:tcW w:w="856" w:type="dxa"/>
          </w:tcPr>
          <w:p>
            <w:pPr>
              <w:pStyle w:val="0"/>
              <w:jc w:val="center"/>
            </w:pPr>
            <w:r>
              <w:rPr>
                <w:sz w:val="20"/>
              </w:rPr>
              <w:t xml:space="preserve">2025</w:t>
            </w:r>
          </w:p>
        </w:tc>
        <w:tc>
          <w:tcPr>
            <w:tcW w:w="856" w:type="dxa"/>
          </w:tcPr>
          <w:p>
            <w:pPr>
              <w:pStyle w:val="0"/>
              <w:jc w:val="center"/>
            </w:pPr>
            <w:r>
              <w:rPr>
                <w:sz w:val="20"/>
              </w:rPr>
              <w:t xml:space="preserve">2026</w:t>
            </w:r>
          </w:p>
        </w:tc>
        <w:tc>
          <w:tcPr>
            <w:tcW w:w="856" w:type="dxa"/>
          </w:tcPr>
          <w:p>
            <w:pPr>
              <w:pStyle w:val="0"/>
              <w:jc w:val="center"/>
            </w:pPr>
            <w:r>
              <w:rPr>
                <w:sz w:val="20"/>
              </w:rPr>
              <w:t xml:space="preserve">2026</w:t>
            </w:r>
          </w:p>
        </w:tc>
        <w:tc>
          <w:tcPr>
            <w:tcW w:w="1117" w:type="dxa"/>
          </w:tcPr>
          <w:p>
            <w:pPr>
              <w:pStyle w:val="0"/>
              <w:jc w:val="center"/>
            </w:pPr>
            <w:r>
              <w:rPr>
                <w:sz w:val="20"/>
              </w:rPr>
              <w:t xml:space="preserve">2028</w:t>
            </w:r>
          </w:p>
        </w:tc>
        <w:tc>
          <w:tcPr>
            <w:tcW w:w="763" w:type="dxa"/>
          </w:tcPr>
          <w:p>
            <w:pPr>
              <w:pStyle w:val="0"/>
              <w:jc w:val="center"/>
            </w:pPr>
            <w:r>
              <w:rPr>
                <w:sz w:val="20"/>
              </w:rPr>
              <w:t xml:space="preserve">2036</w:t>
            </w:r>
          </w:p>
        </w:tc>
      </w:tr>
      <w:tr>
        <w:tc>
          <w:tcPr>
            <w:gridSpan w:val="18"/>
            <w:tcW w:w="17062" w:type="dxa"/>
          </w:tcPr>
          <w:p>
            <w:pPr>
              <w:pStyle w:val="0"/>
              <w:outlineLvl w:val="2"/>
            </w:pPr>
            <w:r>
              <w:rPr>
                <w:sz w:val="20"/>
              </w:rPr>
              <w:t xml:space="preserve">Кыштовский район</w:t>
            </w:r>
          </w:p>
        </w:tc>
      </w:tr>
      <w:tr>
        <w:tc>
          <w:tcPr>
            <w:tcW w:w="567" w:type="dxa"/>
          </w:tcPr>
          <w:p>
            <w:pPr>
              <w:pStyle w:val="0"/>
              <w:jc w:val="center"/>
            </w:pPr>
            <w:r>
              <w:rPr>
                <w:sz w:val="20"/>
              </w:rPr>
              <w:t xml:space="preserve">15</w:t>
            </w:r>
          </w:p>
        </w:tc>
        <w:tc>
          <w:tcPr>
            <w:tcW w:w="2211" w:type="dxa"/>
          </w:tcPr>
          <w:p>
            <w:pPr>
              <w:pStyle w:val="0"/>
            </w:pPr>
            <w:r>
              <w:rPr>
                <w:sz w:val="20"/>
              </w:rPr>
              <w:t xml:space="preserve">С. Кыштовка, Кыштовский с/с, микрорайон Южный</w:t>
            </w:r>
          </w:p>
        </w:tc>
        <w:tc>
          <w:tcPr>
            <w:tcW w:w="907" w:type="dxa"/>
          </w:tcPr>
          <w:p>
            <w:pPr>
              <w:pStyle w:val="0"/>
              <w:jc w:val="center"/>
            </w:pPr>
            <w:r>
              <w:rPr>
                <w:sz w:val="20"/>
              </w:rPr>
              <w:t xml:space="preserve">20,0</w:t>
            </w:r>
          </w:p>
        </w:tc>
        <w:tc>
          <w:tcPr>
            <w:tcW w:w="907" w:type="dxa"/>
          </w:tcPr>
          <w:p>
            <w:pPr>
              <w:pStyle w:val="0"/>
              <w:jc w:val="center"/>
            </w:pPr>
            <w:r>
              <w:rPr>
                <w:sz w:val="20"/>
              </w:rPr>
              <w:t xml:space="preserve">10,0</w:t>
            </w:r>
          </w:p>
        </w:tc>
        <w:tc>
          <w:tcPr>
            <w:tcW w:w="832" w:type="dxa"/>
          </w:tcPr>
          <w:p>
            <w:pPr>
              <w:pStyle w:val="0"/>
              <w:jc w:val="center"/>
            </w:pPr>
            <w:r>
              <w:rPr>
                <w:sz w:val="20"/>
              </w:rPr>
              <w:t xml:space="preserve">1,0</w:t>
            </w:r>
          </w:p>
        </w:tc>
        <w:tc>
          <w:tcPr>
            <w:tcW w:w="832" w:type="dxa"/>
          </w:tcPr>
          <w:p>
            <w:pPr>
              <w:pStyle w:val="0"/>
              <w:jc w:val="center"/>
            </w:pPr>
            <w:r>
              <w:rPr>
                <w:sz w:val="20"/>
              </w:rPr>
              <w:t xml:space="preserve">0,4</w:t>
            </w:r>
          </w:p>
        </w:tc>
        <w:tc>
          <w:tcPr>
            <w:tcW w:w="832" w:type="dxa"/>
          </w:tcPr>
          <w:p>
            <w:pPr>
              <w:pStyle w:val="0"/>
              <w:jc w:val="center"/>
            </w:pPr>
            <w:r>
              <w:rPr>
                <w:sz w:val="20"/>
              </w:rPr>
              <w:t xml:space="preserve">0,5</w:t>
            </w:r>
          </w:p>
        </w:tc>
        <w:tc>
          <w:tcPr>
            <w:tcW w:w="832" w:type="dxa"/>
          </w:tcPr>
          <w:p>
            <w:pPr>
              <w:pStyle w:val="0"/>
              <w:jc w:val="center"/>
            </w:pPr>
            <w:r>
              <w:rPr>
                <w:sz w:val="20"/>
              </w:rPr>
              <w:t xml:space="preserve">2,0</w:t>
            </w:r>
          </w:p>
        </w:tc>
        <w:tc>
          <w:tcPr>
            <w:tcW w:w="835" w:type="dxa"/>
          </w:tcPr>
          <w:p>
            <w:pPr>
              <w:pStyle w:val="0"/>
              <w:jc w:val="center"/>
            </w:pPr>
            <w:r>
              <w:rPr>
                <w:sz w:val="20"/>
              </w:rPr>
              <w:t xml:space="preserve">5,0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передана под ИЖС частным лицам</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2014 - 2021</w:t>
            </w:r>
          </w:p>
        </w:tc>
        <w:tc>
          <w:tcPr>
            <w:tcW w:w="1117" w:type="dxa"/>
          </w:tcPr>
          <w:p>
            <w:pPr>
              <w:pStyle w:val="0"/>
              <w:jc w:val="center"/>
            </w:pPr>
            <w:r>
              <w:rPr>
                <w:sz w:val="20"/>
              </w:rPr>
              <w:t xml:space="preserve">2014 - 2021</w:t>
            </w:r>
          </w:p>
        </w:tc>
        <w:tc>
          <w:tcPr>
            <w:tcW w:w="763" w:type="dxa"/>
          </w:tcPr>
          <w:p>
            <w:pPr>
              <w:pStyle w:val="0"/>
              <w:jc w:val="center"/>
            </w:pPr>
            <w:r>
              <w:rPr>
                <w:sz w:val="20"/>
              </w:rPr>
              <w:t xml:space="preserve">2021</w:t>
            </w:r>
          </w:p>
        </w:tc>
      </w:tr>
      <w:tr>
        <w:tc>
          <w:tcPr>
            <w:tcW w:w="567" w:type="dxa"/>
          </w:tcPr>
          <w:p>
            <w:pPr>
              <w:pStyle w:val="0"/>
              <w:jc w:val="center"/>
            </w:pPr>
            <w:r>
              <w:rPr>
                <w:sz w:val="20"/>
              </w:rPr>
              <w:t xml:space="preserve">16</w:t>
            </w:r>
          </w:p>
        </w:tc>
        <w:tc>
          <w:tcPr>
            <w:tcW w:w="2211" w:type="dxa"/>
          </w:tcPr>
          <w:p>
            <w:pPr>
              <w:pStyle w:val="0"/>
            </w:pPr>
            <w:r>
              <w:rPr>
                <w:sz w:val="20"/>
              </w:rPr>
              <w:t xml:space="preserve">С. Кыштовка, Кыштовский с/с, микрорайон Аэропорт</w:t>
            </w:r>
          </w:p>
        </w:tc>
        <w:tc>
          <w:tcPr>
            <w:tcW w:w="907" w:type="dxa"/>
          </w:tcPr>
          <w:p>
            <w:pPr>
              <w:pStyle w:val="0"/>
              <w:jc w:val="center"/>
            </w:pPr>
            <w:r>
              <w:rPr>
                <w:sz w:val="20"/>
              </w:rPr>
              <w:t xml:space="preserve">10,0</w:t>
            </w:r>
          </w:p>
        </w:tc>
        <w:tc>
          <w:tcPr>
            <w:tcW w:w="907" w:type="dxa"/>
          </w:tcPr>
          <w:p>
            <w:pPr>
              <w:pStyle w:val="0"/>
              <w:jc w:val="center"/>
            </w:pPr>
            <w:r>
              <w:rPr>
                <w:sz w:val="20"/>
              </w:rPr>
              <w:t xml:space="preserve">5,0</w:t>
            </w:r>
          </w:p>
        </w:tc>
        <w:tc>
          <w:tcPr>
            <w:tcW w:w="832" w:type="dxa"/>
          </w:tcPr>
          <w:p>
            <w:pPr>
              <w:pStyle w:val="0"/>
              <w:jc w:val="center"/>
            </w:pPr>
            <w:r>
              <w:rPr>
                <w:sz w:val="20"/>
              </w:rPr>
              <w:t xml:space="preserve">0,5</w:t>
            </w:r>
          </w:p>
        </w:tc>
        <w:tc>
          <w:tcPr>
            <w:tcW w:w="832" w:type="dxa"/>
          </w:tcPr>
          <w:p>
            <w:pPr>
              <w:pStyle w:val="0"/>
              <w:jc w:val="center"/>
            </w:pPr>
            <w:r>
              <w:rPr>
                <w:sz w:val="20"/>
              </w:rPr>
              <w:t xml:space="preserve">0,4</w:t>
            </w:r>
          </w:p>
        </w:tc>
        <w:tc>
          <w:tcPr>
            <w:tcW w:w="832" w:type="dxa"/>
          </w:tcPr>
          <w:p>
            <w:pPr>
              <w:pStyle w:val="0"/>
              <w:jc w:val="center"/>
            </w:pPr>
            <w:r>
              <w:rPr>
                <w:sz w:val="20"/>
              </w:rPr>
              <w:t xml:space="preserve">0,5</w:t>
            </w:r>
          </w:p>
        </w:tc>
        <w:tc>
          <w:tcPr>
            <w:tcW w:w="832" w:type="dxa"/>
          </w:tcPr>
          <w:p>
            <w:pPr>
              <w:pStyle w:val="0"/>
              <w:jc w:val="center"/>
            </w:pPr>
            <w:r>
              <w:rPr>
                <w:sz w:val="20"/>
              </w:rPr>
              <w:t xml:space="preserve">2,0</w:t>
            </w:r>
          </w:p>
        </w:tc>
        <w:tc>
          <w:tcPr>
            <w:tcW w:w="835" w:type="dxa"/>
          </w:tcPr>
          <w:p>
            <w:pPr>
              <w:pStyle w:val="0"/>
              <w:jc w:val="center"/>
            </w:pPr>
            <w:r>
              <w:rPr>
                <w:sz w:val="20"/>
              </w:rPr>
              <w:t xml:space="preserve">2,5</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передана под ИЖС частным лицам</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2014 - 2021</w:t>
            </w:r>
          </w:p>
        </w:tc>
        <w:tc>
          <w:tcPr>
            <w:tcW w:w="1117" w:type="dxa"/>
          </w:tcPr>
          <w:p>
            <w:pPr>
              <w:pStyle w:val="0"/>
              <w:jc w:val="center"/>
            </w:pPr>
            <w:r>
              <w:rPr>
                <w:sz w:val="20"/>
              </w:rPr>
              <w:t xml:space="preserve">2014 - 2021</w:t>
            </w:r>
          </w:p>
        </w:tc>
        <w:tc>
          <w:tcPr>
            <w:tcW w:w="763" w:type="dxa"/>
          </w:tcPr>
          <w:p>
            <w:pPr>
              <w:pStyle w:val="0"/>
              <w:jc w:val="center"/>
            </w:pPr>
            <w:r>
              <w:rPr>
                <w:sz w:val="20"/>
              </w:rPr>
              <w:t xml:space="preserve">2021</w:t>
            </w:r>
          </w:p>
        </w:tc>
      </w:tr>
      <w:tr>
        <w:tc>
          <w:tcPr>
            <w:gridSpan w:val="18"/>
            <w:tcW w:w="17062" w:type="dxa"/>
          </w:tcPr>
          <w:p>
            <w:pPr>
              <w:pStyle w:val="0"/>
              <w:outlineLvl w:val="2"/>
            </w:pPr>
            <w:r>
              <w:rPr>
                <w:sz w:val="20"/>
              </w:rPr>
              <w:t xml:space="preserve">Маслянинский район</w:t>
            </w:r>
          </w:p>
        </w:tc>
      </w:tr>
      <w:tr>
        <w:tc>
          <w:tcPr>
            <w:tcW w:w="567" w:type="dxa"/>
          </w:tcPr>
          <w:p>
            <w:pPr>
              <w:pStyle w:val="0"/>
              <w:jc w:val="center"/>
            </w:pPr>
            <w:r>
              <w:rPr>
                <w:sz w:val="20"/>
              </w:rPr>
              <w:t xml:space="preserve">17</w:t>
            </w:r>
          </w:p>
        </w:tc>
        <w:tc>
          <w:tcPr>
            <w:tcW w:w="2211" w:type="dxa"/>
          </w:tcPr>
          <w:p>
            <w:pPr>
              <w:pStyle w:val="0"/>
            </w:pPr>
            <w:r>
              <w:rPr>
                <w:sz w:val="20"/>
              </w:rPr>
              <w:t xml:space="preserve">Р.п. Маслянино, ул. Коммунистическая, ул. Октябрьская, ул. Гаражная</w:t>
            </w:r>
          </w:p>
        </w:tc>
        <w:tc>
          <w:tcPr>
            <w:tcW w:w="907" w:type="dxa"/>
          </w:tcPr>
          <w:p>
            <w:pPr>
              <w:pStyle w:val="0"/>
              <w:jc w:val="center"/>
            </w:pPr>
            <w:r>
              <w:rPr>
                <w:sz w:val="20"/>
              </w:rPr>
              <w:t xml:space="preserve">3,3</w:t>
            </w:r>
          </w:p>
        </w:tc>
        <w:tc>
          <w:tcPr>
            <w:tcW w:w="907" w:type="dxa"/>
          </w:tcPr>
          <w:p>
            <w:pPr>
              <w:pStyle w:val="0"/>
              <w:jc w:val="center"/>
            </w:pPr>
            <w:r>
              <w:rPr>
                <w:sz w:val="20"/>
              </w:rPr>
              <w:t xml:space="preserve">5,7</w:t>
            </w:r>
          </w:p>
        </w:tc>
        <w:tc>
          <w:tcPr>
            <w:tcW w:w="832" w:type="dxa"/>
          </w:tcPr>
          <w:p>
            <w:pPr>
              <w:pStyle w:val="0"/>
              <w:jc w:val="center"/>
            </w:pPr>
            <w:r>
              <w:rPr>
                <w:sz w:val="20"/>
              </w:rPr>
              <w:t xml:space="preserve">1,5</w:t>
            </w:r>
          </w:p>
        </w:tc>
        <w:tc>
          <w:tcPr>
            <w:tcW w:w="832" w:type="dxa"/>
          </w:tcPr>
          <w:p>
            <w:pPr>
              <w:pStyle w:val="0"/>
              <w:jc w:val="center"/>
            </w:pPr>
            <w:r>
              <w:rPr>
                <w:sz w:val="20"/>
              </w:rPr>
              <w:t xml:space="preserve">1,5</w:t>
            </w:r>
          </w:p>
        </w:tc>
        <w:tc>
          <w:tcPr>
            <w:tcW w:w="832" w:type="dxa"/>
          </w:tcPr>
          <w:p>
            <w:pPr>
              <w:pStyle w:val="0"/>
              <w:jc w:val="center"/>
            </w:pPr>
            <w:r>
              <w:rPr>
                <w:sz w:val="20"/>
              </w:rPr>
              <w:t xml:space="preserve">2,2</w:t>
            </w:r>
          </w:p>
        </w:tc>
        <w:tc>
          <w:tcPr>
            <w:tcW w:w="832" w:type="dxa"/>
          </w:tcPr>
          <w:p>
            <w:pPr>
              <w:pStyle w:val="0"/>
              <w:jc w:val="center"/>
            </w:pPr>
            <w:r>
              <w:rPr>
                <w:sz w:val="20"/>
              </w:rPr>
              <w:t xml:space="preserve">4,2</w:t>
            </w:r>
          </w:p>
        </w:tc>
        <w:tc>
          <w:tcPr>
            <w:tcW w:w="835" w:type="dxa"/>
          </w:tcPr>
          <w:p>
            <w:pPr>
              <w:pStyle w:val="0"/>
              <w:jc w:val="center"/>
            </w:pPr>
            <w:r>
              <w:rPr>
                <w:sz w:val="20"/>
              </w:rPr>
              <w:t xml:space="preserve">0,0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муниципальная собственность</w:t>
            </w:r>
          </w:p>
        </w:tc>
        <w:tc>
          <w:tcPr>
            <w:tcW w:w="992" w:type="dxa"/>
          </w:tcPr>
          <w:p>
            <w:pPr>
              <w:pStyle w:val="0"/>
              <w:jc w:val="center"/>
            </w:pPr>
            <w:r>
              <w:rPr>
                <w:sz w:val="20"/>
              </w:rPr>
              <w:t xml:space="preserve">2015</w:t>
            </w:r>
          </w:p>
        </w:tc>
        <w:tc>
          <w:tcPr>
            <w:tcW w:w="996" w:type="dxa"/>
          </w:tcPr>
          <w:p>
            <w:pPr>
              <w:pStyle w:val="0"/>
              <w:jc w:val="center"/>
            </w:pPr>
            <w:r>
              <w:rPr>
                <w:sz w:val="20"/>
              </w:rPr>
              <w:t xml:space="preserve">2015</w:t>
            </w:r>
          </w:p>
        </w:tc>
        <w:tc>
          <w:tcPr>
            <w:tcW w:w="856" w:type="dxa"/>
          </w:tcPr>
          <w:p>
            <w:pPr>
              <w:pStyle w:val="0"/>
              <w:jc w:val="center"/>
            </w:pPr>
            <w:r>
              <w:rPr>
                <w:sz w:val="20"/>
              </w:rPr>
              <w:t xml:space="preserve">2015</w:t>
            </w:r>
          </w:p>
        </w:tc>
        <w:tc>
          <w:tcPr>
            <w:tcW w:w="856" w:type="dxa"/>
          </w:tcPr>
          <w:p>
            <w:pPr>
              <w:pStyle w:val="0"/>
              <w:jc w:val="center"/>
            </w:pPr>
            <w:r>
              <w:rPr>
                <w:sz w:val="20"/>
              </w:rPr>
              <w:t xml:space="preserve">2015 - 2017</w:t>
            </w:r>
          </w:p>
        </w:tc>
        <w:tc>
          <w:tcPr>
            <w:tcW w:w="856" w:type="dxa"/>
          </w:tcPr>
          <w:p>
            <w:pPr>
              <w:pStyle w:val="0"/>
              <w:jc w:val="center"/>
            </w:pPr>
            <w:r>
              <w:rPr>
                <w:sz w:val="20"/>
              </w:rPr>
              <w:t xml:space="preserve">2015 - 2017</w:t>
            </w:r>
          </w:p>
        </w:tc>
        <w:tc>
          <w:tcPr>
            <w:tcW w:w="1117" w:type="dxa"/>
          </w:tcPr>
          <w:p>
            <w:pPr>
              <w:pStyle w:val="0"/>
              <w:jc w:val="center"/>
            </w:pPr>
            <w:r>
              <w:rPr>
                <w:sz w:val="20"/>
              </w:rPr>
              <w:t xml:space="preserve">2022</w:t>
            </w:r>
          </w:p>
        </w:tc>
        <w:tc>
          <w:tcPr>
            <w:tcW w:w="763" w:type="dxa"/>
          </w:tcPr>
          <w:p>
            <w:pPr>
              <w:pStyle w:val="0"/>
              <w:jc w:val="center"/>
            </w:pPr>
            <w:r>
              <w:rPr>
                <w:sz w:val="20"/>
              </w:rPr>
              <w:t xml:space="preserve">2022</w:t>
            </w:r>
          </w:p>
        </w:tc>
      </w:tr>
      <w:tr>
        <w:tc>
          <w:tcPr>
            <w:tcW w:w="567" w:type="dxa"/>
          </w:tcPr>
          <w:p>
            <w:pPr>
              <w:pStyle w:val="0"/>
              <w:jc w:val="center"/>
            </w:pPr>
            <w:r>
              <w:rPr>
                <w:sz w:val="20"/>
              </w:rPr>
              <w:t xml:space="preserve">18</w:t>
            </w:r>
          </w:p>
        </w:tc>
        <w:tc>
          <w:tcPr>
            <w:tcW w:w="2211" w:type="dxa"/>
          </w:tcPr>
          <w:p>
            <w:pPr>
              <w:pStyle w:val="0"/>
            </w:pPr>
            <w:r>
              <w:rPr>
                <w:sz w:val="20"/>
              </w:rPr>
              <w:t xml:space="preserve">Р.п. Маслянино, микрорайон Молодежный</w:t>
            </w:r>
          </w:p>
        </w:tc>
        <w:tc>
          <w:tcPr>
            <w:tcW w:w="907" w:type="dxa"/>
          </w:tcPr>
          <w:p>
            <w:pPr>
              <w:pStyle w:val="0"/>
              <w:jc w:val="center"/>
            </w:pPr>
            <w:r>
              <w:rPr>
                <w:sz w:val="20"/>
              </w:rPr>
              <w:t xml:space="preserve">47,6</w:t>
            </w:r>
          </w:p>
        </w:tc>
        <w:tc>
          <w:tcPr>
            <w:tcW w:w="907" w:type="dxa"/>
          </w:tcPr>
          <w:p>
            <w:pPr>
              <w:pStyle w:val="0"/>
              <w:jc w:val="center"/>
            </w:pPr>
            <w:r>
              <w:rPr>
                <w:sz w:val="20"/>
              </w:rPr>
              <w:t xml:space="preserve">23,44</w:t>
            </w:r>
          </w:p>
        </w:tc>
        <w:tc>
          <w:tcPr>
            <w:tcW w:w="832" w:type="dxa"/>
          </w:tcPr>
          <w:p>
            <w:pPr>
              <w:pStyle w:val="0"/>
              <w:jc w:val="center"/>
            </w:pPr>
            <w:r>
              <w:rPr>
                <w:sz w:val="20"/>
              </w:rPr>
              <w:t xml:space="preserve">3,33</w:t>
            </w:r>
          </w:p>
        </w:tc>
        <w:tc>
          <w:tcPr>
            <w:tcW w:w="832" w:type="dxa"/>
          </w:tcPr>
          <w:p>
            <w:pPr>
              <w:pStyle w:val="0"/>
              <w:jc w:val="center"/>
            </w:pPr>
            <w:r>
              <w:rPr>
                <w:sz w:val="20"/>
              </w:rPr>
              <w:t xml:space="preserve">2,87</w:t>
            </w:r>
          </w:p>
        </w:tc>
        <w:tc>
          <w:tcPr>
            <w:tcW w:w="832" w:type="dxa"/>
          </w:tcPr>
          <w:p>
            <w:pPr>
              <w:pStyle w:val="0"/>
              <w:jc w:val="center"/>
            </w:pPr>
            <w:r>
              <w:rPr>
                <w:sz w:val="20"/>
              </w:rPr>
              <w:t xml:space="preserve">1,0</w:t>
            </w:r>
          </w:p>
        </w:tc>
        <w:tc>
          <w:tcPr>
            <w:tcW w:w="832" w:type="dxa"/>
          </w:tcPr>
          <w:p>
            <w:pPr>
              <w:pStyle w:val="0"/>
              <w:jc w:val="center"/>
            </w:pPr>
            <w:r>
              <w:rPr>
                <w:sz w:val="20"/>
              </w:rPr>
              <w:t xml:space="preserve">4,0</w:t>
            </w:r>
          </w:p>
        </w:tc>
        <w:tc>
          <w:tcPr>
            <w:tcW w:w="835" w:type="dxa"/>
          </w:tcPr>
          <w:p>
            <w:pPr>
              <w:pStyle w:val="0"/>
              <w:jc w:val="center"/>
            </w:pPr>
            <w:r>
              <w:rPr>
                <w:sz w:val="20"/>
              </w:rPr>
              <w:t xml:space="preserve">5,0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муниципальная собственность</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2014</w:t>
            </w:r>
          </w:p>
        </w:tc>
        <w:tc>
          <w:tcPr>
            <w:tcW w:w="856" w:type="dxa"/>
          </w:tcPr>
          <w:p>
            <w:pPr>
              <w:pStyle w:val="0"/>
              <w:jc w:val="center"/>
            </w:pPr>
            <w:r>
              <w:rPr>
                <w:sz w:val="20"/>
              </w:rPr>
              <w:t xml:space="preserve">2 кв. 2014</w:t>
            </w:r>
          </w:p>
        </w:tc>
        <w:tc>
          <w:tcPr>
            <w:tcW w:w="856" w:type="dxa"/>
          </w:tcPr>
          <w:p>
            <w:pPr>
              <w:pStyle w:val="0"/>
              <w:jc w:val="center"/>
            </w:pPr>
            <w:r>
              <w:rPr>
                <w:sz w:val="20"/>
              </w:rPr>
              <w:t xml:space="preserve">2015 - 2017</w:t>
            </w:r>
          </w:p>
        </w:tc>
        <w:tc>
          <w:tcPr>
            <w:tcW w:w="856" w:type="dxa"/>
          </w:tcPr>
          <w:p>
            <w:pPr>
              <w:pStyle w:val="0"/>
              <w:jc w:val="center"/>
            </w:pPr>
            <w:r>
              <w:rPr>
                <w:sz w:val="20"/>
              </w:rPr>
              <w:t xml:space="preserve">2015 - 2017</w:t>
            </w:r>
          </w:p>
        </w:tc>
        <w:tc>
          <w:tcPr>
            <w:tcW w:w="1117" w:type="dxa"/>
          </w:tcPr>
          <w:p>
            <w:pPr>
              <w:pStyle w:val="0"/>
              <w:jc w:val="center"/>
            </w:pPr>
            <w:r>
              <w:rPr>
                <w:sz w:val="20"/>
              </w:rPr>
              <w:t xml:space="preserve">2024</w:t>
            </w:r>
          </w:p>
        </w:tc>
        <w:tc>
          <w:tcPr>
            <w:tcW w:w="763" w:type="dxa"/>
          </w:tcPr>
          <w:p>
            <w:pPr>
              <w:pStyle w:val="0"/>
              <w:jc w:val="center"/>
            </w:pPr>
            <w:r>
              <w:rPr>
                <w:sz w:val="20"/>
              </w:rPr>
              <w:t xml:space="preserve">2024</w:t>
            </w:r>
          </w:p>
        </w:tc>
      </w:tr>
      <w:tr>
        <w:tc>
          <w:tcPr>
            <w:tcW w:w="567" w:type="dxa"/>
          </w:tcPr>
          <w:p>
            <w:pPr>
              <w:pStyle w:val="0"/>
              <w:jc w:val="center"/>
            </w:pPr>
            <w:r>
              <w:rPr>
                <w:sz w:val="20"/>
              </w:rPr>
              <w:t xml:space="preserve">19</w:t>
            </w:r>
          </w:p>
        </w:tc>
        <w:tc>
          <w:tcPr>
            <w:tcW w:w="2211" w:type="dxa"/>
          </w:tcPr>
          <w:p>
            <w:pPr>
              <w:pStyle w:val="0"/>
            </w:pPr>
            <w:r>
              <w:rPr>
                <w:sz w:val="20"/>
              </w:rPr>
              <w:t xml:space="preserve">С. Мамоново</w:t>
            </w:r>
          </w:p>
        </w:tc>
        <w:tc>
          <w:tcPr>
            <w:tcW w:w="907" w:type="dxa"/>
          </w:tcPr>
          <w:p>
            <w:pPr>
              <w:pStyle w:val="0"/>
              <w:jc w:val="center"/>
            </w:pPr>
            <w:r>
              <w:rPr>
                <w:sz w:val="20"/>
              </w:rPr>
              <w:t xml:space="preserve">11,6</w:t>
            </w:r>
          </w:p>
        </w:tc>
        <w:tc>
          <w:tcPr>
            <w:tcW w:w="907" w:type="dxa"/>
          </w:tcPr>
          <w:p>
            <w:pPr>
              <w:pStyle w:val="0"/>
              <w:jc w:val="center"/>
            </w:pPr>
            <w:r>
              <w:rPr>
                <w:sz w:val="20"/>
              </w:rPr>
              <w:t xml:space="preserve">2,1</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0,1</w:t>
            </w:r>
          </w:p>
        </w:tc>
        <w:tc>
          <w:tcPr>
            <w:tcW w:w="832" w:type="dxa"/>
          </w:tcPr>
          <w:p>
            <w:pPr>
              <w:pStyle w:val="0"/>
              <w:jc w:val="center"/>
            </w:pPr>
            <w:r>
              <w:rPr>
                <w:sz w:val="20"/>
              </w:rPr>
              <w:t xml:space="preserve">2,0</w:t>
            </w:r>
          </w:p>
        </w:tc>
        <w:tc>
          <w:tcPr>
            <w:tcW w:w="835" w:type="dxa"/>
          </w:tcPr>
          <w:p>
            <w:pPr>
              <w:pStyle w:val="0"/>
              <w:jc w:val="center"/>
            </w:pPr>
            <w:r>
              <w:rPr>
                <w:sz w:val="20"/>
              </w:rPr>
              <w:t xml:space="preserve">0,1</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муниципальная собственность</w:t>
            </w:r>
          </w:p>
        </w:tc>
        <w:tc>
          <w:tcPr>
            <w:tcW w:w="992" w:type="dxa"/>
          </w:tcPr>
          <w:p>
            <w:pPr>
              <w:pStyle w:val="0"/>
              <w:jc w:val="center"/>
            </w:pPr>
            <w:r>
              <w:rPr>
                <w:sz w:val="20"/>
              </w:rPr>
              <w:t xml:space="preserve">2015</w:t>
            </w:r>
          </w:p>
        </w:tc>
        <w:tc>
          <w:tcPr>
            <w:tcW w:w="996" w:type="dxa"/>
          </w:tcPr>
          <w:p>
            <w:pPr>
              <w:pStyle w:val="0"/>
              <w:jc w:val="center"/>
            </w:pPr>
            <w:r>
              <w:rPr>
                <w:sz w:val="20"/>
              </w:rPr>
              <w:t xml:space="preserve">2015</w:t>
            </w:r>
          </w:p>
        </w:tc>
        <w:tc>
          <w:tcPr>
            <w:tcW w:w="856" w:type="dxa"/>
          </w:tcPr>
          <w:p>
            <w:pPr>
              <w:pStyle w:val="0"/>
              <w:jc w:val="center"/>
            </w:pPr>
            <w:r>
              <w:rPr>
                <w:sz w:val="20"/>
              </w:rPr>
              <w:t xml:space="preserve">2015</w:t>
            </w:r>
          </w:p>
        </w:tc>
        <w:tc>
          <w:tcPr>
            <w:tcW w:w="856" w:type="dxa"/>
          </w:tcPr>
          <w:p>
            <w:pPr>
              <w:pStyle w:val="0"/>
              <w:jc w:val="center"/>
            </w:pPr>
            <w:r>
              <w:rPr>
                <w:sz w:val="20"/>
              </w:rPr>
              <w:t xml:space="preserve">2015 - 2017</w:t>
            </w:r>
          </w:p>
        </w:tc>
        <w:tc>
          <w:tcPr>
            <w:tcW w:w="856" w:type="dxa"/>
          </w:tcPr>
          <w:p>
            <w:pPr>
              <w:pStyle w:val="0"/>
              <w:jc w:val="center"/>
            </w:pPr>
            <w:r>
              <w:rPr>
                <w:sz w:val="20"/>
              </w:rPr>
              <w:t xml:space="preserve">2015 - 2017</w:t>
            </w:r>
          </w:p>
        </w:tc>
        <w:tc>
          <w:tcPr>
            <w:tcW w:w="1117" w:type="dxa"/>
          </w:tcPr>
          <w:p>
            <w:pPr>
              <w:pStyle w:val="0"/>
              <w:jc w:val="center"/>
            </w:pPr>
            <w:r>
              <w:rPr>
                <w:sz w:val="20"/>
              </w:rPr>
              <w:t xml:space="preserve">2024</w:t>
            </w:r>
          </w:p>
        </w:tc>
        <w:tc>
          <w:tcPr>
            <w:tcW w:w="763" w:type="dxa"/>
          </w:tcPr>
          <w:p>
            <w:pPr>
              <w:pStyle w:val="0"/>
              <w:jc w:val="center"/>
            </w:pPr>
            <w:r>
              <w:rPr>
                <w:sz w:val="20"/>
              </w:rPr>
              <w:t xml:space="preserve">2024</w:t>
            </w:r>
          </w:p>
        </w:tc>
      </w:tr>
      <w:tr>
        <w:tc>
          <w:tcPr>
            <w:gridSpan w:val="18"/>
            <w:tcW w:w="17062" w:type="dxa"/>
          </w:tcPr>
          <w:p>
            <w:pPr>
              <w:pStyle w:val="0"/>
              <w:outlineLvl w:val="2"/>
            </w:pPr>
            <w:r>
              <w:rPr>
                <w:sz w:val="20"/>
              </w:rPr>
              <w:t xml:space="preserve">Мошковский район</w:t>
            </w:r>
          </w:p>
        </w:tc>
      </w:tr>
      <w:tr>
        <w:tc>
          <w:tcPr>
            <w:tcW w:w="567" w:type="dxa"/>
          </w:tcPr>
          <w:p>
            <w:pPr>
              <w:pStyle w:val="0"/>
              <w:jc w:val="center"/>
            </w:pPr>
            <w:r>
              <w:rPr>
                <w:sz w:val="20"/>
              </w:rPr>
              <w:t xml:space="preserve">20</w:t>
            </w:r>
          </w:p>
        </w:tc>
        <w:tc>
          <w:tcPr>
            <w:tcW w:w="2211" w:type="dxa"/>
          </w:tcPr>
          <w:p>
            <w:pPr>
              <w:pStyle w:val="0"/>
            </w:pPr>
            <w:r>
              <w:rPr>
                <w:sz w:val="20"/>
              </w:rPr>
              <w:t xml:space="preserve">Р.п. Мошково, микрорайон Черемушки</w:t>
            </w:r>
          </w:p>
        </w:tc>
        <w:tc>
          <w:tcPr>
            <w:tcW w:w="907" w:type="dxa"/>
          </w:tcPr>
          <w:p>
            <w:pPr>
              <w:pStyle w:val="0"/>
              <w:jc w:val="center"/>
            </w:pPr>
            <w:r>
              <w:rPr>
                <w:sz w:val="20"/>
              </w:rPr>
              <w:t xml:space="preserve">29,8</w:t>
            </w:r>
          </w:p>
        </w:tc>
        <w:tc>
          <w:tcPr>
            <w:tcW w:w="907" w:type="dxa"/>
          </w:tcPr>
          <w:p>
            <w:pPr>
              <w:pStyle w:val="0"/>
              <w:jc w:val="center"/>
            </w:pPr>
            <w:r>
              <w:rPr>
                <w:sz w:val="20"/>
              </w:rPr>
              <w:t xml:space="preserve">16,9</w:t>
            </w:r>
          </w:p>
        </w:tc>
        <w:tc>
          <w:tcPr>
            <w:tcW w:w="832" w:type="dxa"/>
          </w:tcPr>
          <w:p>
            <w:pPr>
              <w:pStyle w:val="0"/>
              <w:jc w:val="center"/>
            </w:pPr>
            <w:r>
              <w:rPr>
                <w:sz w:val="20"/>
              </w:rPr>
              <w:t xml:space="preserve">1,8</w:t>
            </w:r>
          </w:p>
        </w:tc>
        <w:tc>
          <w:tcPr>
            <w:tcW w:w="832" w:type="dxa"/>
          </w:tcPr>
          <w:p>
            <w:pPr>
              <w:pStyle w:val="0"/>
              <w:jc w:val="center"/>
            </w:pPr>
            <w:r>
              <w:rPr>
                <w:sz w:val="20"/>
              </w:rPr>
              <w:t xml:space="preserve">0,6</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неразграниченная собственность</w:t>
            </w:r>
          </w:p>
        </w:tc>
        <w:tc>
          <w:tcPr>
            <w:tcW w:w="992" w:type="dxa"/>
          </w:tcPr>
          <w:p>
            <w:pPr>
              <w:pStyle w:val="0"/>
              <w:jc w:val="center"/>
            </w:pPr>
            <w:r>
              <w:rPr>
                <w:sz w:val="20"/>
              </w:rPr>
              <w:t xml:space="preserve">2021</w:t>
            </w:r>
          </w:p>
        </w:tc>
        <w:tc>
          <w:tcPr>
            <w:tcW w:w="996" w:type="dxa"/>
          </w:tcPr>
          <w:p>
            <w:pPr>
              <w:pStyle w:val="0"/>
              <w:jc w:val="center"/>
            </w:pPr>
            <w:r>
              <w:rPr>
                <w:sz w:val="20"/>
              </w:rPr>
              <w:t xml:space="preserve">2021</w:t>
            </w:r>
          </w:p>
        </w:tc>
        <w:tc>
          <w:tcPr>
            <w:tcW w:w="856" w:type="dxa"/>
          </w:tcPr>
          <w:p>
            <w:pPr>
              <w:pStyle w:val="0"/>
              <w:jc w:val="center"/>
            </w:pPr>
            <w:r>
              <w:rPr>
                <w:sz w:val="20"/>
              </w:rPr>
              <w:t xml:space="preserve">2021</w:t>
            </w:r>
          </w:p>
        </w:tc>
        <w:tc>
          <w:tcPr>
            <w:tcW w:w="856" w:type="dxa"/>
          </w:tcPr>
          <w:p>
            <w:pPr>
              <w:pStyle w:val="0"/>
              <w:jc w:val="center"/>
            </w:pPr>
            <w:r>
              <w:rPr>
                <w:sz w:val="20"/>
              </w:rPr>
              <w:t xml:space="preserve">2021</w:t>
            </w:r>
          </w:p>
        </w:tc>
        <w:tc>
          <w:tcPr>
            <w:tcW w:w="856" w:type="dxa"/>
          </w:tcPr>
          <w:p>
            <w:pPr>
              <w:pStyle w:val="0"/>
              <w:jc w:val="center"/>
            </w:pPr>
            <w:r>
              <w:rPr>
                <w:sz w:val="20"/>
              </w:rPr>
              <w:t xml:space="preserve">2021</w:t>
            </w:r>
          </w:p>
        </w:tc>
        <w:tc>
          <w:tcPr>
            <w:tcW w:w="1117" w:type="dxa"/>
          </w:tcPr>
          <w:p>
            <w:pPr>
              <w:pStyle w:val="0"/>
              <w:jc w:val="center"/>
            </w:pPr>
            <w:r>
              <w:rPr>
                <w:sz w:val="20"/>
              </w:rPr>
              <w:t xml:space="preserve">2025</w:t>
            </w:r>
          </w:p>
        </w:tc>
        <w:tc>
          <w:tcPr>
            <w:tcW w:w="763" w:type="dxa"/>
          </w:tcPr>
          <w:p>
            <w:pPr>
              <w:pStyle w:val="0"/>
              <w:jc w:val="center"/>
            </w:pPr>
            <w:r>
              <w:rPr>
                <w:sz w:val="20"/>
              </w:rPr>
              <w:t xml:space="preserve">2025</w:t>
            </w:r>
          </w:p>
        </w:tc>
      </w:tr>
      <w:tr>
        <w:tc>
          <w:tcPr>
            <w:tcW w:w="567" w:type="dxa"/>
          </w:tcPr>
          <w:p>
            <w:pPr>
              <w:pStyle w:val="0"/>
              <w:jc w:val="center"/>
            </w:pPr>
            <w:r>
              <w:rPr>
                <w:sz w:val="20"/>
              </w:rPr>
              <w:t xml:space="preserve">21</w:t>
            </w:r>
          </w:p>
        </w:tc>
        <w:tc>
          <w:tcPr>
            <w:tcW w:w="2211" w:type="dxa"/>
          </w:tcPr>
          <w:p>
            <w:pPr>
              <w:pStyle w:val="0"/>
            </w:pPr>
            <w:r>
              <w:rPr>
                <w:sz w:val="20"/>
              </w:rPr>
              <w:t xml:space="preserve">С. Новомошковское, Новомошковский с/с, микрорайон Новомошковская Слобода</w:t>
            </w:r>
          </w:p>
        </w:tc>
        <w:tc>
          <w:tcPr>
            <w:tcW w:w="907" w:type="dxa"/>
          </w:tcPr>
          <w:p>
            <w:pPr>
              <w:pStyle w:val="0"/>
              <w:jc w:val="center"/>
            </w:pPr>
            <w:r>
              <w:rPr>
                <w:sz w:val="20"/>
              </w:rPr>
              <w:t xml:space="preserve">62,0</w:t>
            </w:r>
          </w:p>
        </w:tc>
        <w:tc>
          <w:tcPr>
            <w:tcW w:w="907" w:type="dxa"/>
          </w:tcPr>
          <w:p>
            <w:pPr>
              <w:pStyle w:val="0"/>
              <w:jc w:val="center"/>
            </w:pPr>
            <w:r>
              <w:rPr>
                <w:sz w:val="20"/>
              </w:rPr>
              <w:t xml:space="preserve">25,0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Новомошковская Слобода</w:t>
            </w:r>
          </w:p>
        </w:tc>
        <w:tc>
          <w:tcPr>
            <w:tcW w:w="992" w:type="dxa"/>
          </w:tcPr>
          <w:p>
            <w:pPr>
              <w:pStyle w:val="0"/>
              <w:jc w:val="center"/>
            </w:pPr>
            <w:r>
              <w:rPr>
                <w:sz w:val="20"/>
              </w:rPr>
              <w:t xml:space="preserve">2021</w:t>
            </w:r>
          </w:p>
        </w:tc>
        <w:tc>
          <w:tcPr>
            <w:tcW w:w="996" w:type="dxa"/>
          </w:tcPr>
          <w:p>
            <w:pPr>
              <w:pStyle w:val="0"/>
              <w:jc w:val="center"/>
            </w:pPr>
            <w:r>
              <w:rPr>
                <w:sz w:val="20"/>
              </w:rPr>
              <w:t xml:space="preserve">2021</w:t>
            </w:r>
          </w:p>
        </w:tc>
        <w:tc>
          <w:tcPr>
            <w:tcW w:w="856" w:type="dxa"/>
          </w:tcPr>
          <w:p>
            <w:pPr>
              <w:pStyle w:val="0"/>
              <w:jc w:val="center"/>
            </w:pPr>
            <w:r>
              <w:rPr>
                <w:sz w:val="20"/>
              </w:rPr>
              <w:t xml:space="preserve">2021</w:t>
            </w:r>
          </w:p>
        </w:tc>
        <w:tc>
          <w:tcPr>
            <w:tcW w:w="856" w:type="dxa"/>
          </w:tcPr>
          <w:p>
            <w:pPr>
              <w:pStyle w:val="0"/>
              <w:jc w:val="center"/>
            </w:pPr>
            <w:r>
              <w:rPr>
                <w:sz w:val="20"/>
              </w:rPr>
              <w:t xml:space="preserve">2021</w:t>
            </w:r>
          </w:p>
        </w:tc>
        <w:tc>
          <w:tcPr>
            <w:tcW w:w="856" w:type="dxa"/>
          </w:tcPr>
          <w:p>
            <w:pPr>
              <w:pStyle w:val="0"/>
              <w:jc w:val="center"/>
            </w:pPr>
            <w:r>
              <w:rPr>
                <w:sz w:val="20"/>
              </w:rPr>
              <w:t xml:space="preserve">2021</w:t>
            </w:r>
          </w:p>
        </w:tc>
        <w:tc>
          <w:tcPr>
            <w:tcW w:w="1117" w:type="dxa"/>
          </w:tcPr>
          <w:p>
            <w:pPr>
              <w:pStyle w:val="0"/>
              <w:jc w:val="center"/>
            </w:pPr>
            <w:r>
              <w:rPr>
                <w:sz w:val="20"/>
              </w:rPr>
              <w:t xml:space="preserve">2021</w:t>
            </w:r>
          </w:p>
        </w:tc>
        <w:tc>
          <w:tcPr>
            <w:tcW w:w="763" w:type="dxa"/>
          </w:tcPr>
          <w:p>
            <w:pPr>
              <w:pStyle w:val="0"/>
              <w:jc w:val="center"/>
            </w:pPr>
            <w:r>
              <w:rPr>
                <w:sz w:val="20"/>
              </w:rPr>
              <w:t xml:space="preserve">2021</w:t>
            </w:r>
          </w:p>
        </w:tc>
      </w:tr>
      <w:tr>
        <w:tc>
          <w:tcPr>
            <w:tcW w:w="567" w:type="dxa"/>
          </w:tcPr>
          <w:p>
            <w:pPr>
              <w:pStyle w:val="0"/>
              <w:jc w:val="center"/>
            </w:pPr>
            <w:r>
              <w:rPr>
                <w:sz w:val="20"/>
              </w:rPr>
              <w:t xml:space="preserve">22</w:t>
            </w:r>
          </w:p>
        </w:tc>
        <w:tc>
          <w:tcPr>
            <w:tcW w:w="2211" w:type="dxa"/>
          </w:tcPr>
          <w:p>
            <w:pPr>
              <w:pStyle w:val="0"/>
            </w:pPr>
            <w:r>
              <w:rPr>
                <w:sz w:val="20"/>
              </w:rPr>
              <w:t xml:space="preserve">П. Октябрьский, Барлакский с/с, микрорайон Светлый</w:t>
            </w:r>
          </w:p>
        </w:tc>
        <w:tc>
          <w:tcPr>
            <w:tcW w:w="907" w:type="dxa"/>
          </w:tcPr>
          <w:p>
            <w:pPr>
              <w:pStyle w:val="0"/>
              <w:jc w:val="center"/>
            </w:pPr>
            <w:r>
              <w:rPr>
                <w:sz w:val="20"/>
              </w:rPr>
              <w:t xml:space="preserve">123,8</w:t>
            </w:r>
          </w:p>
        </w:tc>
        <w:tc>
          <w:tcPr>
            <w:tcW w:w="907" w:type="dxa"/>
          </w:tcPr>
          <w:p>
            <w:pPr>
              <w:pStyle w:val="0"/>
              <w:jc w:val="center"/>
            </w:pPr>
            <w:r>
              <w:rPr>
                <w:sz w:val="20"/>
              </w:rPr>
              <w:t xml:space="preserve">87,2</w:t>
            </w:r>
          </w:p>
        </w:tc>
        <w:tc>
          <w:tcPr>
            <w:tcW w:w="832" w:type="dxa"/>
          </w:tcPr>
          <w:p>
            <w:pPr>
              <w:pStyle w:val="0"/>
              <w:jc w:val="center"/>
            </w:pPr>
            <w:r>
              <w:rPr>
                <w:sz w:val="20"/>
              </w:rPr>
              <w:t xml:space="preserve">60,0</w:t>
            </w:r>
          </w:p>
        </w:tc>
        <w:tc>
          <w:tcPr>
            <w:tcW w:w="832" w:type="dxa"/>
          </w:tcPr>
          <w:p>
            <w:pPr>
              <w:pStyle w:val="0"/>
              <w:jc w:val="center"/>
            </w:pPr>
            <w:r>
              <w:rPr>
                <w:sz w:val="20"/>
              </w:rPr>
              <w:t xml:space="preserve">60,0</w:t>
            </w:r>
          </w:p>
        </w:tc>
        <w:tc>
          <w:tcPr>
            <w:tcW w:w="832" w:type="dxa"/>
          </w:tcPr>
          <w:p>
            <w:pPr>
              <w:pStyle w:val="0"/>
              <w:jc w:val="center"/>
            </w:pPr>
            <w:r>
              <w:rPr>
                <w:sz w:val="20"/>
              </w:rPr>
              <w:t xml:space="preserve">17,5</w:t>
            </w:r>
          </w:p>
        </w:tc>
        <w:tc>
          <w:tcPr>
            <w:tcW w:w="832" w:type="dxa"/>
          </w:tcPr>
          <w:p>
            <w:pPr>
              <w:pStyle w:val="0"/>
              <w:jc w:val="center"/>
            </w:pPr>
            <w:r>
              <w:rPr>
                <w:sz w:val="20"/>
              </w:rPr>
              <w:t xml:space="preserve">17,5</w:t>
            </w:r>
          </w:p>
        </w:tc>
        <w:tc>
          <w:tcPr>
            <w:tcW w:w="835" w:type="dxa"/>
          </w:tcPr>
          <w:p>
            <w:pPr>
              <w:pStyle w:val="0"/>
              <w:jc w:val="center"/>
            </w:pPr>
            <w:r>
              <w:rPr>
                <w:sz w:val="20"/>
              </w:rPr>
              <w:t xml:space="preserve">10,6</w:t>
            </w:r>
          </w:p>
        </w:tc>
        <w:tc>
          <w:tcPr>
            <w:tcW w:w="737" w:type="dxa"/>
          </w:tcPr>
          <w:p>
            <w:pPr>
              <w:pStyle w:val="0"/>
              <w:jc w:val="center"/>
            </w:pPr>
            <w:r>
              <w:rPr>
                <w:sz w:val="20"/>
              </w:rPr>
              <w:t xml:space="preserve">ИЖС/малоэтажная/многоэтажная</w:t>
            </w:r>
          </w:p>
        </w:tc>
        <w:tc>
          <w:tcPr>
            <w:tcW w:w="1134" w:type="dxa"/>
          </w:tcPr>
          <w:p>
            <w:pPr>
              <w:pStyle w:val="0"/>
              <w:jc w:val="center"/>
            </w:pPr>
            <w:r>
              <w:rPr>
                <w:sz w:val="20"/>
              </w:rPr>
              <w:t xml:space="preserve">ООО "Антар"</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2021 - 2030</w:t>
            </w:r>
          </w:p>
        </w:tc>
        <w:tc>
          <w:tcPr>
            <w:tcW w:w="856" w:type="dxa"/>
          </w:tcPr>
          <w:p>
            <w:pPr>
              <w:pStyle w:val="0"/>
              <w:jc w:val="center"/>
            </w:pPr>
            <w:r>
              <w:rPr>
                <w:sz w:val="20"/>
              </w:rPr>
              <w:t xml:space="preserve">2021 - 2030</w:t>
            </w:r>
          </w:p>
        </w:tc>
        <w:tc>
          <w:tcPr>
            <w:tcW w:w="1117" w:type="dxa"/>
          </w:tcPr>
          <w:p>
            <w:pPr>
              <w:pStyle w:val="0"/>
              <w:jc w:val="center"/>
            </w:pPr>
            <w:r>
              <w:rPr>
                <w:sz w:val="20"/>
              </w:rPr>
              <w:t xml:space="preserve">2021 - 2030</w:t>
            </w:r>
          </w:p>
        </w:tc>
        <w:tc>
          <w:tcPr>
            <w:tcW w:w="763" w:type="dxa"/>
          </w:tcPr>
          <w:p>
            <w:pPr>
              <w:pStyle w:val="0"/>
              <w:jc w:val="center"/>
            </w:pPr>
            <w:r>
              <w:rPr>
                <w:sz w:val="20"/>
              </w:rPr>
              <w:t xml:space="preserve">2021 - 2030</w:t>
            </w:r>
          </w:p>
        </w:tc>
      </w:tr>
      <w:tr>
        <w:tc>
          <w:tcPr>
            <w:tcW w:w="567" w:type="dxa"/>
          </w:tcPr>
          <w:p>
            <w:pPr>
              <w:pStyle w:val="0"/>
              <w:jc w:val="center"/>
            </w:pPr>
            <w:r>
              <w:rPr>
                <w:sz w:val="20"/>
              </w:rPr>
              <w:t xml:space="preserve">23</w:t>
            </w:r>
          </w:p>
        </w:tc>
        <w:tc>
          <w:tcPr>
            <w:tcW w:w="2211" w:type="dxa"/>
          </w:tcPr>
          <w:p>
            <w:pPr>
              <w:pStyle w:val="0"/>
            </w:pPr>
            <w:r>
              <w:rPr>
                <w:sz w:val="20"/>
              </w:rPr>
              <w:t xml:space="preserve">П. Октябрьский, Барлакский с/с, микрорайон Заречный, деревня Мира</w:t>
            </w:r>
          </w:p>
        </w:tc>
        <w:tc>
          <w:tcPr>
            <w:tcW w:w="907" w:type="dxa"/>
          </w:tcPr>
          <w:p>
            <w:pPr>
              <w:pStyle w:val="0"/>
              <w:jc w:val="center"/>
            </w:pPr>
            <w:r>
              <w:rPr>
                <w:sz w:val="20"/>
              </w:rPr>
              <w:t xml:space="preserve">18,6</w:t>
            </w:r>
          </w:p>
        </w:tc>
        <w:tc>
          <w:tcPr>
            <w:tcW w:w="907" w:type="dxa"/>
          </w:tcPr>
          <w:p>
            <w:pPr>
              <w:pStyle w:val="0"/>
              <w:jc w:val="center"/>
            </w:pPr>
            <w:r>
              <w:rPr>
                <w:sz w:val="20"/>
              </w:rPr>
              <w:t xml:space="preserve">25,76</w:t>
            </w:r>
          </w:p>
        </w:tc>
        <w:tc>
          <w:tcPr>
            <w:tcW w:w="832" w:type="dxa"/>
          </w:tcPr>
          <w:p>
            <w:pPr>
              <w:pStyle w:val="0"/>
              <w:jc w:val="center"/>
            </w:pPr>
            <w:r>
              <w:rPr>
                <w:sz w:val="20"/>
              </w:rPr>
              <w:t xml:space="preserve">4,3</w:t>
            </w:r>
          </w:p>
        </w:tc>
        <w:tc>
          <w:tcPr>
            <w:tcW w:w="832" w:type="dxa"/>
          </w:tcPr>
          <w:p>
            <w:pPr>
              <w:pStyle w:val="0"/>
              <w:jc w:val="center"/>
            </w:pPr>
            <w:r>
              <w:rPr>
                <w:sz w:val="20"/>
              </w:rPr>
              <w:t xml:space="preserve">4,3</w:t>
            </w:r>
          </w:p>
        </w:tc>
        <w:tc>
          <w:tcPr>
            <w:tcW w:w="832" w:type="dxa"/>
          </w:tcPr>
          <w:p>
            <w:pPr>
              <w:pStyle w:val="0"/>
              <w:jc w:val="center"/>
            </w:pPr>
            <w:r>
              <w:rPr>
                <w:sz w:val="20"/>
              </w:rPr>
              <w:t xml:space="preserve">3,4</w:t>
            </w:r>
          </w:p>
        </w:tc>
        <w:tc>
          <w:tcPr>
            <w:tcW w:w="832" w:type="dxa"/>
          </w:tcPr>
          <w:p>
            <w:pPr>
              <w:pStyle w:val="0"/>
              <w:jc w:val="center"/>
            </w:pPr>
            <w:r>
              <w:rPr>
                <w:sz w:val="20"/>
              </w:rPr>
              <w:t xml:space="preserve">11,6</w:t>
            </w:r>
          </w:p>
        </w:tc>
        <w:tc>
          <w:tcPr>
            <w:tcW w:w="835" w:type="dxa"/>
          </w:tcPr>
          <w:p>
            <w:pPr>
              <w:pStyle w:val="0"/>
              <w:jc w:val="center"/>
            </w:pPr>
            <w:r>
              <w:rPr>
                <w:sz w:val="20"/>
              </w:rPr>
              <w:t xml:space="preserve">9,86</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частная собственность физических лиц</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2021</w:t>
            </w:r>
          </w:p>
        </w:tc>
        <w:tc>
          <w:tcPr>
            <w:tcW w:w="856" w:type="dxa"/>
          </w:tcPr>
          <w:p>
            <w:pPr>
              <w:pStyle w:val="0"/>
              <w:jc w:val="center"/>
            </w:pPr>
            <w:r>
              <w:rPr>
                <w:sz w:val="20"/>
              </w:rPr>
              <w:t xml:space="preserve">2021</w:t>
            </w:r>
          </w:p>
        </w:tc>
        <w:tc>
          <w:tcPr>
            <w:tcW w:w="1117" w:type="dxa"/>
          </w:tcPr>
          <w:p>
            <w:pPr>
              <w:pStyle w:val="0"/>
              <w:jc w:val="center"/>
            </w:pPr>
            <w:r>
              <w:rPr>
                <w:sz w:val="20"/>
              </w:rPr>
              <w:t xml:space="preserve">2021</w:t>
            </w:r>
          </w:p>
        </w:tc>
        <w:tc>
          <w:tcPr>
            <w:tcW w:w="763" w:type="dxa"/>
          </w:tcPr>
          <w:p>
            <w:pPr>
              <w:pStyle w:val="0"/>
              <w:jc w:val="center"/>
            </w:pPr>
            <w:r>
              <w:rPr>
                <w:sz w:val="20"/>
              </w:rPr>
              <w:t xml:space="preserve">2021</w:t>
            </w:r>
          </w:p>
        </w:tc>
      </w:tr>
      <w:tr>
        <w:tc>
          <w:tcPr>
            <w:tcW w:w="567" w:type="dxa"/>
          </w:tcPr>
          <w:p>
            <w:pPr>
              <w:pStyle w:val="0"/>
              <w:jc w:val="center"/>
            </w:pPr>
            <w:r>
              <w:rPr>
                <w:sz w:val="20"/>
              </w:rPr>
              <w:t xml:space="preserve">24</w:t>
            </w:r>
          </w:p>
        </w:tc>
        <w:tc>
          <w:tcPr>
            <w:tcW w:w="2211" w:type="dxa"/>
          </w:tcPr>
          <w:p>
            <w:pPr>
              <w:pStyle w:val="0"/>
            </w:pPr>
            <w:r>
              <w:rPr>
                <w:sz w:val="20"/>
              </w:rPr>
              <w:t xml:space="preserve">П. Октябрьский, Барлакский с/с, микрорайон Рябиновый</w:t>
            </w:r>
          </w:p>
        </w:tc>
        <w:tc>
          <w:tcPr>
            <w:tcW w:w="907" w:type="dxa"/>
          </w:tcPr>
          <w:p>
            <w:pPr>
              <w:pStyle w:val="0"/>
              <w:jc w:val="center"/>
            </w:pPr>
            <w:r>
              <w:rPr>
                <w:sz w:val="20"/>
              </w:rPr>
              <w:t xml:space="preserve">354,4</w:t>
            </w:r>
          </w:p>
        </w:tc>
        <w:tc>
          <w:tcPr>
            <w:tcW w:w="907" w:type="dxa"/>
          </w:tcPr>
          <w:p>
            <w:pPr>
              <w:pStyle w:val="0"/>
              <w:jc w:val="center"/>
            </w:pPr>
            <w:r>
              <w:rPr>
                <w:sz w:val="20"/>
              </w:rPr>
              <w:t xml:space="preserve">100,0</w:t>
            </w:r>
          </w:p>
        </w:tc>
        <w:tc>
          <w:tcPr>
            <w:tcW w:w="832" w:type="dxa"/>
          </w:tcPr>
          <w:p>
            <w:pPr>
              <w:pStyle w:val="0"/>
              <w:jc w:val="center"/>
            </w:pPr>
            <w:r>
              <w:rPr>
                <w:sz w:val="20"/>
              </w:rPr>
              <w:t xml:space="preserve">10,0</w:t>
            </w:r>
          </w:p>
        </w:tc>
        <w:tc>
          <w:tcPr>
            <w:tcW w:w="832" w:type="dxa"/>
          </w:tcPr>
          <w:p>
            <w:pPr>
              <w:pStyle w:val="0"/>
              <w:jc w:val="center"/>
            </w:pPr>
            <w:r>
              <w:rPr>
                <w:sz w:val="20"/>
              </w:rPr>
              <w:t xml:space="preserve">10,0</w:t>
            </w:r>
          </w:p>
        </w:tc>
        <w:tc>
          <w:tcPr>
            <w:tcW w:w="832" w:type="dxa"/>
          </w:tcPr>
          <w:p>
            <w:pPr>
              <w:pStyle w:val="0"/>
              <w:jc w:val="center"/>
            </w:pPr>
            <w:r>
              <w:rPr>
                <w:sz w:val="20"/>
              </w:rPr>
              <w:t xml:space="preserve">1,6</w:t>
            </w:r>
          </w:p>
        </w:tc>
        <w:tc>
          <w:tcPr>
            <w:tcW w:w="832" w:type="dxa"/>
          </w:tcPr>
          <w:p>
            <w:pPr>
              <w:pStyle w:val="0"/>
              <w:jc w:val="center"/>
            </w:pPr>
            <w:r>
              <w:rPr>
                <w:sz w:val="20"/>
              </w:rPr>
              <w:t xml:space="preserve">1,6</w:t>
            </w:r>
          </w:p>
        </w:tc>
        <w:tc>
          <w:tcPr>
            <w:tcW w:w="835" w:type="dxa"/>
          </w:tcPr>
          <w:p>
            <w:pPr>
              <w:pStyle w:val="0"/>
              <w:jc w:val="center"/>
            </w:pPr>
            <w:r>
              <w:rPr>
                <w:sz w:val="20"/>
              </w:rPr>
              <w:t xml:space="preserve">0,0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частная собственность физических лиц</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2021</w:t>
            </w:r>
          </w:p>
        </w:tc>
        <w:tc>
          <w:tcPr>
            <w:tcW w:w="856" w:type="dxa"/>
          </w:tcPr>
          <w:p>
            <w:pPr>
              <w:pStyle w:val="0"/>
              <w:jc w:val="center"/>
            </w:pPr>
            <w:r>
              <w:rPr>
                <w:sz w:val="20"/>
              </w:rPr>
              <w:t xml:space="preserve">2021</w:t>
            </w:r>
          </w:p>
        </w:tc>
        <w:tc>
          <w:tcPr>
            <w:tcW w:w="1117" w:type="dxa"/>
          </w:tcPr>
          <w:p>
            <w:pPr>
              <w:pStyle w:val="0"/>
              <w:jc w:val="center"/>
            </w:pPr>
            <w:r>
              <w:rPr>
                <w:sz w:val="20"/>
              </w:rPr>
              <w:t xml:space="preserve">2021</w:t>
            </w:r>
          </w:p>
        </w:tc>
        <w:tc>
          <w:tcPr>
            <w:tcW w:w="763" w:type="dxa"/>
          </w:tcPr>
          <w:p>
            <w:pPr>
              <w:pStyle w:val="0"/>
              <w:jc w:val="center"/>
            </w:pPr>
            <w:r>
              <w:rPr>
                <w:sz w:val="20"/>
              </w:rPr>
              <w:t xml:space="preserve">2021</w:t>
            </w:r>
          </w:p>
        </w:tc>
      </w:tr>
      <w:tr>
        <w:tc>
          <w:tcPr>
            <w:tcW w:w="567" w:type="dxa"/>
          </w:tcPr>
          <w:p>
            <w:pPr>
              <w:pStyle w:val="0"/>
              <w:jc w:val="center"/>
            </w:pPr>
            <w:r>
              <w:rPr>
                <w:sz w:val="20"/>
              </w:rPr>
              <w:t xml:space="preserve">25</w:t>
            </w:r>
          </w:p>
        </w:tc>
        <w:tc>
          <w:tcPr>
            <w:tcW w:w="2211" w:type="dxa"/>
          </w:tcPr>
          <w:p>
            <w:pPr>
              <w:pStyle w:val="0"/>
            </w:pPr>
            <w:r>
              <w:rPr>
                <w:sz w:val="20"/>
              </w:rPr>
              <w:t xml:space="preserve">П. Октябрьский, Барлакский с/с, микрорайон Заречный</w:t>
            </w:r>
          </w:p>
        </w:tc>
        <w:tc>
          <w:tcPr>
            <w:tcW w:w="907" w:type="dxa"/>
          </w:tcPr>
          <w:p>
            <w:pPr>
              <w:pStyle w:val="0"/>
              <w:jc w:val="center"/>
            </w:pPr>
            <w:r>
              <w:rPr>
                <w:sz w:val="20"/>
              </w:rPr>
              <w:t xml:space="preserve">354,4</w:t>
            </w:r>
          </w:p>
        </w:tc>
        <w:tc>
          <w:tcPr>
            <w:tcW w:w="907" w:type="dxa"/>
          </w:tcPr>
          <w:p>
            <w:pPr>
              <w:pStyle w:val="0"/>
              <w:jc w:val="center"/>
            </w:pPr>
            <w:r>
              <w:rPr>
                <w:sz w:val="20"/>
              </w:rPr>
              <w:t xml:space="preserve">100,0</w:t>
            </w:r>
          </w:p>
        </w:tc>
        <w:tc>
          <w:tcPr>
            <w:tcW w:w="832" w:type="dxa"/>
          </w:tcPr>
          <w:p>
            <w:pPr>
              <w:pStyle w:val="0"/>
              <w:jc w:val="center"/>
            </w:pPr>
            <w:r>
              <w:rPr>
                <w:sz w:val="20"/>
              </w:rPr>
              <w:t xml:space="preserve">10</w:t>
            </w:r>
          </w:p>
        </w:tc>
        <w:tc>
          <w:tcPr>
            <w:tcW w:w="832" w:type="dxa"/>
          </w:tcPr>
          <w:p>
            <w:pPr>
              <w:pStyle w:val="0"/>
              <w:jc w:val="center"/>
            </w:pPr>
            <w:r>
              <w:rPr>
                <w:sz w:val="20"/>
              </w:rPr>
              <w:t xml:space="preserve">10,0</w:t>
            </w:r>
          </w:p>
        </w:tc>
        <w:tc>
          <w:tcPr>
            <w:tcW w:w="832" w:type="dxa"/>
          </w:tcPr>
          <w:p>
            <w:pPr>
              <w:pStyle w:val="0"/>
              <w:jc w:val="center"/>
            </w:pPr>
            <w:r>
              <w:rPr>
                <w:sz w:val="20"/>
              </w:rPr>
              <w:t xml:space="preserve">2,2</w:t>
            </w:r>
          </w:p>
        </w:tc>
        <w:tc>
          <w:tcPr>
            <w:tcW w:w="832" w:type="dxa"/>
          </w:tcPr>
          <w:p>
            <w:pPr>
              <w:pStyle w:val="0"/>
              <w:jc w:val="center"/>
            </w:pPr>
            <w:r>
              <w:rPr>
                <w:sz w:val="20"/>
              </w:rPr>
              <w:t xml:space="preserve">2,2</w:t>
            </w:r>
          </w:p>
        </w:tc>
        <w:tc>
          <w:tcPr>
            <w:tcW w:w="835" w:type="dxa"/>
          </w:tcPr>
          <w:p>
            <w:pPr>
              <w:pStyle w:val="0"/>
              <w:jc w:val="center"/>
            </w:pPr>
            <w:r>
              <w:rPr>
                <w:sz w:val="20"/>
              </w:rPr>
              <w:t xml:space="preserve">0,0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частная собственность физических лиц</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2021</w:t>
            </w:r>
          </w:p>
        </w:tc>
        <w:tc>
          <w:tcPr>
            <w:tcW w:w="856" w:type="dxa"/>
          </w:tcPr>
          <w:p>
            <w:pPr>
              <w:pStyle w:val="0"/>
              <w:jc w:val="center"/>
            </w:pPr>
            <w:r>
              <w:rPr>
                <w:sz w:val="20"/>
              </w:rPr>
              <w:t xml:space="preserve">2021</w:t>
            </w:r>
          </w:p>
        </w:tc>
        <w:tc>
          <w:tcPr>
            <w:tcW w:w="1117" w:type="dxa"/>
          </w:tcPr>
          <w:p>
            <w:pPr>
              <w:pStyle w:val="0"/>
              <w:jc w:val="center"/>
            </w:pPr>
            <w:r>
              <w:rPr>
                <w:sz w:val="20"/>
              </w:rPr>
              <w:t xml:space="preserve">2021</w:t>
            </w:r>
          </w:p>
        </w:tc>
        <w:tc>
          <w:tcPr>
            <w:tcW w:w="763" w:type="dxa"/>
          </w:tcPr>
          <w:p>
            <w:pPr>
              <w:pStyle w:val="0"/>
              <w:jc w:val="center"/>
            </w:pPr>
            <w:r>
              <w:rPr>
                <w:sz w:val="20"/>
              </w:rPr>
              <w:t xml:space="preserve">2021</w:t>
            </w:r>
          </w:p>
        </w:tc>
      </w:tr>
      <w:tr>
        <w:tc>
          <w:tcPr>
            <w:gridSpan w:val="18"/>
            <w:tcW w:w="17062" w:type="dxa"/>
          </w:tcPr>
          <w:p>
            <w:pPr>
              <w:pStyle w:val="0"/>
              <w:outlineLvl w:val="2"/>
            </w:pPr>
            <w:r>
              <w:rPr>
                <w:sz w:val="20"/>
              </w:rPr>
              <w:t xml:space="preserve">Новосибирский район</w:t>
            </w:r>
          </w:p>
        </w:tc>
      </w:tr>
      <w:tr>
        <w:tblPrEx>
          <w:tblBorders>
            <w:insideH w:val="nil"/>
          </w:tblBorders>
        </w:tblPrEx>
        <w:tc>
          <w:tcPr>
            <w:tcW w:w="567" w:type="dxa"/>
            <w:tcBorders>
              <w:bottom w:val="nil"/>
            </w:tcBorders>
          </w:tcPr>
          <w:p>
            <w:pPr>
              <w:pStyle w:val="0"/>
              <w:jc w:val="center"/>
            </w:pPr>
            <w:r>
              <w:rPr>
                <w:sz w:val="20"/>
              </w:rPr>
              <w:t xml:space="preserve">26</w:t>
            </w:r>
          </w:p>
        </w:tc>
        <w:tc>
          <w:tcPr>
            <w:tcW w:w="2211" w:type="dxa"/>
            <w:tcBorders>
              <w:bottom w:val="nil"/>
            </w:tcBorders>
          </w:tcPr>
          <w:p>
            <w:pPr>
              <w:pStyle w:val="0"/>
            </w:pPr>
            <w:r>
              <w:rPr>
                <w:sz w:val="20"/>
              </w:rPr>
              <w:t xml:space="preserve">Площадка "Пригородная" Новосибирского района</w:t>
            </w:r>
          </w:p>
          <w:p>
            <w:pPr>
              <w:pStyle w:val="0"/>
            </w:pPr>
            <w:r>
              <w:rPr>
                <w:sz w:val="20"/>
              </w:rPr>
              <w:t xml:space="preserve">(с. Верх-Тула,</w:t>
            </w:r>
          </w:p>
          <w:p>
            <w:pPr>
              <w:pStyle w:val="0"/>
            </w:pPr>
            <w:r>
              <w:rPr>
                <w:sz w:val="20"/>
              </w:rPr>
              <w:t xml:space="preserve">п. Тулинский,</w:t>
            </w:r>
          </w:p>
          <w:p>
            <w:pPr>
              <w:pStyle w:val="0"/>
            </w:pPr>
            <w:r>
              <w:rPr>
                <w:sz w:val="20"/>
              </w:rPr>
              <w:t xml:space="preserve">с. Толмачево)</w:t>
            </w:r>
          </w:p>
        </w:tc>
        <w:tc>
          <w:tcPr>
            <w:tcW w:w="907" w:type="dxa"/>
            <w:tcBorders>
              <w:bottom w:val="nil"/>
            </w:tcBorders>
          </w:tcPr>
          <w:p>
            <w:pPr>
              <w:pStyle w:val="0"/>
              <w:jc w:val="center"/>
            </w:pPr>
            <w:r>
              <w:rPr>
                <w:sz w:val="20"/>
              </w:rPr>
              <w:t xml:space="preserve">367,3</w:t>
            </w:r>
          </w:p>
        </w:tc>
        <w:tc>
          <w:tcPr>
            <w:tcW w:w="907" w:type="dxa"/>
            <w:tcBorders>
              <w:bottom w:val="nil"/>
            </w:tcBorders>
          </w:tcPr>
          <w:p>
            <w:pPr>
              <w:pStyle w:val="0"/>
              <w:jc w:val="center"/>
            </w:pPr>
            <w:r>
              <w:rPr>
                <w:sz w:val="20"/>
              </w:rPr>
              <w:t xml:space="preserve">1922,2</w:t>
            </w:r>
          </w:p>
        </w:tc>
        <w:tc>
          <w:tcPr>
            <w:tcW w:w="832" w:type="dxa"/>
            <w:tcBorders>
              <w:bottom w:val="nil"/>
            </w:tcBorders>
          </w:tcPr>
          <w:p>
            <w:pPr>
              <w:pStyle w:val="0"/>
              <w:jc w:val="center"/>
            </w:pPr>
            <w:r>
              <w:rPr>
                <w:sz w:val="20"/>
              </w:rPr>
              <w:t xml:space="preserve">19,0</w:t>
            </w:r>
          </w:p>
        </w:tc>
        <w:tc>
          <w:tcPr>
            <w:tcW w:w="832" w:type="dxa"/>
            <w:tcBorders>
              <w:bottom w:val="nil"/>
            </w:tcBorders>
          </w:tcPr>
          <w:p>
            <w:pPr>
              <w:pStyle w:val="0"/>
              <w:jc w:val="center"/>
            </w:pPr>
            <w:r>
              <w:rPr>
                <w:sz w:val="20"/>
              </w:rPr>
              <w:t xml:space="preserve">19,0</w:t>
            </w:r>
          </w:p>
        </w:tc>
        <w:tc>
          <w:tcPr>
            <w:tcW w:w="832" w:type="dxa"/>
            <w:tcBorders>
              <w:bottom w:val="nil"/>
            </w:tcBorders>
          </w:tcPr>
          <w:p>
            <w:pPr>
              <w:pStyle w:val="0"/>
              <w:jc w:val="center"/>
            </w:pPr>
            <w:r>
              <w:rPr>
                <w:sz w:val="20"/>
              </w:rPr>
              <w:t xml:space="preserve">30,0</w:t>
            </w:r>
          </w:p>
        </w:tc>
        <w:tc>
          <w:tcPr>
            <w:tcW w:w="832" w:type="dxa"/>
            <w:tcBorders>
              <w:bottom w:val="nil"/>
            </w:tcBorders>
          </w:tcPr>
          <w:p>
            <w:pPr>
              <w:pStyle w:val="0"/>
              <w:jc w:val="center"/>
            </w:pPr>
            <w:r>
              <w:rPr>
                <w:sz w:val="20"/>
              </w:rPr>
              <w:t xml:space="preserve">690,0</w:t>
            </w:r>
          </w:p>
        </w:tc>
        <w:tc>
          <w:tcPr>
            <w:tcW w:w="835" w:type="dxa"/>
            <w:tcBorders>
              <w:bottom w:val="nil"/>
            </w:tcBorders>
          </w:tcPr>
          <w:p>
            <w:pPr>
              <w:pStyle w:val="0"/>
              <w:jc w:val="center"/>
            </w:pPr>
            <w:r>
              <w:rPr>
                <w:sz w:val="20"/>
              </w:rPr>
              <w:t xml:space="preserve">1213,2</w:t>
            </w:r>
          </w:p>
        </w:tc>
        <w:tc>
          <w:tcPr>
            <w:tcW w:w="737" w:type="dxa"/>
            <w:tcBorders>
              <w:bottom w:val="nil"/>
            </w:tcBorders>
          </w:tcPr>
          <w:p>
            <w:pPr>
              <w:pStyle w:val="0"/>
              <w:jc w:val="center"/>
            </w:pPr>
            <w:r>
              <w:rPr>
                <w:sz w:val="20"/>
              </w:rPr>
              <w:t xml:space="preserve">Малоэтажная застройка (индивидуальные жилые дома, жилые дома блокированной застройки, многоквартирные жилые дома), среднеэтажная застройка (многоквартирные дома), многоэтажная</w:t>
            </w:r>
          </w:p>
        </w:tc>
        <w:tc>
          <w:tcPr>
            <w:tcW w:w="1134" w:type="dxa"/>
            <w:tcBorders>
              <w:bottom w:val="nil"/>
            </w:tcBorders>
          </w:tcPr>
          <w:p>
            <w:pPr>
              <w:pStyle w:val="0"/>
              <w:jc w:val="center"/>
            </w:pPr>
            <w:r>
              <w:rPr>
                <w:sz w:val="20"/>
              </w:rPr>
              <w:t xml:space="preserve">ООО "Барселона"/ООО "СЗ Экополис"/Пригородный простор</w:t>
            </w:r>
          </w:p>
        </w:tc>
        <w:tc>
          <w:tcPr>
            <w:tcW w:w="992" w:type="dxa"/>
            <w:tcBorders>
              <w:bottom w:val="nil"/>
            </w:tcBorders>
          </w:tcPr>
          <w:p>
            <w:pPr>
              <w:pStyle w:val="0"/>
              <w:jc w:val="center"/>
            </w:pPr>
            <w:r>
              <w:rPr>
                <w:sz w:val="20"/>
              </w:rPr>
              <w:t xml:space="preserve">2017 - 2022</w:t>
            </w:r>
          </w:p>
        </w:tc>
        <w:tc>
          <w:tcPr>
            <w:tcW w:w="996" w:type="dxa"/>
            <w:tcBorders>
              <w:bottom w:val="nil"/>
            </w:tcBorders>
          </w:tcPr>
          <w:p>
            <w:pPr>
              <w:pStyle w:val="0"/>
              <w:jc w:val="center"/>
            </w:pPr>
            <w:r>
              <w:rPr>
                <w:sz w:val="20"/>
              </w:rPr>
              <w:t xml:space="preserve">2018 - 2026</w:t>
            </w:r>
          </w:p>
        </w:tc>
        <w:tc>
          <w:tcPr>
            <w:tcW w:w="856" w:type="dxa"/>
            <w:tcBorders>
              <w:bottom w:val="nil"/>
            </w:tcBorders>
          </w:tcPr>
          <w:p>
            <w:pPr>
              <w:pStyle w:val="0"/>
              <w:jc w:val="center"/>
            </w:pPr>
            <w:r>
              <w:rPr>
                <w:sz w:val="20"/>
              </w:rPr>
              <w:t xml:space="preserve">2018 - 2026</w:t>
            </w:r>
          </w:p>
        </w:tc>
        <w:tc>
          <w:tcPr>
            <w:tcW w:w="856" w:type="dxa"/>
            <w:tcBorders>
              <w:bottom w:val="nil"/>
            </w:tcBorders>
          </w:tcPr>
          <w:p>
            <w:pPr>
              <w:pStyle w:val="0"/>
              <w:jc w:val="center"/>
            </w:pPr>
            <w:r>
              <w:rPr>
                <w:sz w:val="20"/>
              </w:rPr>
              <w:t xml:space="preserve">2018 - 2030</w:t>
            </w:r>
          </w:p>
        </w:tc>
        <w:tc>
          <w:tcPr>
            <w:tcW w:w="856" w:type="dxa"/>
            <w:tcBorders>
              <w:bottom w:val="nil"/>
            </w:tcBorders>
          </w:tcPr>
          <w:p>
            <w:pPr>
              <w:pStyle w:val="0"/>
              <w:jc w:val="center"/>
            </w:pPr>
            <w:r>
              <w:rPr>
                <w:sz w:val="20"/>
              </w:rPr>
              <w:t xml:space="preserve">2018 - 2026</w:t>
            </w:r>
          </w:p>
        </w:tc>
        <w:tc>
          <w:tcPr>
            <w:tcW w:w="1117" w:type="dxa"/>
            <w:tcBorders>
              <w:bottom w:val="nil"/>
            </w:tcBorders>
          </w:tcPr>
          <w:p>
            <w:pPr>
              <w:pStyle w:val="0"/>
              <w:jc w:val="center"/>
            </w:pPr>
            <w:r>
              <w:rPr>
                <w:sz w:val="20"/>
              </w:rPr>
              <w:t xml:space="preserve">2018 - 2030</w:t>
            </w:r>
          </w:p>
        </w:tc>
        <w:tc>
          <w:tcPr>
            <w:tcW w:w="763" w:type="dxa"/>
            <w:tcBorders>
              <w:bottom w:val="nil"/>
            </w:tcBorders>
          </w:tcPr>
          <w:p>
            <w:pPr>
              <w:pStyle w:val="0"/>
              <w:jc w:val="center"/>
            </w:pPr>
            <w:r>
              <w:rPr>
                <w:sz w:val="20"/>
              </w:rPr>
              <w:t xml:space="preserve">2019 - 2030</w:t>
            </w:r>
          </w:p>
        </w:tc>
      </w:tr>
      <w:tr>
        <w:tblPrEx>
          <w:tblBorders>
            <w:insideH w:val="nil"/>
          </w:tblBorders>
        </w:tblPrEx>
        <w:tc>
          <w:tcPr>
            <w:gridSpan w:val="18"/>
            <w:tcW w:w="17062" w:type="dxa"/>
            <w:tcBorders>
              <w:top w:val="nil"/>
            </w:tcBorders>
          </w:tcPr>
          <w:p>
            <w:pPr>
              <w:pStyle w:val="0"/>
              <w:jc w:val="both"/>
            </w:pPr>
            <w:r>
              <w:rPr>
                <w:sz w:val="20"/>
              </w:rPr>
              <w:t xml:space="preserve">(п. 26 в ред. </w:t>
            </w:r>
            <w:hyperlink w:history="0" r:id="rId824"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29.12.2022</w:t>
            </w:r>
          </w:p>
          <w:p>
            <w:pPr>
              <w:pStyle w:val="0"/>
              <w:jc w:val="both"/>
            </w:pPr>
            <w:r>
              <w:rPr>
                <w:sz w:val="20"/>
              </w:rPr>
              <w:t xml:space="preserve">N 652-п)</w:t>
            </w:r>
          </w:p>
        </w:tc>
      </w:tr>
      <w:tr>
        <w:tc>
          <w:tcPr>
            <w:tcW w:w="567" w:type="dxa"/>
          </w:tcPr>
          <w:p>
            <w:pPr>
              <w:pStyle w:val="0"/>
              <w:jc w:val="center"/>
            </w:pPr>
            <w:r>
              <w:rPr>
                <w:sz w:val="20"/>
              </w:rPr>
              <w:t xml:space="preserve">27</w:t>
            </w:r>
          </w:p>
        </w:tc>
        <w:tc>
          <w:tcPr>
            <w:tcW w:w="2211" w:type="dxa"/>
          </w:tcPr>
          <w:p>
            <w:pPr>
              <w:pStyle w:val="0"/>
            </w:pPr>
            <w:r>
              <w:rPr>
                <w:sz w:val="20"/>
              </w:rPr>
              <w:t xml:space="preserve">НСО, Новосибирской район, Каменский сельсовет</w:t>
            </w:r>
          </w:p>
        </w:tc>
        <w:tc>
          <w:tcPr>
            <w:tcW w:w="907" w:type="dxa"/>
          </w:tcPr>
          <w:p>
            <w:pPr>
              <w:pStyle w:val="0"/>
              <w:jc w:val="center"/>
            </w:pPr>
            <w:r>
              <w:rPr>
                <w:sz w:val="20"/>
              </w:rPr>
              <w:t xml:space="preserve">117,3</w:t>
            </w:r>
          </w:p>
        </w:tc>
        <w:tc>
          <w:tcPr>
            <w:tcW w:w="907" w:type="dxa"/>
          </w:tcPr>
          <w:p>
            <w:pPr>
              <w:pStyle w:val="0"/>
              <w:jc w:val="center"/>
            </w:pPr>
            <w:r>
              <w:rPr>
                <w:sz w:val="20"/>
              </w:rPr>
              <w:t xml:space="preserve">395,0</w:t>
            </w:r>
          </w:p>
        </w:tc>
        <w:tc>
          <w:tcPr>
            <w:tcW w:w="832" w:type="dxa"/>
          </w:tcPr>
          <w:p>
            <w:pPr>
              <w:pStyle w:val="0"/>
              <w:jc w:val="center"/>
            </w:pPr>
            <w:r>
              <w:rPr>
                <w:sz w:val="20"/>
              </w:rPr>
              <w:t xml:space="preserve">2,2</w:t>
            </w:r>
          </w:p>
        </w:tc>
        <w:tc>
          <w:tcPr>
            <w:tcW w:w="832" w:type="dxa"/>
          </w:tcPr>
          <w:p>
            <w:pPr>
              <w:pStyle w:val="0"/>
              <w:jc w:val="center"/>
            </w:pPr>
            <w:r>
              <w:rPr>
                <w:sz w:val="20"/>
              </w:rPr>
              <w:t xml:space="preserve">0,0</w:t>
            </w:r>
          </w:p>
        </w:tc>
        <w:tc>
          <w:tcPr>
            <w:tcW w:w="832" w:type="dxa"/>
          </w:tcPr>
          <w:p>
            <w:pPr>
              <w:pStyle w:val="0"/>
              <w:jc w:val="center"/>
            </w:pPr>
            <w:r>
              <w:rPr>
                <w:sz w:val="20"/>
              </w:rPr>
              <w:t xml:space="preserve">12,0</w:t>
            </w:r>
          </w:p>
        </w:tc>
        <w:tc>
          <w:tcPr>
            <w:tcW w:w="832" w:type="dxa"/>
          </w:tcPr>
          <w:p>
            <w:pPr>
              <w:pStyle w:val="0"/>
              <w:jc w:val="center"/>
            </w:pPr>
            <w:r>
              <w:rPr>
                <w:sz w:val="20"/>
              </w:rPr>
              <w:t xml:space="preserve">95,8</w:t>
            </w:r>
          </w:p>
        </w:tc>
        <w:tc>
          <w:tcPr>
            <w:tcW w:w="835" w:type="dxa"/>
          </w:tcPr>
          <w:p>
            <w:pPr>
              <w:pStyle w:val="0"/>
              <w:jc w:val="center"/>
            </w:pPr>
            <w:r>
              <w:rPr>
                <w:sz w:val="20"/>
              </w:rPr>
              <w:t xml:space="preserve">150,0</w:t>
            </w:r>
          </w:p>
        </w:tc>
        <w:tc>
          <w:tcPr>
            <w:tcW w:w="737" w:type="dxa"/>
          </w:tcPr>
          <w:p>
            <w:pPr>
              <w:pStyle w:val="0"/>
              <w:jc w:val="center"/>
            </w:pPr>
            <w:r>
              <w:rPr>
                <w:sz w:val="20"/>
              </w:rPr>
              <w:t xml:space="preserve">ИЖС, блокированные жилые дома, малоэтажные, многоэтажные, многоквартирные дома</w:t>
            </w:r>
          </w:p>
        </w:tc>
        <w:tc>
          <w:tcPr>
            <w:tcW w:w="1134" w:type="dxa"/>
          </w:tcPr>
          <w:p>
            <w:pPr>
              <w:pStyle w:val="0"/>
              <w:jc w:val="center"/>
            </w:pPr>
            <w:r>
              <w:rPr>
                <w:sz w:val="20"/>
              </w:rPr>
              <w:t xml:space="preserve">ООО "Гелеон Строй", аренда ООО фирма "Арго"</w:t>
            </w:r>
          </w:p>
        </w:tc>
        <w:tc>
          <w:tcPr>
            <w:tcW w:w="992" w:type="dxa"/>
          </w:tcPr>
          <w:p>
            <w:pPr>
              <w:pStyle w:val="0"/>
              <w:jc w:val="center"/>
            </w:pPr>
            <w:r>
              <w:rPr>
                <w:sz w:val="20"/>
              </w:rPr>
              <w:t xml:space="preserve">2018 - 2022</w:t>
            </w:r>
          </w:p>
        </w:tc>
        <w:tc>
          <w:tcPr>
            <w:tcW w:w="996" w:type="dxa"/>
          </w:tcPr>
          <w:p>
            <w:pPr>
              <w:pStyle w:val="0"/>
              <w:jc w:val="center"/>
            </w:pPr>
            <w:r>
              <w:rPr>
                <w:sz w:val="20"/>
              </w:rPr>
              <w:t xml:space="preserve">2019 - 2022</w:t>
            </w:r>
          </w:p>
        </w:tc>
        <w:tc>
          <w:tcPr>
            <w:tcW w:w="856" w:type="dxa"/>
          </w:tcPr>
          <w:p>
            <w:pPr>
              <w:pStyle w:val="0"/>
              <w:jc w:val="center"/>
            </w:pPr>
            <w:r>
              <w:rPr>
                <w:sz w:val="20"/>
              </w:rPr>
              <w:t xml:space="preserve">2016 - 2022</w:t>
            </w:r>
          </w:p>
        </w:tc>
        <w:tc>
          <w:tcPr>
            <w:tcW w:w="856" w:type="dxa"/>
          </w:tcPr>
          <w:p>
            <w:pPr>
              <w:pStyle w:val="0"/>
              <w:jc w:val="center"/>
            </w:pPr>
            <w:r>
              <w:rPr>
                <w:sz w:val="20"/>
              </w:rPr>
              <w:t xml:space="preserve">2020 - 2024</w:t>
            </w:r>
          </w:p>
        </w:tc>
        <w:tc>
          <w:tcPr>
            <w:tcW w:w="856" w:type="dxa"/>
          </w:tcPr>
          <w:p>
            <w:pPr>
              <w:pStyle w:val="0"/>
              <w:jc w:val="center"/>
            </w:pPr>
            <w:r>
              <w:rPr>
                <w:sz w:val="20"/>
              </w:rPr>
              <w:t xml:space="preserve">2020 - 2025</w:t>
            </w:r>
          </w:p>
        </w:tc>
        <w:tc>
          <w:tcPr>
            <w:tcW w:w="1117" w:type="dxa"/>
          </w:tcPr>
          <w:p>
            <w:pPr>
              <w:pStyle w:val="0"/>
              <w:jc w:val="center"/>
            </w:pPr>
            <w:r>
              <w:rPr>
                <w:sz w:val="20"/>
              </w:rPr>
              <w:t xml:space="preserve">2019 - 2025</w:t>
            </w:r>
          </w:p>
        </w:tc>
        <w:tc>
          <w:tcPr>
            <w:tcW w:w="763" w:type="dxa"/>
          </w:tcPr>
          <w:p>
            <w:pPr>
              <w:pStyle w:val="0"/>
              <w:jc w:val="center"/>
            </w:pPr>
            <w:r>
              <w:rPr>
                <w:sz w:val="20"/>
              </w:rPr>
              <w:t xml:space="preserve">2021 - 2026</w:t>
            </w:r>
          </w:p>
        </w:tc>
      </w:tr>
      <w:tr>
        <w:tblPrEx>
          <w:tblBorders>
            <w:insideH w:val="nil"/>
          </w:tblBorders>
        </w:tblPrEx>
        <w:tc>
          <w:tcPr>
            <w:tcW w:w="567" w:type="dxa"/>
            <w:tcBorders>
              <w:bottom w:val="nil"/>
            </w:tcBorders>
          </w:tcPr>
          <w:p>
            <w:pPr>
              <w:pStyle w:val="0"/>
              <w:jc w:val="center"/>
            </w:pPr>
            <w:r>
              <w:rPr>
                <w:sz w:val="20"/>
              </w:rPr>
              <w:t xml:space="preserve">28</w:t>
            </w:r>
          </w:p>
        </w:tc>
        <w:tc>
          <w:tcPr>
            <w:tcW w:w="2211" w:type="dxa"/>
            <w:tcBorders>
              <w:bottom w:val="nil"/>
            </w:tcBorders>
          </w:tcPr>
          <w:p>
            <w:pPr>
              <w:pStyle w:val="0"/>
            </w:pPr>
            <w:r>
              <w:rPr>
                <w:sz w:val="20"/>
              </w:rPr>
              <w:t xml:space="preserve">р.п. Краснообск и п. Элитный Мичуринского сельсовета Новосибирского района, часть Кировского района города Новосибирска</w:t>
            </w:r>
          </w:p>
        </w:tc>
        <w:tc>
          <w:tcPr>
            <w:tcW w:w="907" w:type="dxa"/>
            <w:tcBorders>
              <w:bottom w:val="nil"/>
            </w:tcBorders>
          </w:tcPr>
          <w:p>
            <w:pPr>
              <w:pStyle w:val="0"/>
              <w:jc w:val="center"/>
            </w:pPr>
            <w:r>
              <w:rPr>
                <w:sz w:val="20"/>
              </w:rPr>
              <w:t xml:space="preserve">249,6</w:t>
            </w:r>
          </w:p>
        </w:tc>
        <w:tc>
          <w:tcPr>
            <w:tcW w:w="907" w:type="dxa"/>
            <w:tcBorders>
              <w:bottom w:val="nil"/>
            </w:tcBorders>
          </w:tcPr>
          <w:p>
            <w:pPr>
              <w:pStyle w:val="0"/>
              <w:jc w:val="center"/>
            </w:pPr>
            <w:r>
              <w:rPr>
                <w:sz w:val="20"/>
              </w:rPr>
              <w:t xml:space="preserve">1369,51</w:t>
            </w:r>
          </w:p>
        </w:tc>
        <w:tc>
          <w:tcPr>
            <w:tcW w:w="832" w:type="dxa"/>
            <w:tcBorders>
              <w:bottom w:val="nil"/>
            </w:tcBorders>
          </w:tcPr>
          <w:p>
            <w:pPr>
              <w:pStyle w:val="0"/>
              <w:jc w:val="center"/>
            </w:pPr>
            <w:r>
              <w:rPr>
                <w:sz w:val="20"/>
              </w:rPr>
              <w:t xml:space="preserve">101,00</w:t>
            </w:r>
          </w:p>
        </w:tc>
        <w:tc>
          <w:tcPr>
            <w:tcW w:w="832" w:type="dxa"/>
            <w:tcBorders>
              <w:bottom w:val="nil"/>
            </w:tcBorders>
          </w:tcPr>
          <w:p>
            <w:pPr>
              <w:pStyle w:val="0"/>
              <w:jc w:val="center"/>
            </w:pPr>
            <w:r>
              <w:rPr>
                <w:sz w:val="20"/>
              </w:rPr>
              <w:t xml:space="preserve">101,00</w:t>
            </w:r>
          </w:p>
        </w:tc>
        <w:tc>
          <w:tcPr>
            <w:tcW w:w="832" w:type="dxa"/>
            <w:tcBorders>
              <w:bottom w:val="nil"/>
            </w:tcBorders>
          </w:tcPr>
          <w:p>
            <w:pPr>
              <w:pStyle w:val="0"/>
              <w:jc w:val="center"/>
            </w:pPr>
            <w:r>
              <w:rPr>
                <w:sz w:val="20"/>
              </w:rPr>
              <w:t xml:space="preserve">20,3</w:t>
            </w:r>
          </w:p>
        </w:tc>
        <w:tc>
          <w:tcPr>
            <w:tcW w:w="832" w:type="dxa"/>
            <w:tcBorders>
              <w:bottom w:val="nil"/>
            </w:tcBorders>
          </w:tcPr>
          <w:p>
            <w:pPr>
              <w:pStyle w:val="0"/>
              <w:jc w:val="center"/>
            </w:pPr>
            <w:r>
              <w:rPr>
                <w:sz w:val="20"/>
              </w:rPr>
              <w:t xml:space="preserve">191,8</w:t>
            </w:r>
          </w:p>
        </w:tc>
        <w:tc>
          <w:tcPr>
            <w:tcW w:w="835" w:type="dxa"/>
            <w:tcBorders>
              <w:bottom w:val="nil"/>
            </w:tcBorders>
          </w:tcPr>
          <w:p>
            <w:pPr>
              <w:pStyle w:val="0"/>
              <w:jc w:val="center"/>
            </w:pPr>
            <w:r>
              <w:rPr>
                <w:sz w:val="20"/>
              </w:rPr>
              <w:t xml:space="preserve">161,0</w:t>
            </w:r>
          </w:p>
        </w:tc>
        <w:tc>
          <w:tcPr>
            <w:tcW w:w="737" w:type="dxa"/>
            <w:tcBorders>
              <w:bottom w:val="nil"/>
            </w:tcBorders>
          </w:tcPr>
          <w:p>
            <w:pPr>
              <w:pStyle w:val="0"/>
              <w:jc w:val="center"/>
            </w:pPr>
            <w:r>
              <w:rPr>
                <w:sz w:val="20"/>
              </w:rPr>
              <w:t xml:space="preserve">ИЖС, малоэтажная, среднеэтажная, многоэтажная</w:t>
            </w:r>
          </w:p>
        </w:tc>
        <w:tc>
          <w:tcPr>
            <w:tcW w:w="1134" w:type="dxa"/>
            <w:tcBorders>
              <w:bottom w:val="nil"/>
            </w:tcBorders>
          </w:tcPr>
          <w:p>
            <w:pPr>
              <w:pStyle w:val="0"/>
              <w:jc w:val="center"/>
            </w:pPr>
            <w:r>
              <w:rPr>
                <w:sz w:val="20"/>
              </w:rPr>
              <w:t xml:space="preserve">ООО "Дар"/Собственность РФ/ООО "Жилищная инициатива"/аренда СП ООО "Сибакадемстрой"/государственная/неразграниченная/аренда ООО "Дирекция заказчика"/аренда ООО "Новосибирский квартал"/аренда ООО "АКД"/арендатор ООО "Стройинвестпроект", ООО "СЗ "Темпо"/филиал "Брусника. Сибакадемстрой" ООО "Брусника"</w:t>
            </w:r>
          </w:p>
        </w:tc>
        <w:tc>
          <w:tcPr>
            <w:tcW w:w="992" w:type="dxa"/>
            <w:tcBorders>
              <w:bottom w:val="nil"/>
            </w:tcBorders>
          </w:tcPr>
          <w:p>
            <w:pPr>
              <w:pStyle w:val="0"/>
              <w:jc w:val="center"/>
            </w:pPr>
            <w:r>
              <w:rPr>
                <w:sz w:val="20"/>
              </w:rPr>
              <w:t xml:space="preserve">2022 - 2024</w:t>
            </w:r>
          </w:p>
        </w:tc>
        <w:tc>
          <w:tcPr>
            <w:tcW w:w="996" w:type="dxa"/>
            <w:tcBorders>
              <w:bottom w:val="nil"/>
            </w:tcBorders>
          </w:tcPr>
          <w:p>
            <w:pPr>
              <w:pStyle w:val="0"/>
              <w:jc w:val="center"/>
            </w:pPr>
            <w:r>
              <w:rPr>
                <w:sz w:val="20"/>
              </w:rPr>
              <w:t xml:space="preserve">2022 - 2026</w:t>
            </w:r>
          </w:p>
        </w:tc>
        <w:tc>
          <w:tcPr>
            <w:tcW w:w="856" w:type="dxa"/>
            <w:tcBorders>
              <w:bottom w:val="nil"/>
            </w:tcBorders>
          </w:tcPr>
          <w:p>
            <w:pPr>
              <w:pStyle w:val="0"/>
              <w:jc w:val="center"/>
            </w:pPr>
            <w:r>
              <w:rPr>
                <w:sz w:val="20"/>
              </w:rPr>
              <w:t xml:space="preserve">2022 - 2030</w:t>
            </w:r>
          </w:p>
        </w:tc>
        <w:tc>
          <w:tcPr>
            <w:tcW w:w="856" w:type="dxa"/>
            <w:tcBorders>
              <w:bottom w:val="nil"/>
            </w:tcBorders>
          </w:tcPr>
          <w:p>
            <w:pPr>
              <w:pStyle w:val="0"/>
              <w:jc w:val="center"/>
            </w:pPr>
            <w:r>
              <w:rPr>
                <w:sz w:val="20"/>
              </w:rPr>
              <w:t xml:space="preserve">2022 - 2026</w:t>
            </w:r>
          </w:p>
        </w:tc>
        <w:tc>
          <w:tcPr>
            <w:tcW w:w="856" w:type="dxa"/>
            <w:tcBorders>
              <w:bottom w:val="nil"/>
            </w:tcBorders>
          </w:tcPr>
          <w:p>
            <w:pPr>
              <w:pStyle w:val="0"/>
              <w:jc w:val="center"/>
            </w:pPr>
            <w:r>
              <w:rPr>
                <w:sz w:val="20"/>
              </w:rPr>
              <w:t xml:space="preserve">2022 - 2028</w:t>
            </w:r>
          </w:p>
        </w:tc>
        <w:tc>
          <w:tcPr>
            <w:tcW w:w="1117" w:type="dxa"/>
            <w:tcBorders>
              <w:bottom w:val="nil"/>
            </w:tcBorders>
          </w:tcPr>
          <w:p>
            <w:pPr>
              <w:pStyle w:val="0"/>
              <w:jc w:val="center"/>
            </w:pPr>
            <w:r>
              <w:rPr>
                <w:sz w:val="20"/>
              </w:rPr>
              <w:t xml:space="preserve">2022 - 2030</w:t>
            </w:r>
          </w:p>
        </w:tc>
        <w:tc>
          <w:tcPr>
            <w:tcW w:w="763" w:type="dxa"/>
            <w:tcBorders>
              <w:bottom w:val="nil"/>
            </w:tcBorders>
          </w:tcPr>
          <w:p>
            <w:pPr>
              <w:pStyle w:val="0"/>
              <w:jc w:val="center"/>
            </w:pPr>
            <w:r>
              <w:rPr>
                <w:sz w:val="20"/>
              </w:rPr>
              <w:t xml:space="preserve">2022 - 2030</w:t>
            </w:r>
          </w:p>
        </w:tc>
      </w:tr>
      <w:tr>
        <w:tblPrEx>
          <w:tblBorders>
            <w:insideH w:val="nil"/>
          </w:tblBorders>
        </w:tblPrEx>
        <w:tc>
          <w:tcPr>
            <w:gridSpan w:val="18"/>
            <w:tcW w:w="17062" w:type="dxa"/>
            <w:tcBorders>
              <w:top w:val="nil"/>
            </w:tcBorders>
          </w:tcPr>
          <w:p>
            <w:pPr>
              <w:pStyle w:val="0"/>
              <w:jc w:val="both"/>
            </w:pPr>
            <w:r>
              <w:rPr>
                <w:sz w:val="20"/>
              </w:rPr>
              <w:t xml:space="preserve">(п. 28 в ред. </w:t>
            </w:r>
            <w:hyperlink w:history="0" r:id="rId825"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29.12.2022</w:t>
            </w:r>
          </w:p>
          <w:p>
            <w:pPr>
              <w:pStyle w:val="0"/>
              <w:jc w:val="both"/>
            </w:pPr>
            <w:r>
              <w:rPr>
                <w:sz w:val="20"/>
              </w:rPr>
              <w:t xml:space="preserve">N 652-п)</w:t>
            </w:r>
          </w:p>
        </w:tc>
      </w:tr>
      <w:tr>
        <w:tc>
          <w:tcPr>
            <w:tcW w:w="567" w:type="dxa"/>
          </w:tcPr>
          <w:p>
            <w:pPr>
              <w:pStyle w:val="0"/>
              <w:jc w:val="center"/>
            </w:pPr>
            <w:r>
              <w:rPr>
                <w:sz w:val="20"/>
              </w:rPr>
              <w:t xml:space="preserve">29</w:t>
            </w:r>
          </w:p>
        </w:tc>
        <w:tc>
          <w:tcPr>
            <w:tcW w:w="2211" w:type="dxa"/>
          </w:tcPr>
          <w:p>
            <w:pPr>
              <w:pStyle w:val="0"/>
            </w:pPr>
            <w:r>
              <w:rPr>
                <w:sz w:val="20"/>
              </w:rPr>
              <w:t xml:space="preserve">Комплексная жилая застройка по адресу: Новосибирская область, Новосибирский район, Новолуговской сельсовет, село Новолуговое</w:t>
            </w:r>
          </w:p>
        </w:tc>
        <w:tc>
          <w:tcPr>
            <w:tcW w:w="907" w:type="dxa"/>
          </w:tcPr>
          <w:p>
            <w:pPr>
              <w:pStyle w:val="0"/>
              <w:jc w:val="center"/>
            </w:pPr>
            <w:r>
              <w:rPr>
                <w:sz w:val="20"/>
              </w:rPr>
              <w:t xml:space="preserve">176,4</w:t>
            </w:r>
          </w:p>
        </w:tc>
        <w:tc>
          <w:tcPr>
            <w:tcW w:w="907" w:type="dxa"/>
          </w:tcPr>
          <w:p>
            <w:pPr>
              <w:pStyle w:val="0"/>
              <w:jc w:val="center"/>
            </w:pPr>
            <w:r>
              <w:rPr>
                <w:sz w:val="20"/>
              </w:rPr>
              <w:t xml:space="preserve">152,152</w:t>
            </w:r>
          </w:p>
        </w:tc>
        <w:tc>
          <w:tcPr>
            <w:tcW w:w="832" w:type="dxa"/>
          </w:tcPr>
          <w:p>
            <w:pPr>
              <w:pStyle w:val="0"/>
              <w:jc w:val="center"/>
            </w:pPr>
            <w:r>
              <w:rPr>
                <w:sz w:val="20"/>
              </w:rPr>
              <w:t xml:space="preserve">80,152</w:t>
            </w:r>
          </w:p>
        </w:tc>
        <w:tc>
          <w:tcPr>
            <w:tcW w:w="832" w:type="dxa"/>
          </w:tcPr>
          <w:p>
            <w:pPr>
              <w:pStyle w:val="0"/>
              <w:jc w:val="center"/>
            </w:pPr>
            <w:r>
              <w:rPr>
                <w:sz w:val="20"/>
              </w:rPr>
              <w:t xml:space="preserve">0,0</w:t>
            </w:r>
          </w:p>
        </w:tc>
        <w:tc>
          <w:tcPr>
            <w:tcW w:w="832" w:type="dxa"/>
          </w:tcPr>
          <w:p>
            <w:pPr>
              <w:pStyle w:val="0"/>
              <w:jc w:val="center"/>
            </w:pPr>
            <w:r>
              <w:rPr>
                <w:sz w:val="20"/>
              </w:rPr>
              <w:t xml:space="preserve">23,0</w:t>
            </w:r>
          </w:p>
        </w:tc>
        <w:tc>
          <w:tcPr>
            <w:tcW w:w="832" w:type="dxa"/>
          </w:tcPr>
          <w:p>
            <w:pPr>
              <w:pStyle w:val="0"/>
              <w:jc w:val="center"/>
            </w:pPr>
            <w:r>
              <w:rPr>
                <w:sz w:val="20"/>
              </w:rPr>
              <w:t xml:space="preserve">25,0</w:t>
            </w:r>
          </w:p>
        </w:tc>
        <w:tc>
          <w:tcPr>
            <w:tcW w:w="835" w:type="dxa"/>
          </w:tcPr>
          <w:p>
            <w:pPr>
              <w:pStyle w:val="0"/>
              <w:jc w:val="center"/>
            </w:pPr>
            <w:r>
              <w:rPr>
                <w:sz w:val="20"/>
              </w:rPr>
              <w:t xml:space="preserve">47,0</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ООО "Дар"</w:t>
            </w:r>
          </w:p>
        </w:tc>
        <w:tc>
          <w:tcPr>
            <w:tcW w:w="992" w:type="dxa"/>
          </w:tcPr>
          <w:p>
            <w:pPr>
              <w:pStyle w:val="0"/>
              <w:jc w:val="center"/>
            </w:pPr>
            <w:r>
              <w:rPr>
                <w:sz w:val="20"/>
              </w:rPr>
              <w:t xml:space="preserve">2020</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2028</w:t>
            </w:r>
          </w:p>
        </w:tc>
        <w:tc>
          <w:tcPr>
            <w:tcW w:w="856" w:type="dxa"/>
          </w:tcPr>
          <w:p>
            <w:pPr>
              <w:pStyle w:val="0"/>
              <w:jc w:val="center"/>
            </w:pPr>
            <w:r>
              <w:rPr>
                <w:sz w:val="20"/>
              </w:rPr>
              <w:t xml:space="preserve">2028</w:t>
            </w:r>
          </w:p>
        </w:tc>
        <w:tc>
          <w:tcPr>
            <w:tcW w:w="856" w:type="dxa"/>
          </w:tcPr>
          <w:p>
            <w:pPr>
              <w:pStyle w:val="0"/>
              <w:jc w:val="center"/>
            </w:pPr>
            <w:r>
              <w:rPr>
                <w:sz w:val="20"/>
              </w:rPr>
              <w:t xml:space="preserve">2030</w:t>
            </w:r>
          </w:p>
        </w:tc>
        <w:tc>
          <w:tcPr>
            <w:tcW w:w="1117" w:type="dxa"/>
          </w:tcPr>
          <w:p>
            <w:pPr>
              <w:pStyle w:val="0"/>
              <w:jc w:val="center"/>
            </w:pPr>
            <w:r>
              <w:rPr>
                <w:sz w:val="20"/>
              </w:rPr>
              <w:t xml:space="preserve">2030</w:t>
            </w:r>
          </w:p>
        </w:tc>
        <w:tc>
          <w:tcPr>
            <w:tcW w:w="763" w:type="dxa"/>
          </w:tcPr>
          <w:p>
            <w:pPr>
              <w:pStyle w:val="0"/>
              <w:jc w:val="center"/>
            </w:pPr>
            <w:r>
              <w:rPr>
                <w:sz w:val="20"/>
              </w:rPr>
              <w:t xml:space="preserve">2030</w:t>
            </w:r>
          </w:p>
        </w:tc>
      </w:tr>
      <w:tr>
        <w:tblPrEx>
          <w:tblBorders>
            <w:insideH w:val="nil"/>
          </w:tblBorders>
        </w:tblPrEx>
        <w:tc>
          <w:tcPr>
            <w:tcW w:w="567" w:type="dxa"/>
            <w:tcBorders>
              <w:bottom w:val="nil"/>
            </w:tcBorders>
          </w:tcPr>
          <w:p>
            <w:pPr>
              <w:pStyle w:val="0"/>
              <w:jc w:val="center"/>
            </w:pPr>
            <w:r>
              <w:rPr>
                <w:sz w:val="20"/>
              </w:rPr>
              <w:t xml:space="preserve">30</w:t>
            </w:r>
          </w:p>
        </w:tc>
        <w:tc>
          <w:tcPr>
            <w:tcW w:w="2211" w:type="dxa"/>
            <w:tcBorders>
              <w:bottom w:val="nil"/>
            </w:tcBorders>
          </w:tcPr>
          <w:p>
            <w:pPr>
              <w:pStyle w:val="0"/>
            </w:pPr>
            <w:r>
              <w:rPr>
                <w:sz w:val="20"/>
              </w:rPr>
              <w:t xml:space="preserve">п. Садовый,</w:t>
            </w:r>
          </w:p>
          <w:p>
            <w:pPr>
              <w:pStyle w:val="0"/>
            </w:pPr>
            <w:r>
              <w:rPr>
                <w:sz w:val="20"/>
              </w:rPr>
              <w:t xml:space="preserve">п. Озерный, Новосибирского района,</w:t>
            </w:r>
          </w:p>
          <w:p>
            <w:pPr>
              <w:pStyle w:val="0"/>
            </w:pPr>
            <w:r>
              <w:rPr>
                <w:sz w:val="20"/>
              </w:rPr>
              <w:t xml:space="preserve">п. Пашино города Новосибирска</w:t>
            </w:r>
          </w:p>
        </w:tc>
        <w:tc>
          <w:tcPr>
            <w:tcW w:w="907" w:type="dxa"/>
            <w:tcBorders>
              <w:bottom w:val="nil"/>
            </w:tcBorders>
          </w:tcPr>
          <w:p>
            <w:pPr>
              <w:pStyle w:val="0"/>
              <w:jc w:val="center"/>
            </w:pPr>
            <w:r>
              <w:rPr>
                <w:sz w:val="20"/>
              </w:rPr>
              <w:t xml:space="preserve">167,6</w:t>
            </w:r>
          </w:p>
        </w:tc>
        <w:tc>
          <w:tcPr>
            <w:tcW w:w="907" w:type="dxa"/>
            <w:tcBorders>
              <w:bottom w:val="nil"/>
            </w:tcBorders>
          </w:tcPr>
          <w:p>
            <w:pPr>
              <w:pStyle w:val="0"/>
              <w:jc w:val="center"/>
            </w:pPr>
            <w:r>
              <w:rPr>
                <w:sz w:val="20"/>
              </w:rPr>
              <w:t xml:space="preserve">915,0</w:t>
            </w:r>
          </w:p>
        </w:tc>
        <w:tc>
          <w:tcPr>
            <w:tcW w:w="832" w:type="dxa"/>
            <w:tcBorders>
              <w:bottom w:val="nil"/>
            </w:tcBorders>
          </w:tcPr>
          <w:p>
            <w:pPr>
              <w:pStyle w:val="0"/>
              <w:jc w:val="center"/>
            </w:pPr>
            <w:r>
              <w:rPr>
                <w:sz w:val="20"/>
              </w:rPr>
              <w:t xml:space="preserve">2,0</w:t>
            </w:r>
          </w:p>
        </w:tc>
        <w:tc>
          <w:tcPr>
            <w:tcW w:w="832" w:type="dxa"/>
            <w:tcBorders>
              <w:bottom w:val="nil"/>
            </w:tcBorders>
          </w:tcPr>
          <w:p>
            <w:pPr>
              <w:pStyle w:val="0"/>
              <w:jc w:val="center"/>
            </w:pPr>
            <w:r>
              <w:rPr>
                <w:sz w:val="20"/>
              </w:rPr>
              <w:t xml:space="preserve">2,0</w:t>
            </w:r>
          </w:p>
        </w:tc>
        <w:tc>
          <w:tcPr>
            <w:tcW w:w="832" w:type="dxa"/>
            <w:tcBorders>
              <w:bottom w:val="nil"/>
            </w:tcBorders>
          </w:tcPr>
          <w:p>
            <w:pPr>
              <w:pStyle w:val="0"/>
              <w:jc w:val="center"/>
            </w:pPr>
            <w:r>
              <w:rPr>
                <w:sz w:val="20"/>
              </w:rPr>
              <w:t xml:space="preserve">4,1</w:t>
            </w:r>
          </w:p>
        </w:tc>
        <w:tc>
          <w:tcPr>
            <w:tcW w:w="832" w:type="dxa"/>
            <w:tcBorders>
              <w:bottom w:val="nil"/>
            </w:tcBorders>
          </w:tcPr>
          <w:p>
            <w:pPr>
              <w:pStyle w:val="0"/>
              <w:jc w:val="center"/>
            </w:pPr>
            <w:r>
              <w:rPr>
                <w:sz w:val="20"/>
              </w:rPr>
              <w:t xml:space="preserve">40,6</w:t>
            </w:r>
          </w:p>
        </w:tc>
        <w:tc>
          <w:tcPr>
            <w:tcW w:w="835" w:type="dxa"/>
            <w:tcBorders>
              <w:bottom w:val="nil"/>
            </w:tcBorders>
          </w:tcPr>
          <w:p>
            <w:pPr>
              <w:pStyle w:val="0"/>
              <w:jc w:val="center"/>
            </w:pPr>
            <w:r>
              <w:rPr>
                <w:sz w:val="20"/>
              </w:rPr>
              <w:t xml:space="preserve">380,9</w:t>
            </w:r>
          </w:p>
        </w:tc>
        <w:tc>
          <w:tcPr>
            <w:tcW w:w="737" w:type="dxa"/>
            <w:tcBorders>
              <w:bottom w:val="nil"/>
            </w:tcBorders>
          </w:tcPr>
          <w:p>
            <w:pPr>
              <w:pStyle w:val="0"/>
              <w:jc w:val="center"/>
            </w:pPr>
            <w:r>
              <w:rPr>
                <w:sz w:val="20"/>
              </w:rPr>
              <w:t xml:space="preserve">малоэтажная, среднеэтажная, многоэтажная</w:t>
            </w:r>
          </w:p>
        </w:tc>
        <w:tc>
          <w:tcPr>
            <w:tcW w:w="1134" w:type="dxa"/>
            <w:tcBorders>
              <w:bottom w:val="nil"/>
            </w:tcBorders>
          </w:tcPr>
          <w:p>
            <w:pPr>
              <w:pStyle w:val="0"/>
              <w:jc w:val="center"/>
            </w:pPr>
            <w:r>
              <w:rPr>
                <w:sz w:val="20"/>
              </w:rPr>
              <w:t xml:space="preserve">ООО "Дар"/ООО "Уютный"/ООО "УК Малахит"/ООО "СЗ "Антей"</w:t>
            </w:r>
          </w:p>
        </w:tc>
        <w:tc>
          <w:tcPr>
            <w:tcW w:w="992" w:type="dxa"/>
            <w:tcBorders>
              <w:bottom w:val="nil"/>
            </w:tcBorders>
          </w:tcPr>
          <w:p>
            <w:pPr>
              <w:pStyle w:val="0"/>
              <w:jc w:val="center"/>
            </w:pPr>
            <w:r>
              <w:rPr>
                <w:sz w:val="20"/>
              </w:rPr>
              <w:t xml:space="preserve">2022 - 2024</w:t>
            </w:r>
          </w:p>
        </w:tc>
        <w:tc>
          <w:tcPr>
            <w:tcW w:w="996" w:type="dxa"/>
            <w:tcBorders>
              <w:bottom w:val="nil"/>
            </w:tcBorders>
          </w:tcPr>
          <w:p>
            <w:pPr>
              <w:pStyle w:val="0"/>
              <w:jc w:val="center"/>
            </w:pPr>
            <w:r>
              <w:rPr>
                <w:sz w:val="20"/>
              </w:rPr>
              <w:t xml:space="preserve">2022 - 2026</w:t>
            </w:r>
          </w:p>
        </w:tc>
        <w:tc>
          <w:tcPr>
            <w:tcW w:w="856" w:type="dxa"/>
            <w:tcBorders>
              <w:bottom w:val="nil"/>
            </w:tcBorders>
          </w:tcPr>
          <w:p>
            <w:pPr>
              <w:pStyle w:val="0"/>
              <w:jc w:val="center"/>
            </w:pPr>
            <w:r>
              <w:rPr>
                <w:sz w:val="20"/>
              </w:rPr>
              <w:t xml:space="preserve">2022 - 2030</w:t>
            </w:r>
          </w:p>
        </w:tc>
        <w:tc>
          <w:tcPr>
            <w:tcW w:w="856" w:type="dxa"/>
            <w:tcBorders>
              <w:bottom w:val="nil"/>
            </w:tcBorders>
          </w:tcPr>
          <w:p>
            <w:pPr>
              <w:pStyle w:val="0"/>
              <w:jc w:val="center"/>
            </w:pPr>
            <w:r>
              <w:rPr>
                <w:sz w:val="20"/>
              </w:rPr>
              <w:t xml:space="preserve">2022 - 2026</w:t>
            </w:r>
          </w:p>
        </w:tc>
        <w:tc>
          <w:tcPr>
            <w:tcW w:w="856" w:type="dxa"/>
            <w:tcBorders>
              <w:bottom w:val="nil"/>
            </w:tcBorders>
          </w:tcPr>
          <w:p>
            <w:pPr>
              <w:pStyle w:val="0"/>
              <w:jc w:val="center"/>
            </w:pPr>
            <w:r>
              <w:rPr>
                <w:sz w:val="20"/>
              </w:rPr>
              <w:t xml:space="preserve">2022 - 2028</w:t>
            </w:r>
          </w:p>
        </w:tc>
        <w:tc>
          <w:tcPr>
            <w:tcW w:w="1117" w:type="dxa"/>
            <w:tcBorders>
              <w:bottom w:val="nil"/>
            </w:tcBorders>
          </w:tcPr>
          <w:p>
            <w:pPr>
              <w:pStyle w:val="0"/>
              <w:jc w:val="center"/>
            </w:pPr>
            <w:r>
              <w:rPr>
                <w:sz w:val="20"/>
              </w:rPr>
              <w:t xml:space="preserve">2022 - 2030</w:t>
            </w:r>
          </w:p>
        </w:tc>
        <w:tc>
          <w:tcPr>
            <w:tcW w:w="763" w:type="dxa"/>
            <w:tcBorders>
              <w:bottom w:val="nil"/>
            </w:tcBorders>
          </w:tcPr>
          <w:p>
            <w:pPr>
              <w:pStyle w:val="0"/>
              <w:jc w:val="center"/>
            </w:pPr>
            <w:r>
              <w:rPr>
                <w:sz w:val="20"/>
              </w:rPr>
              <w:t xml:space="preserve">2022 - 2030</w:t>
            </w:r>
          </w:p>
        </w:tc>
      </w:tr>
      <w:tr>
        <w:tblPrEx>
          <w:tblBorders>
            <w:insideH w:val="nil"/>
          </w:tblBorders>
        </w:tblPrEx>
        <w:tc>
          <w:tcPr>
            <w:gridSpan w:val="18"/>
            <w:tcW w:w="17062" w:type="dxa"/>
            <w:tcBorders>
              <w:top w:val="nil"/>
            </w:tcBorders>
          </w:tcPr>
          <w:p>
            <w:pPr>
              <w:pStyle w:val="0"/>
              <w:jc w:val="both"/>
            </w:pPr>
            <w:r>
              <w:rPr>
                <w:sz w:val="20"/>
              </w:rPr>
              <w:t xml:space="preserve">(п. 30 в ред. </w:t>
            </w:r>
            <w:hyperlink w:history="0" r:id="rId826"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29.12.2022</w:t>
            </w:r>
          </w:p>
          <w:p>
            <w:pPr>
              <w:pStyle w:val="0"/>
              <w:jc w:val="both"/>
            </w:pPr>
            <w:r>
              <w:rPr>
                <w:sz w:val="20"/>
              </w:rPr>
              <w:t xml:space="preserve">N 652-п)</w:t>
            </w:r>
          </w:p>
        </w:tc>
      </w:tr>
      <w:tr>
        <w:tc>
          <w:tcPr>
            <w:tcW w:w="567" w:type="dxa"/>
          </w:tcPr>
          <w:p>
            <w:pPr>
              <w:pStyle w:val="0"/>
              <w:jc w:val="center"/>
            </w:pPr>
            <w:r>
              <w:rPr>
                <w:sz w:val="20"/>
              </w:rPr>
              <w:t xml:space="preserve">31</w:t>
            </w:r>
          </w:p>
        </w:tc>
        <w:tc>
          <w:tcPr>
            <w:tcW w:w="2211" w:type="dxa"/>
          </w:tcPr>
          <w:p>
            <w:pPr>
              <w:pStyle w:val="0"/>
            </w:pPr>
            <w:r>
              <w:rPr>
                <w:sz w:val="20"/>
              </w:rPr>
              <w:t xml:space="preserve">Новосибирская область, Новосибирский район, Барышевский сельсовет, п. Ложок</w:t>
            </w:r>
          </w:p>
        </w:tc>
        <w:tc>
          <w:tcPr>
            <w:tcW w:w="907" w:type="dxa"/>
          </w:tcPr>
          <w:p>
            <w:pPr>
              <w:pStyle w:val="0"/>
              <w:jc w:val="center"/>
            </w:pPr>
            <w:r>
              <w:rPr>
                <w:sz w:val="20"/>
              </w:rPr>
              <w:t xml:space="preserve">41,4</w:t>
            </w:r>
          </w:p>
        </w:tc>
        <w:tc>
          <w:tcPr>
            <w:tcW w:w="907" w:type="dxa"/>
          </w:tcPr>
          <w:p>
            <w:pPr>
              <w:pStyle w:val="0"/>
              <w:jc w:val="center"/>
            </w:pPr>
            <w:r>
              <w:rPr>
                <w:sz w:val="20"/>
              </w:rPr>
              <w:t xml:space="preserve">152,2</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ИЖС/малоэтажная/многоквартирные</w:t>
            </w:r>
          </w:p>
        </w:tc>
        <w:tc>
          <w:tcPr>
            <w:tcW w:w="1134" w:type="dxa"/>
          </w:tcPr>
          <w:p>
            <w:pPr>
              <w:pStyle w:val="0"/>
              <w:jc w:val="center"/>
            </w:pPr>
            <w:r>
              <w:rPr>
                <w:sz w:val="20"/>
              </w:rPr>
              <w:t xml:space="preserve">муниципальная собственность/аренда ОАО "АРЖС НСО", ООО "СЗ "Академ-Развитие"/ООО "Технопарк Новосибирского Академгородка"/аренда ООО фирма "Виакон Плюс"/аренда ООО "Дома Сибири"/передано физическим лицам под ИЖС</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 частично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 частично</w:t>
            </w:r>
          </w:p>
        </w:tc>
        <w:tc>
          <w:tcPr>
            <w:tcW w:w="1117" w:type="dxa"/>
          </w:tcPr>
          <w:p>
            <w:pPr>
              <w:pStyle w:val="0"/>
              <w:jc w:val="center"/>
            </w:pPr>
            <w:r>
              <w:rPr>
                <w:sz w:val="20"/>
              </w:rPr>
              <w:t xml:space="preserve">выполнено</w:t>
            </w:r>
          </w:p>
        </w:tc>
        <w:tc>
          <w:tcPr>
            <w:tcW w:w="763" w:type="dxa"/>
          </w:tcPr>
          <w:p>
            <w:pPr>
              <w:pStyle w:val="0"/>
              <w:jc w:val="center"/>
            </w:pPr>
            <w:r>
              <w:rPr>
                <w:sz w:val="20"/>
              </w:rPr>
              <w:t xml:space="preserve">IV кв. 2023</w:t>
            </w:r>
          </w:p>
        </w:tc>
      </w:tr>
      <w:tr>
        <w:tc>
          <w:tcPr>
            <w:tcW w:w="567" w:type="dxa"/>
          </w:tcPr>
          <w:p>
            <w:pPr>
              <w:pStyle w:val="0"/>
              <w:jc w:val="center"/>
            </w:pPr>
            <w:r>
              <w:rPr>
                <w:sz w:val="20"/>
              </w:rPr>
              <w:t xml:space="preserve">32</w:t>
            </w:r>
          </w:p>
        </w:tc>
        <w:tc>
          <w:tcPr>
            <w:tcW w:w="2211" w:type="dxa"/>
          </w:tcPr>
          <w:p>
            <w:pPr>
              <w:pStyle w:val="0"/>
            </w:pPr>
            <w:r>
              <w:rPr>
                <w:sz w:val="20"/>
              </w:rPr>
              <w:t xml:space="preserve">Новосибирская область, Новосибирский район, Барышевский сельсовет, п. Каинская Заимка</w:t>
            </w:r>
          </w:p>
        </w:tc>
        <w:tc>
          <w:tcPr>
            <w:tcW w:w="907" w:type="dxa"/>
          </w:tcPr>
          <w:p>
            <w:pPr>
              <w:pStyle w:val="0"/>
              <w:jc w:val="center"/>
            </w:pPr>
            <w:r>
              <w:rPr>
                <w:sz w:val="20"/>
              </w:rPr>
              <w:t xml:space="preserve">66,6</w:t>
            </w:r>
          </w:p>
        </w:tc>
        <w:tc>
          <w:tcPr>
            <w:tcW w:w="907" w:type="dxa"/>
          </w:tcPr>
          <w:p>
            <w:pPr>
              <w:pStyle w:val="0"/>
              <w:jc w:val="center"/>
            </w:pPr>
            <w:r>
              <w:rPr>
                <w:sz w:val="20"/>
              </w:rPr>
              <w:t xml:space="preserve">60,0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фонд "РЖС"/безвозмездное срочное пользование ЖСК "Сигма"</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IV кв. 2016</w:t>
            </w:r>
          </w:p>
        </w:tc>
        <w:tc>
          <w:tcPr>
            <w:tcW w:w="1117" w:type="dxa"/>
          </w:tcPr>
          <w:p>
            <w:pPr>
              <w:pStyle w:val="0"/>
              <w:jc w:val="center"/>
            </w:pPr>
            <w:r>
              <w:rPr>
                <w:sz w:val="20"/>
              </w:rPr>
              <w:t xml:space="preserve">IV кв. 2016</w:t>
            </w:r>
          </w:p>
        </w:tc>
        <w:tc>
          <w:tcPr>
            <w:tcW w:w="763" w:type="dxa"/>
          </w:tcPr>
          <w:p>
            <w:pPr>
              <w:pStyle w:val="0"/>
              <w:jc w:val="center"/>
            </w:pPr>
            <w:r>
              <w:rPr>
                <w:sz w:val="20"/>
              </w:rPr>
              <w:t xml:space="preserve">II кв. 2021</w:t>
            </w:r>
          </w:p>
        </w:tc>
      </w:tr>
      <w:tr>
        <w:tc>
          <w:tcPr>
            <w:gridSpan w:val="18"/>
            <w:tcW w:w="17062" w:type="dxa"/>
          </w:tcPr>
          <w:p>
            <w:pPr>
              <w:pStyle w:val="0"/>
              <w:outlineLvl w:val="2"/>
            </w:pPr>
            <w:r>
              <w:rPr>
                <w:sz w:val="20"/>
              </w:rPr>
              <w:t xml:space="preserve">Ордынский район</w:t>
            </w:r>
          </w:p>
        </w:tc>
      </w:tr>
      <w:tr>
        <w:tc>
          <w:tcPr>
            <w:tcW w:w="567" w:type="dxa"/>
          </w:tcPr>
          <w:p>
            <w:pPr>
              <w:pStyle w:val="0"/>
              <w:jc w:val="center"/>
            </w:pPr>
            <w:r>
              <w:rPr>
                <w:sz w:val="20"/>
              </w:rPr>
              <w:t xml:space="preserve">33</w:t>
            </w:r>
          </w:p>
        </w:tc>
        <w:tc>
          <w:tcPr>
            <w:tcW w:w="2211" w:type="dxa"/>
          </w:tcPr>
          <w:p>
            <w:pPr>
              <w:pStyle w:val="0"/>
            </w:pPr>
            <w:r>
              <w:rPr>
                <w:sz w:val="20"/>
              </w:rPr>
              <w:t xml:space="preserve">НСО, Ордынский район, р.п. Ордынское</w:t>
            </w:r>
          </w:p>
        </w:tc>
        <w:tc>
          <w:tcPr>
            <w:tcW w:w="907" w:type="dxa"/>
          </w:tcPr>
          <w:p>
            <w:pPr>
              <w:pStyle w:val="0"/>
              <w:jc w:val="center"/>
            </w:pPr>
            <w:r>
              <w:rPr>
                <w:sz w:val="20"/>
              </w:rPr>
              <w:t xml:space="preserve">30,1</w:t>
            </w:r>
          </w:p>
        </w:tc>
        <w:tc>
          <w:tcPr>
            <w:tcW w:w="907" w:type="dxa"/>
          </w:tcPr>
          <w:p>
            <w:pPr>
              <w:pStyle w:val="0"/>
              <w:jc w:val="center"/>
            </w:pPr>
            <w:r>
              <w:rPr>
                <w:sz w:val="20"/>
              </w:rPr>
              <w:t xml:space="preserve">21,7</w:t>
            </w:r>
          </w:p>
        </w:tc>
        <w:tc>
          <w:tcPr>
            <w:tcW w:w="832" w:type="dxa"/>
          </w:tcPr>
          <w:p>
            <w:pPr>
              <w:pStyle w:val="0"/>
              <w:jc w:val="center"/>
            </w:pPr>
            <w:r>
              <w:rPr>
                <w:sz w:val="20"/>
              </w:rPr>
              <w:t xml:space="preserve">11,5</w:t>
            </w:r>
          </w:p>
        </w:tc>
        <w:tc>
          <w:tcPr>
            <w:tcW w:w="832" w:type="dxa"/>
          </w:tcPr>
          <w:p>
            <w:pPr>
              <w:pStyle w:val="0"/>
              <w:jc w:val="center"/>
            </w:pPr>
            <w:r>
              <w:rPr>
                <w:sz w:val="20"/>
              </w:rPr>
              <w:t xml:space="preserve">2,0</w:t>
            </w:r>
          </w:p>
        </w:tc>
        <w:tc>
          <w:tcPr>
            <w:tcW w:w="832" w:type="dxa"/>
          </w:tcPr>
          <w:p>
            <w:pPr>
              <w:pStyle w:val="0"/>
              <w:jc w:val="center"/>
            </w:pPr>
            <w:r>
              <w:rPr>
                <w:sz w:val="20"/>
              </w:rPr>
              <w:t xml:space="preserve">1,0</w:t>
            </w:r>
          </w:p>
        </w:tc>
        <w:tc>
          <w:tcPr>
            <w:tcW w:w="832" w:type="dxa"/>
          </w:tcPr>
          <w:p>
            <w:pPr>
              <w:pStyle w:val="0"/>
              <w:jc w:val="center"/>
            </w:pPr>
            <w:r>
              <w:rPr>
                <w:sz w:val="20"/>
              </w:rPr>
              <w:t xml:space="preserve">5,0</w:t>
            </w:r>
          </w:p>
        </w:tc>
        <w:tc>
          <w:tcPr>
            <w:tcW w:w="835" w:type="dxa"/>
          </w:tcPr>
          <w:p>
            <w:pPr>
              <w:pStyle w:val="0"/>
              <w:jc w:val="center"/>
            </w:pPr>
            <w:r>
              <w:rPr>
                <w:sz w:val="20"/>
              </w:rPr>
              <w:t xml:space="preserve">5,2</w:t>
            </w:r>
          </w:p>
        </w:tc>
        <w:tc>
          <w:tcPr>
            <w:tcW w:w="737" w:type="dxa"/>
          </w:tcPr>
          <w:p>
            <w:pPr>
              <w:pStyle w:val="0"/>
              <w:jc w:val="center"/>
            </w:pPr>
            <w:r>
              <w:rPr>
                <w:sz w:val="20"/>
              </w:rPr>
              <w:t xml:space="preserve">индивидуальное жилищное строительство, малоэтажная</w:t>
            </w:r>
          </w:p>
        </w:tc>
        <w:tc>
          <w:tcPr>
            <w:tcW w:w="1134" w:type="dxa"/>
          </w:tcPr>
          <w:p>
            <w:pPr>
              <w:pStyle w:val="0"/>
              <w:jc w:val="center"/>
            </w:pPr>
            <w:r>
              <w:rPr>
                <w:sz w:val="20"/>
              </w:rPr>
              <w:t xml:space="preserve">неразграниченная собственность</w:t>
            </w:r>
          </w:p>
        </w:tc>
        <w:tc>
          <w:tcPr>
            <w:tcW w:w="992" w:type="dxa"/>
          </w:tcPr>
          <w:p>
            <w:pPr>
              <w:pStyle w:val="0"/>
              <w:jc w:val="center"/>
            </w:pPr>
            <w:r>
              <w:rPr>
                <w:sz w:val="20"/>
              </w:rPr>
              <w:t xml:space="preserve">III кв. 2021</w:t>
            </w:r>
          </w:p>
        </w:tc>
        <w:tc>
          <w:tcPr>
            <w:tcW w:w="996" w:type="dxa"/>
          </w:tcPr>
          <w:p>
            <w:pPr>
              <w:pStyle w:val="0"/>
              <w:jc w:val="center"/>
            </w:pPr>
            <w:r>
              <w:rPr>
                <w:sz w:val="20"/>
              </w:rPr>
              <w:t xml:space="preserve">IV кв. 2021</w:t>
            </w:r>
          </w:p>
        </w:tc>
        <w:tc>
          <w:tcPr>
            <w:tcW w:w="856" w:type="dxa"/>
          </w:tcPr>
          <w:p>
            <w:pPr>
              <w:pStyle w:val="0"/>
              <w:jc w:val="center"/>
            </w:pPr>
            <w:r>
              <w:rPr>
                <w:sz w:val="20"/>
              </w:rPr>
              <w:t xml:space="preserve">I кв. 2022</w:t>
            </w:r>
          </w:p>
        </w:tc>
        <w:tc>
          <w:tcPr>
            <w:tcW w:w="856" w:type="dxa"/>
          </w:tcPr>
          <w:p>
            <w:pPr>
              <w:pStyle w:val="0"/>
              <w:jc w:val="center"/>
            </w:pPr>
            <w:r>
              <w:rPr>
                <w:sz w:val="20"/>
              </w:rPr>
              <w:t xml:space="preserve">I кв. 2023</w:t>
            </w:r>
          </w:p>
        </w:tc>
        <w:tc>
          <w:tcPr>
            <w:tcW w:w="856" w:type="dxa"/>
          </w:tcPr>
          <w:p>
            <w:pPr>
              <w:pStyle w:val="0"/>
              <w:jc w:val="center"/>
            </w:pPr>
            <w:r>
              <w:rPr>
                <w:sz w:val="20"/>
              </w:rPr>
              <w:t xml:space="preserve">II кв. 2023</w:t>
            </w:r>
          </w:p>
        </w:tc>
        <w:tc>
          <w:tcPr>
            <w:tcW w:w="1117" w:type="dxa"/>
          </w:tcPr>
          <w:p>
            <w:pPr>
              <w:pStyle w:val="0"/>
              <w:jc w:val="center"/>
            </w:pPr>
            <w:r>
              <w:rPr>
                <w:sz w:val="20"/>
              </w:rPr>
              <w:t xml:space="preserve">II кв. 2023</w:t>
            </w:r>
          </w:p>
        </w:tc>
        <w:tc>
          <w:tcPr>
            <w:tcW w:w="763" w:type="dxa"/>
          </w:tcPr>
          <w:p>
            <w:pPr>
              <w:pStyle w:val="0"/>
              <w:jc w:val="center"/>
            </w:pPr>
            <w:r>
              <w:rPr>
                <w:sz w:val="20"/>
              </w:rPr>
              <w:t xml:space="preserve">III кв. 2023</w:t>
            </w:r>
          </w:p>
        </w:tc>
      </w:tr>
      <w:tr>
        <w:tc>
          <w:tcPr>
            <w:tcW w:w="567" w:type="dxa"/>
          </w:tcPr>
          <w:p>
            <w:pPr>
              <w:pStyle w:val="0"/>
              <w:jc w:val="center"/>
            </w:pPr>
            <w:r>
              <w:rPr>
                <w:sz w:val="20"/>
              </w:rPr>
              <w:t xml:space="preserve">34</w:t>
            </w:r>
          </w:p>
        </w:tc>
        <w:tc>
          <w:tcPr>
            <w:tcW w:w="2211" w:type="dxa"/>
          </w:tcPr>
          <w:p>
            <w:pPr>
              <w:pStyle w:val="0"/>
            </w:pPr>
            <w:r>
              <w:rPr>
                <w:sz w:val="20"/>
              </w:rPr>
              <w:t xml:space="preserve">НСО, Ордынский район, Новошарапский с/с, д. Новый Шарап</w:t>
            </w:r>
          </w:p>
        </w:tc>
        <w:tc>
          <w:tcPr>
            <w:tcW w:w="907" w:type="dxa"/>
          </w:tcPr>
          <w:p>
            <w:pPr>
              <w:pStyle w:val="0"/>
              <w:jc w:val="center"/>
            </w:pPr>
            <w:r>
              <w:rPr>
                <w:sz w:val="20"/>
              </w:rPr>
              <w:t xml:space="preserve">35,0</w:t>
            </w:r>
          </w:p>
        </w:tc>
        <w:tc>
          <w:tcPr>
            <w:tcW w:w="907" w:type="dxa"/>
          </w:tcPr>
          <w:p>
            <w:pPr>
              <w:pStyle w:val="0"/>
              <w:jc w:val="center"/>
            </w:pPr>
            <w:r>
              <w:rPr>
                <w:sz w:val="20"/>
              </w:rPr>
              <w:t xml:space="preserve">25,0</w:t>
            </w:r>
          </w:p>
        </w:tc>
        <w:tc>
          <w:tcPr>
            <w:tcW w:w="832" w:type="dxa"/>
          </w:tcPr>
          <w:p>
            <w:pPr>
              <w:pStyle w:val="0"/>
              <w:jc w:val="center"/>
            </w:pPr>
            <w:r>
              <w:rPr>
                <w:sz w:val="20"/>
              </w:rPr>
              <w:t xml:space="preserve">0,16</w:t>
            </w:r>
          </w:p>
        </w:tc>
        <w:tc>
          <w:tcPr>
            <w:tcW w:w="832" w:type="dxa"/>
          </w:tcPr>
          <w:p>
            <w:pPr>
              <w:pStyle w:val="0"/>
              <w:jc w:val="center"/>
            </w:pPr>
            <w:r>
              <w:rPr>
                <w:sz w:val="20"/>
              </w:rPr>
              <w:t xml:space="preserve">0,16</w:t>
            </w:r>
          </w:p>
        </w:tc>
        <w:tc>
          <w:tcPr>
            <w:tcW w:w="832" w:type="dxa"/>
          </w:tcPr>
          <w:p>
            <w:pPr>
              <w:pStyle w:val="0"/>
              <w:jc w:val="center"/>
            </w:pPr>
            <w:r>
              <w:rPr>
                <w:sz w:val="20"/>
              </w:rPr>
              <w:t xml:space="preserve">0,0</w:t>
            </w:r>
          </w:p>
        </w:tc>
        <w:tc>
          <w:tcPr>
            <w:tcW w:w="832" w:type="dxa"/>
          </w:tcPr>
          <w:p>
            <w:pPr>
              <w:pStyle w:val="0"/>
              <w:jc w:val="center"/>
            </w:pPr>
            <w:r>
              <w:rPr>
                <w:sz w:val="20"/>
              </w:rPr>
              <w:t xml:space="preserve">12,0</w:t>
            </w:r>
          </w:p>
        </w:tc>
        <w:tc>
          <w:tcPr>
            <w:tcW w:w="835" w:type="dxa"/>
          </w:tcPr>
          <w:p>
            <w:pPr>
              <w:pStyle w:val="0"/>
              <w:jc w:val="center"/>
            </w:pPr>
            <w:r>
              <w:rPr>
                <w:sz w:val="20"/>
              </w:rPr>
              <w:t xml:space="preserve">12,84</w:t>
            </w:r>
          </w:p>
        </w:tc>
        <w:tc>
          <w:tcPr>
            <w:tcW w:w="737" w:type="dxa"/>
          </w:tcPr>
          <w:p>
            <w:pPr>
              <w:pStyle w:val="0"/>
              <w:jc w:val="center"/>
            </w:pPr>
            <w:r>
              <w:rPr>
                <w:sz w:val="20"/>
              </w:rPr>
              <w:t xml:space="preserve">индивидуальное жилищное строительство</w:t>
            </w:r>
          </w:p>
        </w:tc>
        <w:tc>
          <w:tcPr>
            <w:tcW w:w="1134" w:type="dxa"/>
          </w:tcPr>
          <w:p>
            <w:pPr>
              <w:pStyle w:val="0"/>
              <w:jc w:val="center"/>
            </w:pPr>
            <w:r>
              <w:rPr>
                <w:sz w:val="20"/>
              </w:rPr>
              <w:t xml:space="preserve">неразграниченная собственность</w:t>
            </w:r>
          </w:p>
        </w:tc>
        <w:tc>
          <w:tcPr>
            <w:tcW w:w="992" w:type="dxa"/>
          </w:tcPr>
          <w:p>
            <w:pPr>
              <w:pStyle w:val="0"/>
              <w:jc w:val="center"/>
            </w:pPr>
            <w:r>
              <w:rPr>
                <w:sz w:val="20"/>
              </w:rPr>
              <w:t xml:space="preserve">III кв. 2023</w:t>
            </w:r>
          </w:p>
        </w:tc>
        <w:tc>
          <w:tcPr>
            <w:tcW w:w="996" w:type="dxa"/>
          </w:tcPr>
          <w:p>
            <w:pPr>
              <w:pStyle w:val="0"/>
              <w:jc w:val="center"/>
            </w:pPr>
            <w:r>
              <w:rPr>
                <w:sz w:val="20"/>
              </w:rPr>
              <w:t xml:space="preserve">IV кв. 2023</w:t>
            </w:r>
          </w:p>
        </w:tc>
        <w:tc>
          <w:tcPr>
            <w:tcW w:w="856" w:type="dxa"/>
          </w:tcPr>
          <w:p>
            <w:pPr>
              <w:pStyle w:val="0"/>
              <w:jc w:val="center"/>
            </w:pPr>
            <w:r>
              <w:rPr>
                <w:sz w:val="20"/>
              </w:rPr>
              <w:t xml:space="preserve">I кв. 2024</w:t>
            </w:r>
          </w:p>
        </w:tc>
        <w:tc>
          <w:tcPr>
            <w:tcW w:w="856" w:type="dxa"/>
          </w:tcPr>
          <w:p>
            <w:pPr>
              <w:pStyle w:val="0"/>
              <w:jc w:val="center"/>
            </w:pPr>
            <w:r>
              <w:rPr>
                <w:sz w:val="20"/>
              </w:rPr>
              <w:t xml:space="preserve">I кв. 2025</w:t>
            </w:r>
          </w:p>
        </w:tc>
        <w:tc>
          <w:tcPr>
            <w:tcW w:w="856" w:type="dxa"/>
          </w:tcPr>
          <w:p>
            <w:pPr>
              <w:pStyle w:val="0"/>
              <w:jc w:val="center"/>
            </w:pPr>
            <w:r>
              <w:rPr>
                <w:sz w:val="20"/>
              </w:rPr>
              <w:t xml:space="preserve">II кв. 2025</w:t>
            </w:r>
          </w:p>
        </w:tc>
        <w:tc>
          <w:tcPr>
            <w:tcW w:w="1117" w:type="dxa"/>
          </w:tcPr>
          <w:p>
            <w:pPr>
              <w:pStyle w:val="0"/>
              <w:jc w:val="center"/>
            </w:pPr>
            <w:r>
              <w:rPr>
                <w:sz w:val="20"/>
              </w:rPr>
              <w:t xml:space="preserve">II кв. 2025</w:t>
            </w:r>
          </w:p>
        </w:tc>
        <w:tc>
          <w:tcPr>
            <w:tcW w:w="763" w:type="dxa"/>
          </w:tcPr>
          <w:p>
            <w:pPr>
              <w:pStyle w:val="0"/>
              <w:jc w:val="center"/>
            </w:pPr>
            <w:r>
              <w:rPr>
                <w:sz w:val="20"/>
              </w:rPr>
              <w:t xml:space="preserve">III кв. 2025</w:t>
            </w:r>
          </w:p>
        </w:tc>
      </w:tr>
      <w:tr>
        <w:tc>
          <w:tcPr>
            <w:gridSpan w:val="18"/>
            <w:tcW w:w="17062" w:type="dxa"/>
          </w:tcPr>
          <w:p>
            <w:pPr>
              <w:pStyle w:val="0"/>
              <w:outlineLvl w:val="2"/>
            </w:pPr>
            <w:r>
              <w:rPr>
                <w:sz w:val="20"/>
              </w:rPr>
              <w:t xml:space="preserve">Сузунский район</w:t>
            </w:r>
          </w:p>
        </w:tc>
      </w:tr>
      <w:tr>
        <w:tc>
          <w:tcPr>
            <w:tcW w:w="567" w:type="dxa"/>
          </w:tcPr>
          <w:p>
            <w:pPr>
              <w:pStyle w:val="0"/>
              <w:jc w:val="center"/>
            </w:pPr>
            <w:r>
              <w:rPr>
                <w:sz w:val="20"/>
              </w:rPr>
              <w:t xml:space="preserve">35</w:t>
            </w:r>
          </w:p>
        </w:tc>
        <w:tc>
          <w:tcPr>
            <w:tcW w:w="2211" w:type="dxa"/>
          </w:tcPr>
          <w:p>
            <w:pPr>
              <w:pStyle w:val="0"/>
            </w:pPr>
            <w:r>
              <w:rPr>
                <w:sz w:val="20"/>
              </w:rPr>
              <w:t xml:space="preserve">Р.п. Сузун, ул. Булгакова, ул. Комарова, ул. Овчукова-Суворова</w:t>
            </w:r>
          </w:p>
        </w:tc>
        <w:tc>
          <w:tcPr>
            <w:tcW w:w="907" w:type="dxa"/>
          </w:tcPr>
          <w:p>
            <w:pPr>
              <w:pStyle w:val="0"/>
              <w:jc w:val="center"/>
            </w:pPr>
            <w:r>
              <w:rPr>
                <w:sz w:val="20"/>
              </w:rPr>
              <w:t xml:space="preserve">20,0</w:t>
            </w:r>
          </w:p>
        </w:tc>
        <w:tc>
          <w:tcPr>
            <w:tcW w:w="907" w:type="dxa"/>
          </w:tcPr>
          <w:p>
            <w:pPr>
              <w:pStyle w:val="0"/>
              <w:jc w:val="center"/>
            </w:pPr>
            <w:r>
              <w:rPr>
                <w:sz w:val="20"/>
              </w:rPr>
              <w:t xml:space="preserve">12,5</w:t>
            </w:r>
          </w:p>
        </w:tc>
        <w:tc>
          <w:tcPr>
            <w:tcW w:w="832" w:type="dxa"/>
          </w:tcPr>
          <w:p>
            <w:pPr>
              <w:pStyle w:val="0"/>
              <w:jc w:val="center"/>
            </w:pPr>
            <w:r>
              <w:rPr>
                <w:sz w:val="20"/>
              </w:rPr>
              <w:t xml:space="preserve">0,7</w:t>
            </w:r>
          </w:p>
        </w:tc>
        <w:tc>
          <w:tcPr>
            <w:tcW w:w="832" w:type="dxa"/>
          </w:tcPr>
          <w:p>
            <w:pPr>
              <w:pStyle w:val="0"/>
              <w:jc w:val="center"/>
            </w:pPr>
            <w:r>
              <w:rPr>
                <w:sz w:val="20"/>
              </w:rPr>
              <w:t xml:space="preserve">6,5</w:t>
            </w:r>
          </w:p>
        </w:tc>
        <w:tc>
          <w:tcPr>
            <w:tcW w:w="832" w:type="dxa"/>
          </w:tcPr>
          <w:p>
            <w:pPr>
              <w:pStyle w:val="0"/>
              <w:jc w:val="center"/>
            </w:pPr>
            <w:r>
              <w:rPr>
                <w:sz w:val="20"/>
              </w:rPr>
              <w:t xml:space="preserve">1,5</w:t>
            </w:r>
          </w:p>
        </w:tc>
        <w:tc>
          <w:tcPr>
            <w:tcW w:w="832" w:type="dxa"/>
          </w:tcPr>
          <w:p>
            <w:pPr>
              <w:pStyle w:val="0"/>
              <w:jc w:val="center"/>
            </w:pPr>
            <w:r>
              <w:rPr>
                <w:sz w:val="20"/>
              </w:rPr>
              <w:t xml:space="preserve">1,5</w:t>
            </w:r>
          </w:p>
        </w:tc>
        <w:tc>
          <w:tcPr>
            <w:tcW w:w="835" w:type="dxa"/>
          </w:tcPr>
          <w:p>
            <w:pPr>
              <w:pStyle w:val="0"/>
              <w:jc w:val="center"/>
            </w:pPr>
            <w:r>
              <w:rPr>
                <w:sz w:val="20"/>
              </w:rPr>
              <w:t xml:space="preserve">2,5</w:t>
            </w:r>
          </w:p>
        </w:tc>
        <w:tc>
          <w:tcPr>
            <w:tcW w:w="737" w:type="dxa"/>
          </w:tcPr>
          <w:p>
            <w:pPr>
              <w:pStyle w:val="0"/>
              <w:jc w:val="center"/>
            </w:pPr>
            <w:r>
              <w:rPr>
                <w:sz w:val="20"/>
              </w:rPr>
              <w:t xml:space="preserve">ИЖС</w:t>
            </w:r>
          </w:p>
        </w:tc>
        <w:tc>
          <w:tcPr>
            <w:tcW w:w="1134" w:type="dxa"/>
          </w:tcPr>
          <w:p>
            <w:pPr>
              <w:pStyle w:val="0"/>
              <w:jc w:val="center"/>
            </w:pPr>
            <w:r>
              <w:rPr>
                <w:sz w:val="20"/>
              </w:rPr>
              <w:t xml:space="preserve">муниципальная собственность/аренда застройщика</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2015 - 2024</w:t>
            </w:r>
          </w:p>
        </w:tc>
        <w:tc>
          <w:tcPr>
            <w:tcW w:w="856" w:type="dxa"/>
          </w:tcPr>
          <w:p>
            <w:pPr>
              <w:pStyle w:val="0"/>
              <w:jc w:val="center"/>
            </w:pPr>
            <w:r>
              <w:rPr>
                <w:sz w:val="20"/>
              </w:rPr>
              <w:t xml:space="preserve">2017 - 2024</w:t>
            </w:r>
          </w:p>
        </w:tc>
        <w:tc>
          <w:tcPr>
            <w:tcW w:w="856" w:type="dxa"/>
          </w:tcPr>
          <w:p>
            <w:pPr>
              <w:pStyle w:val="0"/>
              <w:jc w:val="center"/>
            </w:pPr>
            <w:r>
              <w:rPr>
                <w:sz w:val="20"/>
              </w:rPr>
              <w:t xml:space="preserve">2015 - 2024</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2016 - 2024</w:t>
            </w:r>
          </w:p>
        </w:tc>
        <w:tc>
          <w:tcPr>
            <w:tcW w:w="763" w:type="dxa"/>
          </w:tcPr>
          <w:p>
            <w:pPr>
              <w:pStyle w:val="0"/>
              <w:jc w:val="center"/>
            </w:pPr>
            <w:r>
              <w:rPr>
                <w:sz w:val="20"/>
              </w:rPr>
              <w:t xml:space="preserve">2019 - 2024</w:t>
            </w:r>
          </w:p>
        </w:tc>
      </w:tr>
      <w:tr>
        <w:tc>
          <w:tcPr>
            <w:tcW w:w="567" w:type="dxa"/>
          </w:tcPr>
          <w:p>
            <w:pPr>
              <w:pStyle w:val="0"/>
              <w:jc w:val="center"/>
            </w:pPr>
            <w:r>
              <w:rPr>
                <w:sz w:val="20"/>
              </w:rPr>
              <w:t xml:space="preserve">36</w:t>
            </w:r>
          </w:p>
        </w:tc>
        <w:tc>
          <w:tcPr>
            <w:tcW w:w="2211" w:type="dxa"/>
          </w:tcPr>
          <w:p>
            <w:pPr>
              <w:pStyle w:val="0"/>
            </w:pPr>
            <w:r>
              <w:rPr>
                <w:sz w:val="20"/>
              </w:rPr>
              <w:t xml:space="preserve">р.п. Сузун, жилмассив ул. Зайцева - пер. Октябрьский</w:t>
            </w:r>
          </w:p>
        </w:tc>
        <w:tc>
          <w:tcPr>
            <w:tcW w:w="907" w:type="dxa"/>
          </w:tcPr>
          <w:p>
            <w:pPr>
              <w:pStyle w:val="0"/>
              <w:jc w:val="center"/>
            </w:pPr>
            <w:r>
              <w:rPr>
                <w:sz w:val="20"/>
              </w:rPr>
              <w:t xml:space="preserve">10,0</w:t>
            </w:r>
          </w:p>
        </w:tc>
        <w:tc>
          <w:tcPr>
            <w:tcW w:w="907" w:type="dxa"/>
          </w:tcPr>
          <w:p>
            <w:pPr>
              <w:pStyle w:val="0"/>
              <w:jc w:val="center"/>
            </w:pPr>
            <w:r>
              <w:rPr>
                <w:sz w:val="20"/>
              </w:rPr>
              <w:t xml:space="preserve">5,3</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0,2</w:t>
            </w:r>
          </w:p>
        </w:tc>
        <w:tc>
          <w:tcPr>
            <w:tcW w:w="832" w:type="dxa"/>
          </w:tcPr>
          <w:p>
            <w:pPr>
              <w:pStyle w:val="0"/>
              <w:jc w:val="center"/>
            </w:pPr>
            <w:r>
              <w:rPr>
                <w:sz w:val="20"/>
              </w:rPr>
              <w:t xml:space="preserve">2,5</w:t>
            </w:r>
          </w:p>
        </w:tc>
        <w:tc>
          <w:tcPr>
            <w:tcW w:w="835" w:type="dxa"/>
          </w:tcPr>
          <w:p>
            <w:pPr>
              <w:pStyle w:val="0"/>
              <w:jc w:val="center"/>
            </w:pPr>
            <w:r>
              <w:rPr>
                <w:sz w:val="20"/>
              </w:rPr>
              <w:t xml:space="preserve">2,6</w:t>
            </w:r>
          </w:p>
        </w:tc>
        <w:tc>
          <w:tcPr>
            <w:tcW w:w="737" w:type="dxa"/>
          </w:tcPr>
          <w:p>
            <w:pPr>
              <w:pStyle w:val="0"/>
              <w:jc w:val="center"/>
            </w:pPr>
            <w:r>
              <w:rPr>
                <w:sz w:val="20"/>
              </w:rPr>
              <w:t xml:space="preserve">ИЖС</w:t>
            </w:r>
          </w:p>
        </w:tc>
        <w:tc>
          <w:tcPr>
            <w:tcW w:w="1134" w:type="dxa"/>
          </w:tcPr>
          <w:p>
            <w:pPr>
              <w:pStyle w:val="0"/>
              <w:jc w:val="center"/>
            </w:pPr>
            <w:r>
              <w:rPr>
                <w:sz w:val="20"/>
              </w:rPr>
              <w:t xml:space="preserve">муниципальная собственность/аренда застройщика</w:t>
            </w:r>
          </w:p>
        </w:tc>
        <w:tc>
          <w:tcPr>
            <w:tcW w:w="992" w:type="dxa"/>
          </w:tcPr>
          <w:p>
            <w:pPr>
              <w:pStyle w:val="0"/>
              <w:jc w:val="center"/>
            </w:pPr>
            <w:r>
              <w:rPr>
                <w:sz w:val="20"/>
              </w:rPr>
              <w:t xml:space="preserve">2020 - 2022</w:t>
            </w:r>
          </w:p>
        </w:tc>
        <w:tc>
          <w:tcPr>
            <w:tcW w:w="996" w:type="dxa"/>
          </w:tcPr>
          <w:p>
            <w:pPr>
              <w:pStyle w:val="0"/>
              <w:jc w:val="center"/>
            </w:pPr>
            <w:r>
              <w:rPr>
                <w:sz w:val="20"/>
              </w:rPr>
              <w:t xml:space="preserve">2020 - 2025</w:t>
            </w:r>
          </w:p>
        </w:tc>
        <w:tc>
          <w:tcPr>
            <w:tcW w:w="856" w:type="dxa"/>
          </w:tcPr>
          <w:p>
            <w:pPr>
              <w:pStyle w:val="0"/>
              <w:jc w:val="center"/>
            </w:pPr>
            <w:r>
              <w:rPr>
                <w:sz w:val="20"/>
              </w:rPr>
              <w:t xml:space="preserve">2020 - 2025</w:t>
            </w:r>
          </w:p>
        </w:tc>
        <w:tc>
          <w:tcPr>
            <w:tcW w:w="856" w:type="dxa"/>
          </w:tcPr>
          <w:p>
            <w:pPr>
              <w:pStyle w:val="0"/>
              <w:jc w:val="center"/>
            </w:pPr>
            <w:r>
              <w:rPr>
                <w:sz w:val="20"/>
              </w:rPr>
              <w:t xml:space="preserve">2020 - 2025</w:t>
            </w:r>
          </w:p>
        </w:tc>
        <w:tc>
          <w:tcPr>
            <w:tcW w:w="856" w:type="dxa"/>
          </w:tcPr>
          <w:p>
            <w:pPr>
              <w:pStyle w:val="0"/>
              <w:jc w:val="center"/>
            </w:pPr>
            <w:r>
              <w:rPr>
                <w:sz w:val="20"/>
              </w:rPr>
              <w:t xml:space="preserve">2020 - 2025</w:t>
            </w:r>
          </w:p>
        </w:tc>
        <w:tc>
          <w:tcPr>
            <w:tcW w:w="1117" w:type="dxa"/>
          </w:tcPr>
          <w:p>
            <w:pPr>
              <w:pStyle w:val="0"/>
              <w:jc w:val="center"/>
            </w:pPr>
            <w:r>
              <w:rPr>
                <w:sz w:val="20"/>
              </w:rPr>
              <w:t xml:space="preserve">2020 - 2025</w:t>
            </w:r>
          </w:p>
        </w:tc>
        <w:tc>
          <w:tcPr>
            <w:tcW w:w="763" w:type="dxa"/>
          </w:tcPr>
          <w:p>
            <w:pPr>
              <w:pStyle w:val="0"/>
              <w:jc w:val="center"/>
            </w:pPr>
            <w:r>
              <w:rPr>
                <w:sz w:val="20"/>
              </w:rPr>
              <w:t xml:space="preserve">2020 - 2025</w:t>
            </w:r>
          </w:p>
        </w:tc>
      </w:tr>
      <w:tr>
        <w:tc>
          <w:tcPr>
            <w:gridSpan w:val="18"/>
            <w:tcW w:w="17062" w:type="dxa"/>
          </w:tcPr>
          <w:p>
            <w:pPr>
              <w:pStyle w:val="0"/>
              <w:outlineLvl w:val="2"/>
            </w:pPr>
            <w:r>
              <w:rPr>
                <w:sz w:val="20"/>
              </w:rPr>
              <w:t xml:space="preserve">Татарский район</w:t>
            </w:r>
          </w:p>
        </w:tc>
      </w:tr>
      <w:tr>
        <w:tc>
          <w:tcPr>
            <w:tcW w:w="567" w:type="dxa"/>
          </w:tcPr>
          <w:p>
            <w:pPr>
              <w:pStyle w:val="0"/>
              <w:jc w:val="center"/>
            </w:pPr>
            <w:r>
              <w:rPr>
                <w:sz w:val="20"/>
              </w:rPr>
              <w:t xml:space="preserve">37</w:t>
            </w:r>
          </w:p>
        </w:tc>
        <w:tc>
          <w:tcPr>
            <w:tcW w:w="2211" w:type="dxa"/>
          </w:tcPr>
          <w:p>
            <w:pPr>
              <w:pStyle w:val="0"/>
            </w:pPr>
            <w:r>
              <w:rPr>
                <w:sz w:val="20"/>
              </w:rPr>
              <w:t xml:space="preserve">Восточная часть города Татарска</w:t>
            </w:r>
          </w:p>
        </w:tc>
        <w:tc>
          <w:tcPr>
            <w:tcW w:w="907" w:type="dxa"/>
          </w:tcPr>
          <w:p>
            <w:pPr>
              <w:pStyle w:val="0"/>
              <w:jc w:val="center"/>
            </w:pPr>
            <w:r>
              <w:rPr>
                <w:sz w:val="20"/>
              </w:rPr>
              <w:t xml:space="preserve">106,0</w:t>
            </w:r>
          </w:p>
        </w:tc>
        <w:tc>
          <w:tcPr>
            <w:tcW w:w="907" w:type="dxa"/>
          </w:tcPr>
          <w:p>
            <w:pPr>
              <w:pStyle w:val="0"/>
              <w:jc w:val="center"/>
            </w:pPr>
            <w:r>
              <w:rPr>
                <w:sz w:val="20"/>
              </w:rPr>
              <w:t xml:space="preserve">45,0</w:t>
            </w:r>
          </w:p>
        </w:tc>
        <w:tc>
          <w:tcPr>
            <w:tcW w:w="832" w:type="dxa"/>
          </w:tcPr>
          <w:p>
            <w:pPr>
              <w:pStyle w:val="0"/>
              <w:jc w:val="center"/>
            </w:pPr>
            <w:r>
              <w:rPr>
                <w:sz w:val="20"/>
              </w:rPr>
              <w:t xml:space="preserve">1,87</w:t>
            </w:r>
          </w:p>
        </w:tc>
        <w:tc>
          <w:tcPr>
            <w:tcW w:w="832" w:type="dxa"/>
          </w:tcPr>
          <w:p>
            <w:pPr>
              <w:pStyle w:val="0"/>
              <w:jc w:val="center"/>
            </w:pPr>
            <w:r>
              <w:rPr>
                <w:sz w:val="20"/>
              </w:rPr>
              <w:t xml:space="preserve">1,87</w:t>
            </w:r>
          </w:p>
        </w:tc>
        <w:tc>
          <w:tcPr>
            <w:tcW w:w="832" w:type="dxa"/>
          </w:tcPr>
          <w:p>
            <w:pPr>
              <w:pStyle w:val="0"/>
              <w:jc w:val="center"/>
            </w:pPr>
            <w:r>
              <w:rPr>
                <w:sz w:val="20"/>
              </w:rPr>
              <w:t xml:space="preserve">0,3</w:t>
            </w:r>
          </w:p>
        </w:tc>
        <w:tc>
          <w:tcPr>
            <w:tcW w:w="832" w:type="dxa"/>
          </w:tcPr>
          <w:p>
            <w:pPr>
              <w:pStyle w:val="0"/>
              <w:jc w:val="center"/>
            </w:pPr>
            <w:r>
              <w:rPr>
                <w:sz w:val="20"/>
              </w:rPr>
              <w:t xml:space="preserve">1,5</w:t>
            </w:r>
          </w:p>
        </w:tc>
        <w:tc>
          <w:tcPr>
            <w:tcW w:w="835" w:type="dxa"/>
          </w:tcPr>
          <w:p>
            <w:pPr>
              <w:pStyle w:val="0"/>
              <w:jc w:val="center"/>
            </w:pPr>
            <w:r>
              <w:rPr>
                <w:sz w:val="20"/>
              </w:rPr>
              <w:t xml:space="preserve">5,0</w:t>
            </w:r>
          </w:p>
        </w:tc>
        <w:tc>
          <w:tcPr>
            <w:tcW w:w="737" w:type="dxa"/>
          </w:tcPr>
          <w:p>
            <w:pPr>
              <w:pStyle w:val="0"/>
              <w:jc w:val="center"/>
            </w:pPr>
            <w:r>
              <w:rPr>
                <w:sz w:val="20"/>
              </w:rPr>
              <w:t xml:space="preserve">ИЖС</w:t>
            </w:r>
          </w:p>
        </w:tc>
        <w:tc>
          <w:tcPr>
            <w:tcW w:w="1134" w:type="dxa"/>
          </w:tcPr>
          <w:p>
            <w:pPr>
              <w:pStyle w:val="0"/>
              <w:jc w:val="center"/>
            </w:pPr>
            <w:r>
              <w:rPr>
                <w:sz w:val="20"/>
              </w:rPr>
              <w:t xml:space="preserve">физические лица</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 частично</w:t>
            </w:r>
          </w:p>
        </w:tc>
        <w:tc>
          <w:tcPr>
            <w:tcW w:w="856" w:type="dxa"/>
          </w:tcPr>
          <w:p>
            <w:pPr>
              <w:pStyle w:val="0"/>
              <w:jc w:val="center"/>
            </w:pPr>
            <w:r>
              <w:rPr>
                <w:sz w:val="20"/>
              </w:rPr>
              <w:t xml:space="preserve">2018 - 2025</w:t>
            </w:r>
          </w:p>
        </w:tc>
        <w:tc>
          <w:tcPr>
            <w:tcW w:w="856" w:type="dxa"/>
          </w:tcPr>
          <w:p>
            <w:pPr>
              <w:pStyle w:val="0"/>
              <w:jc w:val="center"/>
            </w:pPr>
            <w:r>
              <w:rPr>
                <w:sz w:val="20"/>
              </w:rPr>
              <w:t xml:space="preserve">выполнен I этап - электротехническая часть, водопроводные сети - 2018 - 2021 годы, дороги, газификация - 2018 - 2025 годы</w:t>
            </w:r>
          </w:p>
        </w:tc>
        <w:tc>
          <w:tcPr>
            <w:tcW w:w="1117" w:type="dxa"/>
          </w:tcPr>
          <w:p>
            <w:pPr>
              <w:pStyle w:val="0"/>
              <w:jc w:val="center"/>
            </w:pPr>
            <w:r>
              <w:rPr>
                <w:sz w:val="20"/>
              </w:rPr>
              <w:t xml:space="preserve">2018 - 2025</w:t>
            </w:r>
          </w:p>
        </w:tc>
        <w:tc>
          <w:tcPr>
            <w:tcW w:w="763" w:type="dxa"/>
          </w:tcPr>
          <w:p>
            <w:pPr>
              <w:pStyle w:val="0"/>
              <w:jc w:val="center"/>
            </w:pPr>
            <w:r>
              <w:rPr>
                <w:sz w:val="20"/>
              </w:rPr>
              <w:t xml:space="preserve">2018 - 2030</w:t>
            </w:r>
          </w:p>
        </w:tc>
      </w:tr>
      <w:tr>
        <w:tc>
          <w:tcPr>
            <w:gridSpan w:val="18"/>
            <w:tcW w:w="17062" w:type="dxa"/>
          </w:tcPr>
          <w:p>
            <w:pPr>
              <w:pStyle w:val="0"/>
              <w:outlineLvl w:val="2"/>
            </w:pPr>
            <w:r>
              <w:rPr>
                <w:sz w:val="20"/>
              </w:rPr>
              <w:t xml:space="preserve">Тогучинский район</w:t>
            </w:r>
          </w:p>
        </w:tc>
      </w:tr>
      <w:tr>
        <w:tc>
          <w:tcPr>
            <w:tcW w:w="567" w:type="dxa"/>
          </w:tcPr>
          <w:p>
            <w:pPr>
              <w:pStyle w:val="0"/>
              <w:jc w:val="center"/>
            </w:pPr>
            <w:r>
              <w:rPr>
                <w:sz w:val="20"/>
              </w:rPr>
              <w:t xml:space="preserve">38</w:t>
            </w:r>
          </w:p>
        </w:tc>
        <w:tc>
          <w:tcPr>
            <w:tcW w:w="2211" w:type="dxa"/>
          </w:tcPr>
          <w:p>
            <w:pPr>
              <w:pStyle w:val="0"/>
            </w:pPr>
            <w:r>
              <w:rPr>
                <w:sz w:val="20"/>
              </w:rPr>
              <w:t xml:space="preserve">Г. Тогучин, микрорайон Южный</w:t>
            </w:r>
          </w:p>
        </w:tc>
        <w:tc>
          <w:tcPr>
            <w:tcW w:w="907" w:type="dxa"/>
          </w:tcPr>
          <w:p>
            <w:pPr>
              <w:pStyle w:val="0"/>
              <w:jc w:val="center"/>
            </w:pPr>
            <w:r>
              <w:rPr>
                <w:sz w:val="20"/>
              </w:rPr>
              <w:t xml:space="preserve">33,69</w:t>
            </w:r>
          </w:p>
        </w:tc>
        <w:tc>
          <w:tcPr>
            <w:tcW w:w="907" w:type="dxa"/>
          </w:tcPr>
          <w:p>
            <w:pPr>
              <w:pStyle w:val="0"/>
              <w:jc w:val="center"/>
            </w:pPr>
            <w:r>
              <w:rPr>
                <w:sz w:val="20"/>
              </w:rPr>
              <w:t xml:space="preserve">37,8</w:t>
            </w:r>
          </w:p>
        </w:tc>
        <w:tc>
          <w:tcPr>
            <w:tcW w:w="832" w:type="dxa"/>
          </w:tcPr>
          <w:p>
            <w:pPr>
              <w:pStyle w:val="0"/>
              <w:jc w:val="center"/>
            </w:pPr>
            <w:r>
              <w:rPr>
                <w:sz w:val="20"/>
              </w:rPr>
              <w:t xml:space="preserve">0,23</w:t>
            </w:r>
          </w:p>
        </w:tc>
        <w:tc>
          <w:tcPr>
            <w:tcW w:w="832" w:type="dxa"/>
          </w:tcPr>
          <w:p>
            <w:pPr>
              <w:pStyle w:val="0"/>
              <w:jc w:val="center"/>
            </w:pPr>
            <w:r>
              <w:rPr>
                <w:sz w:val="20"/>
              </w:rPr>
              <w:t xml:space="preserve">0,23</w:t>
            </w:r>
          </w:p>
        </w:tc>
        <w:tc>
          <w:tcPr>
            <w:tcW w:w="832" w:type="dxa"/>
          </w:tcPr>
          <w:p>
            <w:pPr>
              <w:pStyle w:val="0"/>
              <w:jc w:val="center"/>
            </w:pPr>
            <w:r>
              <w:rPr>
                <w:sz w:val="20"/>
              </w:rPr>
              <w:t xml:space="preserve">0,5</w:t>
            </w:r>
          </w:p>
        </w:tc>
        <w:tc>
          <w:tcPr>
            <w:tcW w:w="832" w:type="dxa"/>
          </w:tcPr>
          <w:p>
            <w:pPr>
              <w:pStyle w:val="0"/>
              <w:jc w:val="center"/>
            </w:pPr>
            <w:r>
              <w:rPr>
                <w:sz w:val="20"/>
              </w:rPr>
              <w:t xml:space="preserve">1,5</w:t>
            </w:r>
          </w:p>
        </w:tc>
        <w:tc>
          <w:tcPr>
            <w:tcW w:w="835" w:type="dxa"/>
          </w:tcPr>
          <w:p>
            <w:pPr>
              <w:pStyle w:val="0"/>
              <w:jc w:val="center"/>
            </w:pPr>
            <w:r>
              <w:rPr>
                <w:sz w:val="20"/>
              </w:rPr>
              <w:t xml:space="preserve">1,1</w:t>
            </w:r>
          </w:p>
        </w:tc>
        <w:tc>
          <w:tcPr>
            <w:tcW w:w="737" w:type="dxa"/>
          </w:tcPr>
          <w:p>
            <w:pPr>
              <w:pStyle w:val="0"/>
              <w:jc w:val="center"/>
            </w:pPr>
            <w:r>
              <w:rPr>
                <w:sz w:val="20"/>
              </w:rPr>
              <w:t xml:space="preserve">ИЖС</w:t>
            </w:r>
          </w:p>
        </w:tc>
        <w:tc>
          <w:tcPr>
            <w:tcW w:w="1134" w:type="dxa"/>
          </w:tcPr>
          <w:p>
            <w:pPr>
              <w:pStyle w:val="0"/>
              <w:jc w:val="center"/>
            </w:pPr>
            <w:r>
              <w:rPr>
                <w:sz w:val="20"/>
              </w:rPr>
              <w:t xml:space="preserve">передано под ИЖС частным лицам</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2014 - 2024</w:t>
            </w:r>
          </w:p>
        </w:tc>
        <w:tc>
          <w:tcPr>
            <w:tcW w:w="856" w:type="dxa"/>
          </w:tcPr>
          <w:p>
            <w:pPr>
              <w:pStyle w:val="0"/>
              <w:jc w:val="center"/>
            </w:pPr>
            <w:r>
              <w:rPr>
                <w:sz w:val="20"/>
              </w:rPr>
              <w:t xml:space="preserve">2014 - 2022</w:t>
            </w:r>
          </w:p>
        </w:tc>
        <w:tc>
          <w:tcPr>
            <w:tcW w:w="1117" w:type="dxa"/>
          </w:tcPr>
          <w:p>
            <w:pPr>
              <w:pStyle w:val="0"/>
              <w:jc w:val="center"/>
            </w:pPr>
            <w:r>
              <w:rPr>
                <w:sz w:val="20"/>
              </w:rPr>
              <w:t xml:space="preserve">2014 - 2025</w:t>
            </w:r>
          </w:p>
        </w:tc>
        <w:tc>
          <w:tcPr>
            <w:tcW w:w="763" w:type="dxa"/>
          </w:tcPr>
          <w:p>
            <w:pPr>
              <w:pStyle w:val="0"/>
              <w:jc w:val="center"/>
            </w:pPr>
            <w:r>
              <w:rPr>
                <w:sz w:val="20"/>
              </w:rPr>
              <w:t xml:space="preserve">2014 - 2025</w:t>
            </w:r>
          </w:p>
        </w:tc>
      </w:tr>
      <w:tr>
        <w:tc>
          <w:tcPr>
            <w:tcW w:w="567" w:type="dxa"/>
          </w:tcPr>
          <w:p>
            <w:pPr>
              <w:pStyle w:val="0"/>
              <w:jc w:val="center"/>
            </w:pPr>
            <w:r>
              <w:rPr>
                <w:sz w:val="20"/>
              </w:rPr>
              <w:t xml:space="preserve">39</w:t>
            </w:r>
          </w:p>
        </w:tc>
        <w:tc>
          <w:tcPr>
            <w:tcW w:w="2211" w:type="dxa"/>
          </w:tcPr>
          <w:p>
            <w:pPr>
              <w:pStyle w:val="0"/>
            </w:pPr>
            <w:r>
              <w:rPr>
                <w:sz w:val="20"/>
              </w:rPr>
              <w:t xml:space="preserve">Р.п. Горный Тогучинского района</w:t>
            </w:r>
          </w:p>
        </w:tc>
        <w:tc>
          <w:tcPr>
            <w:tcW w:w="907" w:type="dxa"/>
          </w:tcPr>
          <w:p>
            <w:pPr>
              <w:pStyle w:val="0"/>
              <w:jc w:val="center"/>
            </w:pPr>
            <w:r>
              <w:rPr>
                <w:sz w:val="20"/>
              </w:rPr>
              <w:t xml:space="preserve">44,0</w:t>
            </w:r>
          </w:p>
        </w:tc>
        <w:tc>
          <w:tcPr>
            <w:tcW w:w="907" w:type="dxa"/>
          </w:tcPr>
          <w:p>
            <w:pPr>
              <w:pStyle w:val="0"/>
              <w:jc w:val="center"/>
            </w:pPr>
            <w:r>
              <w:rPr>
                <w:sz w:val="20"/>
              </w:rPr>
              <w:t xml:space="preserve">28,1</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0,5</w:t>
            </w:r>
          </w:p>
        </w:tc>
        <w:tc>
          <w:tcPr>
            <w:tcW w:w="832" w:type="dxa"/>
          </w:tcPr>
          <w:p>
            <w:pPr>
              <w:pStyle w:val="0"/>
              <w:jc w:val="center"/>
            </w:pPr>
            <w:r>
              <w:rPr>
                <w:sz w:val="20"/>
              </w:rPr>
              <w:t xml:space="preserve">3,0</w:t>
            </w:r>
          </w:p>
        </w:tc>
        <w:tc>
          <w:tcPr>
            <w:tcW w:w="835" w:type="dxa"/>
          </w:tcPr>
          <w:p>
            <w:pPr>
              <w:pStyle w:val="0"/>
              <w:jc w:val="center"/>
            </w:pPr>
            <w:r>
              <w:rPr>
                <w:sz w:val="20"/>
              </w:rPr>
              <w:t xml:space="preserve">3,0</w:t>
            </w:r>
          </w:p>
        </w:tc>
        <w:tc>
          <w:tcPr>
            <w:tcW w:w="737" w:type="dxa"/>
          </w:tcPr>
          <w:p>
            <w:pPr>
              <w:pStyle w:val="0"/>
              <w:jc w:val="center"/>
            </w:pPr>
            <w:r>
              <w:rPr>
                <w:sz w:val="20"/>
              </w:rPr>
              <w:t xml:space="preserve">ИЖС</w:t>
            </w:r>
          </w:p>
        </w:tc>
        <w:tc>
          <w:tcPr>
            <w:tcW w:w="1134" w:type="dxa"/>
          </w:tcPr>
          <w:p>
            <w:pPr>
              <w:pStyle w:val="0"/>
              <w:jc w:val="center"/>
            </w:pPr>
            <w:r>
              <w:rPr>
                <w:sz w:val="20"/>
              </w:rPr>
              <w:t xml:space="preserve">муниципальная собственность</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2021 - 2030</w:t>
            </w:r>
          </w:p>
        </w:tc>
        <w:tc>
          <w:tcPr>
            <w:tcW w:w="856" w:type="dxa"/>
          </w:tcPr>
          <w:p>
            <w:pPr>
              <w:pStyle w:val="0"/>
              <w:jc w:val="center"/>
            </w:pPr>
            <w:r>
              <w:rPr>
                <w:sz w:val="20"/>
              </w:rPr>
              <w:t xml:space="preserve">2021 - 2025</w:t>
            </w:r>
          </w:p>
        </w:tc>
        <w:tc>
          <w:tcPr>
            <w:tcW w:w="1117" w:type="dxa"/>
          </w:tcPr>
          <w:p>
            <w:pPr>
              <w:pStyle w:val="0"/>
              <w:jc w:val="center"/>
            </w:pPr>
            <w:r>
              <w:rPr>
                <w:sz w:val="20"/>
              </w:rPr>
              <w:t xml:space="preserve">2022 - 2028</w:t>
            </w:r>
          </w:p>
        </w:tc>
        <w:tc>
          <w:tcPr>
            <w:tcW w:w="763" w:type="dxa"/>
          </w:tcPr>
          <w:p>
            <w:pPr>
              <w:pStyle w:val="0"/>
              <w:jc w:val="center"/>
            </w:pPr>
            <w:r>
              <w:rPr>
                <w:sz w:val="20"/>
              </w:rPr>
              <w:t xml:space="preserve">2023 - 2024</w:t>
            </w:r>
          </w:p>
        </w:tc>
      </w:tr>
      <w:tr>
        <w:tc>
          <w:tcPr>
            <w:tcW w:w="567" w:type="dxa"/>
          </w:tcPr>
          <w:p>
            <w:pPr>
              <w:pStyle w:val="0"/>
              <w:jc w:val="center"/>
            </w:pPr>
            <w:r>
              <w:rPr>
                <w:sz w:val="20"/>
              </w:rPr>
              <w:t xml:space="preserve">40</w:t>
            </w:r>
          </w:p>
        </w:tc>
        <w:tc>
          <w:tcPr>
            <w:tcW w:w="2211" w:type="dxa"/>
          </w:tcPr>
          <w:p>
            <w:pPr>
              <w:pStyle w:val="0"/>
            </w:pPr>
            <w:r>
              <w:rPr>
                <w:sz w:val="20"/>
              </w:rPr>
              <w:t xml:space="preserve">Р.п. Горный, площадка, ограниченная улицами Строительной, Октябрьской, Юбилейной и железнодорожным путем в р.п. Горный</w:t>
            </w:r>
          </w:p>
        </w:tc>
        <w:tc>
          <w:tcPr>
            <w:tcW w:w="907" w:type="dxa"/>
          </w:tcPr>
          <w:p>
            <w:pPr>
              <w:pStyle w:val="0"/>
              <w:jc w:val="center"/>
            </w:pPr>
            <w:r>
              <w:rPr>
                <w:sz w:val="20"/>
              </w:rPr>
              <w:t xml:space="preserve">21,0</w:t>
            </w:r>
          </w:p>
        </w:tc>
        <w:tc>
          <w:tcPr>
            <w:tcW w:w="907" w:type="dxa"/>
          </w:tcPr>
          <w:p>
            <w:pPr>
              <w:pStyle w:val="0"/>
              <w:jc w:val="center"/>
            </w:pPr>
            <w:r>
              <w:rPr>
                <w:sz w:val="20"/>
              </w:rPr>
              <w:t xml:space="preserve">12,6</w:t>
            </w:r>
          </w:p>
        </w:tc>
        <w:tc>
          <w:tcPr>
            <w:tcW w:w="832" w:type="dxa"/>
          </w:tcPr>
          <w:p>
            <w:pPr>
              <w:pStyle w:val="0"/>
              <w:jc w:val="center"/>
            </w:pPr>
            <w:r>
              <w:rPr>
                <w:sz w:val="20"/>
              </w:rPr>
              <w:t xml:space="preserve">0,5</w:t>
            </w:r>
          </w:p>
        </w:tc>
        <w:tc>
          <w:tcPr>
            <w:tcW w:w="832" w:type="dxa"/>
          </w:tcPr>
          <w:p>
            <w:pPr>
              <w:pStyle w:val="0"/>
              <w:jc w:val="center"/>
            </w:pPr>
            <w:r>
              <w:rPr>
                <w:sz w:val="20"/>
              </w:rPr>
              <w:t xml:space="preserve">0,4</w:t>
            </w:r>
          </w:p>
        </w:tc>
        <w:tc>
          <w:tcPr>
            <w:tcW w:w="832" w:type="dxa"/>
          </w:tcPr>
          <w:p>
            <w:pPr>
              <w:pStyle w:val="0"/>
              <w:jc w:val="center"/>
            </w:pPr>
            <w:r>
              <w:rPr>
                <w:sz w:val="20"/>
              </w:rPr>
              <w:t xml:space="preserve">1,00</w:t>
            </w:r>
          </w:p>
        </w:tc>
        <w:tc>
          <w:tcPr>
            <w:tcW w:w="832" w:type="dxa"/>
          </w:tcPr>
          <w:p>
            <w:pPr>
              <w:pStyle w:val="0"/>
              <w:jc w:val="center"/>
            </w:pPr>
            <w:r>
              <w:rPr>
                <w:sz w:val="20"/>
              </w:rPr>
              <w:t xml:space="preserve">3,0</w:t>
            </w:r>
          </w:p>
        </w:tc>
        <w:tc>
          <w:tcPr>
            <w:tcW w:w="835" w:type="dxa"/>
          </w:tcPr>
          <w:p>
            <w:pPr>
              <w:pStyle w:val="0"/>
              <w:jc w:val="center"/>
            </w:pPr>
            <w:r>
              <w:rPr>
                <w:sz w:val="20"/>
              </w:rPr>
              <w:t xml:space="preserve">3,0</w:t>
            </w:r>
          </w:p>
        </w:tc>
        <w:tc>
          <w:tcPr>
            <w:tcW w:w="737" w:type="dxa"/>
          </w:tcPr>
          <w:p>
            <w:pPr>
              <w:pStyle w:val="0"/>
              <w:jc w:val="center"/>
            </w:pPr>
            <w:r>
              <w:rPr>
                <w:sz w:val="20"/>
              </w:rPr>
              <w:t xml:space="preserve">ИЖС</w:t>
            </w:r>
          </w:p>
        </w:tc>
        <w:tc>
          <w:tcPr>
            <w:tcW w:w="1134" w:type="dxa"/>
          </w:tcPr>
          <w:p>
            <w:pPr>
              <w:pStyle w:val="0"/>
              <w:jc w:val="center"/>
            </w:pPr>
            <w:r>
              <w:rPr>
                <w:sz w:val="20"/>
              </w:rPr>
              <w:t xml:space="preserve">неразграниченная собственность</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2021 - 2024</w:t>
            </w:r>
          </w:p>
        </w:tc>
        <w:tc>
          <w:tcPr>
            <w:tcW w:w="856" w:type="dxa"/>
          </w:tcPr>
          <w:p>
            <w:pPr>
              <w:pStyle w:val="0"/>
              <w:jc w:val="center"/>
            </w:pPr>
            <w:r>
              <w:rPr>
                <w:sz w:val="20"/>
              </w:rPr>
              <w:t xml:space="preserve">2021 - 2024</w:t>
            </w:r>
          </w:p>
        </w:tc>
        <w:tc>
          <w:tcPr>
            <w:tcW w:w="856" w:type="dxa"/>
          </w:tcPr>
          <w:p>
            <w:pPr>
              <w:pStyle w:val="0"/>
              <w:jc w:val="center"/>
            </w:pPr>
            <w:r>
              <w:rPr>
                <w:sz w:val="20"/>
              </w:rPr>
              <w:t xml:space="preserve">2021 - 2030</w:t>
            </w:r>
          </w:p>
        </w:tc>
        <w:tc>
          <w:tcPr>
            <w:tcW w:w="856" w:type="dxa"/>
          </w:tcPr>
          <w:p>
            <w:pPr>
              <w:pStyle w:val="0"/>
              <w:jc w:val="center"/>
            </w:pPr>
            <w:r>
              <w:rPr>
                <w:sz w:val="20"/>
              </w:rPr>
              <w:t xml:space="preserve">2021 - 2026</w:t>
            </w:r>
          </w:p>
        </w:tc>
        <w:tc>
          <w:tcPr>
            <w:tcW w:w="1117" w:type="dxa"/>
          </w:tcPr>
          <w:p>
            <w:pPr>
              <w:pStyle w:val="0"/>
              <w:jc w:val="center"/>
            </w:pPr>
            <w:r>
              <w:rPr>
                <w:sz w:val="20"/>
              </w:rPr>
              <w:t xml:space="preserve">2022 - 2024</w:t>
            </w:r>
          </w:p>
        </w:tc>
        <w:tc>
          <w:tcPr>
            <w:tcW w:w="763" w:type="dxa"/>
          </w:tcPr>
          <w:p>
            <w:pPr>
              <w:pStyle w:val="0"/>
              <w:jc w:val="center"/>
            </w:pPr>
            <w:r>
              <w:rPr>
                <w:sz w:val="20"/>
              </w:rPr>
              <w:t xml:space="preserve">2023 - 2024</w:t>
            </w:r>
          </w:p>
        </w:tc>
      </w:tr>
      <w:tr>
        <w:tc>
          <w:tcPr>
            <w:gridSpan w:val="18"/>
            <w:tcW w:w="17062" w:type="dxa"/>
          </w:tcPr>
          <w:p>
            <w:pPr>
              <w:pStyle w:val="0"/>
              <w:outlineLvl w:val="2"/>
            </w:pPr>
            <w:r>
              <w:rPr>
                <w:sz w:val="20"/>
              </w:rPr>
              <w:t xml:space="preserve">Усть-Таркский район</w:t>
            </w:r>
          </w:p>
        </w:tc>
      </w:tr>
      <w:tr>
        <w:tc>
          <w:tcPr>
            <w:tcW w:w="567" w:type="dxa"/>
          </w:tcPr>
          <w:p>
            <w:pPr>
              <w:pStyle w:val="0"/>
              <w:jc w:val="center"/>
            </w:pPr>
            <w:r>
              <w:rPr>
                <w:sz w:val="20"/>
              </w:rPr>
              <w:t xml:space="preserve">41</w:t>
            </w:r>
          </w:p>
        </w:tc>
        <w:tc>
          <w:tcPr>
            <w:tcW w:w="2211" w:type="dxa"/>
          </w:tcPr>
          <w:p>
            <w:pPr>
              <w:pStyle w:val="0"/>
            </w:pPr>
            <w:r>
              <w:rPr>
                <w:sz w:val="20"/>
              </w:rPr>
              <w:t xml:space="preserve">С. Усть-Тарка, Усть-Таркский с/с, северо-западная часть</w:t>
            </w:r>
          </w:p>
        </w:tc>
        <w:tc>
          <w:tcPr>
            <w:tcW w:w="907" w:type="dxa"/>
          </w:tcPr>
          <w:p>
            <w:pPr>
              <w:pStyle w:val="0"/>
              <w:jc w:val="center"/>
            </w:pPr>
            <w:r>
              <w:rPr>
                <w:sz w:val="20"/>
              </w:rPr>
              <w:t xml:space="preserve">44,0</w:t>
            </w:r>
          </w:p>
        </w:tc>
        <w:tc>
          <w:tcPr>
            <w:tcW w:w="907" w:type="dxa"/>
          </w:tcPr>
          <w:p>
            <w:pPr>
              <w:pStyle w:val="0"/>
              <w:jc w:val="center"/>
            </w:pPr>
            <w:r>
              <w:rPr>
                <w:sz w:val="20"/>
              </w:rPr>
              <w:t xml:space="preserve">23,4</w:t>
            </w:r>
          </w:p>
        </w:tc>
        <w:tc>
          <w:tcPr>
            <w:tcW w:w="832" w:type="dxa"/>
          </w:tcPr>
          <w:p>
            <w:pPr>
              <w:pStyle w:val="0"/>
              <w:jc w:val="center"/>
            </w:pPr>
            <w:r>
              <w:rPr>
                <w:sz w:val="20"/>
              </w:rPr>
              <w:t xml:space="preserve">4,72</w:t>
            </w:r>
          </w:p>
        </w:tc>
        <w:tc>
          <w:tcPr>
            <w:tcW w:w="832" w:type="dxa"/>
          </w:tcPr>
          <w:p>
            <w:pPr>
              <w:pStyle w:val="0"/>
              <w:jc w:val="center"/>
            </w:pPr>
            <w:r>
              <w:rPr>
                <w:sz w:val="20"/>
              </w:rPr>
              <w:t xml:space="preserve">0,407</w:t>
            </w:r>
          </w:p>
        </w:tc>
        <w:tc>
          <w:tcPr>
            <w:tcW w:w="832" w:type="dxa"/>
          </w:tcPr>
          <w:p>
            <w:pPr>
              <w:pStyle w:val="0"/>
              <w:jc w:val="center"/>
            </w:pPr>
            <w:r>
              <w:rPr>
                <w:sz w:val="20"/>
              </w:rPr>
              <w:t xml:space="preserve">0,205</w:t>
            </w:r>
          </w:p>
        </w:tc>
        <w:tc>
          <w:tcPr>
            <w:tcW w:w="832" w:type="dxa"/>
          </w:tcPr>
          <w:p>
            <w:pPr>
              <w:pStyle w:val="0"/>
              <w:jc w:val="center"/>
            </w:pPr>
            <w:r>
              <w:rPr>
                <w:sz w:val="20"/>
              </w:rPr>
              <w:t xml:space="preserve">0,883</w:t>
            </w:r>
          </w:p>
        </w:tc>
        <w:tc>
          <w:tcPr>
            <w:tcW w:w="835" w:type="dxa"/>
          </w:tcPr>
          <w:p>
            <w:pPr>
              <w:pStyle w:val="0"/>
              <w:jc w:val="center"/>
            </w:pPr>
            <w:r>
              <w:rPr>
                <w:sz w:val="20"/>
              </w:rPr>
              <w:t xml:space="preserve">1,705</w:t>
            </w:r>
          </w:p>
        </w:tc>
        <w:tc>
          <w:tcPr>
            <w:tcW w:w="737" w:type="dxa"/>
          </w:tcPr>
          <w:p>
            <w:pPr>
              <w:pStyle w:val="0"/>
              <w:jc w:val="center"/>
            </w:pPr>
            <w:r>
              <w:rPr>
                <w:sz w:val="20"/>
              </w:rPr>
              <w:t xml:space="preserve">ИЖС</w:t>
            </w:r>
          </w:p>
        </w:tc>
        <w:tc>
          <w:tcPr>
            <w:tcW w:w="1134" w:type="dxa"/>
          </w:tcPr>
          <w:p>
            <w:pPr>
              <w:pStyle w:val="0"/>
              <w:jc w:val="center"/>
            </w:pPr>
            <w:r>
              <w:rPr>
                <w:sz w:val="20"/>
              </w:rPr>
              <w:t xml:space="preserve">предоставлено под застройку физическим лицам</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2021 - 2022</w:t>
            </w:r>
          </w:p>
        </w:tc>
        <w:tc>
          <w:tcPr>
            <w:tcW w:w="856" w:type="dxa"/>
          </w:tcPr>
          <w:p>
            <w:pPr>
              <w:pStyle w:val="0"/>
              <w:jc w:val="center"/>
            </w:pPr>
            <w:r>
              <w:rPr>
                <w:sz w:val="20"/>
              </w:rPr>
              <w:t xml:space="preserve">2022 - 2024</w:t>
            </w:r>
          </w:p>
        </w:tc>
        <w:tc>
          <w:tcPr>
            <w:tcW w:w="856" w:type="dxa"/>
          </w:tcPr>
          <w:p>
            <w:pPr>
              <w:pStyle w:val="0"/>
              <w:jc w:val="center"/>
            </w:pPr>
            <w:r>
              <w:rPr>
                <w:sz w:val="20"/>
              </w:rPr>
              <w:t xml:space="preserve">2022 - 2025</w:t>
            </w:r>
          </w:p>
        </w:tc>
        <w:tc>
          <w:tcPr>
            <w:tcW w:w="856" w:type="dxa"/>
          </w:tcPr>
          <w:p>
            <w:pPr>
              <w:pStyle w:val="0"/>
              <w:jc w:val="center"/>
            </w:pPr>
            <w:r>
              <w:rPr>
                <w:sz w:val="20"/>
              </w:rPr>
              <w:t xml:space="preserve">2022 - 2025</w:t>
            </w:r>
          </w:p>
        </w:tc>
        <w:tc>
          <w:tcPr>
            <w:tcW w:w="1117" w:type="dxa"/>
          </w:tcPr>
          <w:p>
            <w:pPr>
              <w:pStyle w:val="0"/>
              <w:jc w:val="center"/>
            </w:pPr>
            <w:r>
              <w:rPr>
                <w:sz w:val="20"/>
              </w:rPr>
              <w:t xml:space="preserve">2022 - 2033</w:t>
            </w:r>
          </w:p>
        </w:tc>
        <w:tc>
          <w:tcPr>
            <w:tcW w:w="763" w:type="dxa"/>
          </w:tcPr>
          <w:p>
            <w:pPr>
              <w:pStyle w:val="0"/>
              <w:jc w:val="center"/>
            </w:pPr>
            <w:r>
              <w:rPr>
                <w:sz w:val="20"/>
              </w:rPr>
              <w:t xml:space="preserve">2022 - 2033</w:t>
            </w:r>
          </w:p>
        </w:tc>
      </w:tr>
      <w:tr>
        <w:tc>
          <w:tcPr>
            <w:gridSpan w:val="18"/>
            <w:tcW w:w="17062" w:type="dxa"/>
          </w:tcPr>
          <w:p>
            <w:pPr>
              <w:pStyle w:val="0"/>
              <w:outlineLvl w:val="2"/>
            </w:pPr>
            <w:r>
              <w:rPr>
                <w:sz w:val="20"/>
              </w:rPr>
              <w:t xml:space="preserve">Чановский район</w:t>
            </w:r>
          </w:p>
        </w:tc>
      </w:tr>
      <w:tr>
        <w:tc>
          <w:tcPr>
            <w:tcW w:w="567" w:type="dxa"/>
          </w:tcPr>
          <w:p>
            <w:pPr>
              <w:pStyle w:val="0"/>
              <w:jc w:val="center"/>
            </w:pPr>
            <w:r>
              <w:rPr>
                <w:sz w:val="20"/>
              </w:rPr>
              <w:t xml:space="preserve">42</w:t>
            </w:r>
          </w:p>
        </w:tc>
        <w:tc>
          <w:tcPr>
            <w:tcW w:w="2211" w:type="dxa"/>
          </w:tcPr>
          <w:p>
            <w:pPr>
              <w:pStyle w:val="0"/>
            </w:pPr>
            <w:r>
              <w:rPr>
                <w:sz w:val="20"/>
              </w:rPr>
              <w:t xml:space="preserve">Озеро-Карачинский с/с</w:t>
            </w:r>
          </w:p>
        </w:tc>
        <w:tc>
          <w:tcPr>
            <w:tcW w:w="907" w:type="dxa"/>
          </w:tcPr>
          <w:p>
            <w:pPr>
              <w:pStyle w:val="0"/>
              <w:jc w:val="center"/>
            </w:pPr>
            <w:r>
              <w:rPr>
                <w:sz w:val="20"/>
              </w:rPr>
              <w:t xml:space="preserve">30,0</w:t>
            </w:r>
          </w:p>
        </w:tc>
        <w:tc>
          <w:tcPr>
            <w:tcW w:w="907" w:type="dxa"/>
          </w:tcPr>
          <w:p>
            <w:pPr>
              <w:pStyle w:val="0"/>
              <w:jc w:val="center"/>
            </w:pPr>
            <w:r>
              <w:rPr>
                <w:sz w:val="20"/>
              </w:rPr>
              <w:t xml:space="preserve">5,0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2,0</w:t>
            </w:r>
          </w:p>
        </w:tc>
        <w:tc>
          <w:tcPr>
            <w:tcW w:w="835" w:type="dxa"/>
          </w:tcPr>
          <w:p>
            <w:pPr>
              <w:pStyle w:val="0"/>
              <w:jc w:val="center"/>
            </w:pPr>
            <w:r>
              <w:rPr>
                <w:sz w:val="20"/>
              </w:rPr>
              <w:t xml:space="preserve">3,0</w:t>
            </w:r>
          </w:p>
        </w:tc>
        <w:tc>
          <w:tcPr>
            <w:tcW w:w="737" w:type="dxa"/>
          </w:tcPr>
          <w:p>
            <w:pPr>
              <w:pStyle w:val="0"/>
              <w:jc w:val="center"/>
            </w:pPr>
            <w:r>
              <w:rPr>
                <w:sz w:val="20"/>
              </w:rPr>
              <w:t xml:space="preserve">ИЖС, малоэтажная</w:t>
            </w:r>
          </w:p>
        </w:tc>
        <w:tc>
          <w:tcPr>
            <w:tcW w:w="1134" w:type="dxa"/>
          </w:tcPr>
          <w:p>
            <w:pPr>
              <w:pStyle w:val="0"/>
              <w:jc w:val="center"/>
            </w:pPr>
            <w:r>
              <w:rPr>
                <w:sz w:val="20"/>
              </w:rPr>
              <w:t xml:space="preserve">собственники, арендаторы</w:t>
            </w:r>
          </w:p>
        </w:tc>
        <w:tc>
          <w:tcPr>
            <w:tcW w:w="992" w:type="dxa"/>
          </w:tcPr>
          <w:p>
            <w:pPr>
              <w:pStyle w:val="0"/>
              <w:jc w:val="center"/>
            </w:pPr>
            <w:r>
              <w:rPr>
                <w:sz w:val="20"/>
              </w:rPr>
              <w:t xml:space="preserve">2021</w:t>
            </w:r>
          </w:p>
        </w:tc>
        <w:tc>
          <w:tcPr>
            <w:tcW w:w="996" w:type="dxa"/>
          </w:tcPr>
          <w:p>
            <w:pPr>
              <w:pStyle w:val="0"/>
              <w:jc w:val="center"/>
            </w:pPr>
            <w:r>
              <w:rPr>
                <w:sz w:val="20"/>
              </w:rPr>
              <w:t xml:space="preserve">2022</w:t>
            </w:r>
          </w:p>
        </w:tc>
        <w:tc>
          <w:tcPr>
            <w:tcW w:w="856" w:type="dxa"/>
          </w:tcPr>
          <w:p>
            <w:pPr>
              <w:pStyle w:val="0"/>
              <w:jc w:val="center"/>
            </w:pPr>
            <w:r>
              <w:rPr>
                <w:sz w:val="20"/>
              </w:rPr>
              <w:t xml:space="preserve">-</w:t>
            </w:r>
          </w:p>
        </w:tc>
        <w:tc>
          <w:tcPr>
            <w:tcW w:w="856" w:type="dxa"/>
          </w:tcPr>
          <w:p>
            <w:pPr>
              <w:pStyle w:val="0"/>
              <w:jc w:val="center"/>
            </w:pPr>
            <w:r>
              <w:rPr>
                <w:sz w:val="20"/>
              </w:rPr>
              <w:t xml:space="preserve">-</w:t>
            </w:r>
          </w:p>
        </w:tc>
        <w:tc>
          <w:tcPr>
            <w:tcW w:w="856" w:type="dxa"/>
          </w:tcPr>
          <w:p>
            <w:pPr>
              <w:pStyle w:val="0"/>
              <w:jc w:val="center"/>
            </w:pPr>
            <w:r>
              <w:rPr>
                <w:sz w:val="20"/>
              </w:rPr>
              <w:t xml:space="preserve">2022</w:t>
            </w:r>
          </w:p>
        </w:tc>
        <w:tc>
          <w:tcPr>
            <w:tcW w:w="1117" w:type="dxa"/>
          </w:tcPr>
          <w:p>
            <w:pPr>
              <w:pStyle w:val="0"/>
              <w:jc w:val="center"/>
            </w:pPr>
            <w:r>
              <w:rPr>
                <w:sz w:val="20"/>
              </w:rPr>
              <w:t xml:space="preserve">2023</w:t>
            </w:r>
          </w:p>
        </w:tc>
        <w:tc>
          <w:tcPr>
            <w:tcW w:w="763" w:type="dxa"/>
          </w:tcPr>
          <w:p>
            <w:pPr>
              <w:pStyle w:val="0"/>
              <w:jc w:val="center"/>
            </w:pPr>
            <w:r>
              <w:rPr>
                <w:sz w:val="20"/>
              </w:rPr>
              <w:t xml:space="preserve">2023</w:t>
            </w:r>
          </w:p>
        </w:tc>
      </w:tr>
      <w:tr>
        <w:tc>
          <w:tcPr>
            <w:tcW w:w="567" w:type="dxa"/>
          </w:tcPr>
          <w:p>
            <w:pPr>
              <w:pStyle w:val="0"/>
              <w:jc w:val="center"/>
            </w:pPr>
            <w:r>
              <w:rPr>
                <w:sz w:val="20"/>
              </w:rPr>
              <w:t xml:space="preserve">43</w:t>
            </w:r>
          </w:p>
        </w:tc>
        <w:tc>
          <w:tcPr>
            <w:tcW w:w="2211" w:type="dxa"/>
          </w:tcPr>
          <w:p>
            <w:pPr>
              <w:pStyle w:val="0"/>
            </w:pPr>
            <w:r>
              <w:rPr>
                <w:sz w:val="20"/>
              </w:rPr>
              <w:t xml:space="preserve">П. Моховое</w:t>
            </w:r>
          </w:p>
        </w:tc>
        <w:tc>
          <w:tcPr>
            <w:tcW w:w="907" w:type="dxa"/>
          </w:tcPr>
          <w:p>
            <w:pPr>
              <w:pStyle w:val="0"/>
              <w:jc w:val="center"/>
            </w:pPr>
            <w:r>
              <w:rPr>
                <w:sz w:val="20"/>
              </w:rPr>
              <w:t xml:space="preserve">30,0</w:t>
            </w:r>
          </w:p>
        </w:tc>
        <w:tc>
          <w:tcPr>
            <w:tcW w:w="907" w:type="dxa"/>
          </w:tcPr>
          <w:p>
            <w:pPr>
              <w:pStyle w:val="0"/>
              <w:jc w:val="center"/>
            </w:pPr>
            <w:r>
              <w:rPr>
                <w:sz w:val="20"/>
              </w:rPr>
              <w:t xml:space="preserve">333,34</w:t>
            </w:r>
          </w:p>
        </w:tc>
        <w:tc>
          <w:tcPr>
            <w:tcW w:w="832" w:type="dxa"/>
          </w:tcPr>
          <w:p>
            <w:pPr>
              <w:pStyle w:val="0"/>
              <w:jc w:val="center"/>
            </w:pPr>
            <w:r>
              <w:rPr>
                <w:sz w:val="20"/>
              </w:rPr>
              <w:t xml:space="preserve">333,34</w:t>
            </w:r>
          </w:p>
        </w:tc>
        <w:tc>
          <w:tcPr>
            <w:tcW w:w="832" w:type="dxa"/>
          </w:tcPr>
          <w:p>
            <w:pPr>
              <w:pStyle w:val="0"/>
              <w:jc w:val="center"/>
            </w:pPr>
            <w:r>
              <w:rPr>
                <w:sz w:val="20"/>
              </w:rPr>
              <w:t xml:space="preserve">0,72</w:t>
            </w:r>
          </w:p>
        </w:tc>
        <w:tc>
          <w:tcPr>
            <w:tcW w:w="832" w:type="dxa"/>
          </w:tcPr>
          <w:p>
            <w:pPr>
              <w:pStyle w:val="0"/>
              <w:jc w:val="center"/>
            </w:pPr>
            <w:r>
              <w:rPr>
                <w:sz w:val="20"/>
              </w:rPr>
              <w:t xml:space="preserve">0,4</w:t>
            </w:r>
          </w:p>
        </w:tc>
        <w:tc>
          <w:tcPr>
            <w:tcW w:w="832" w:type="dxa"/>
          </w:tcPr>
          <w:p>
            <w:pPr>
              <w:pStyle w:val="0"/>
              <w:jc w:val="center"/>
            </w:pPr>
            <w:r>
              <w:rPr>
                <w:sz w:val="20"/>
              </w:rPr>
              <w:t xml:space="preserve">1,0</w:t>
            </w:r>
          </w:p>
        </w:tc>
        <w:tc>
          <w:tcPr>
            <w:tcW w:w="835" w:type="dxa"/>
          </w:tcPr>
          <w:p>
            <w:pPr>
              <w:pStyle w:val="0"/>
              <w:jc w:val="center"/>
            </w:pPr>
            <w:r>
              <w:rPr>
                <w:sz w:val="20"/>
              </w:rPr>
              <w:t xml:space="preserve">0,0</w:t>
            </w:r>
          </w:p>
        </w:tc>
        <w:tc>
          <w:tcPr>
            <w:tcW w:w="737" w:type="dxa"/>
          </w:tcPr>
          <w:p>
            <w:pPr>
              <w:pStyle w:val="0"/>
              <w:jc w:val="center"/>
            </w:pPr>
            <w:r>
              <w:rPr>
                <w:sz w:val="20"/>
              </w:rPr>
              <w:t xml:space="preserve">ИЖС, малоэтажная</w:t>
            </w:r>
          </w:p>
        </w:tc>
        <w:tc>
          <w:tcPr>
            <w:tcW w:w="1134" w:type="dxa"/>
          </w:tcPr>
          <w:p>
            <w:pPr>
              <w:pStyle w:val="0"/>
              <w:jc w:val="center"/>
            </w:pPr>
            <w:r>
              <w:rPr>
                <w:sz w:val="20"/>
              </w:rPr>
              <w:t xml:space="preserve">собственники, арендаторы</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выполнено</w:t>
            </w:r>
          </w:p>
        </w:tc>
        <w:tc>
          <w:tcPr>
            <w:tcW w:w="763" w:type="dxa"/>
          </w:tcPr>
          <w:p>
            <w:pPr>
              <w:pStyle w:val="0"/>
              <w:jc w:val="center"/>
            </w:pPr>
            <w:r>
              <w:rPr>
                <w:sz w:val="20"/>
              </w:rPr>
              <w:t xml:space="preserve">выполнено</w:t>
            </w:r>
          </w:p>
        </w:tc>
      </w:tr>
      <w:tr>
        <w:tc>
          <w:tcPr>
            <w:gridSpan w:val="18"/>
            <w:tcW w:w="17062" w:type="dxa"/>
          </w:tcPr>
          <w:p>
            <w:pPr>
              <w:pStyle w:val="0"/>
              <w:outlineLvl w:val="2"/>
            </w:pPr>
            <w:r>
              <w:rPr>
                <w:sz w:val="20"/>
              </w:rPr>
              <w:t xml:space="preserve">Черепановский район</w:t>
            </w:r>
          </w:p>
        </w:tc>
      </w:tr>
      <w:tr>
        <w:tc>
          <w:tcPr>
            <w:tcW w:w="567" w:type="dxa"/>
          </w:tcPr>
          <w:p>
            <w:pPr>
              <w:pStyle w:val="0"/>
              <w:jc w:val="center"/>
            </w:pPr>
            <w:r>
              <w:rPr>
                <w:sz w:val="20"/>
              </w:rPr>
              <w:t xml:space="preserve">44</w:t>
            </w:r>
          </w:p>
        </w:tc>
        <w:tc>
          <w:tcPr>
            <w:tcW w:w="2211" w:type="dxa"/>
          </w:tcPr>
          <w:p>
            <w:pPr>
              <w:pStyle w:val="0"/>
            </w:pPr>
            <w:r>
              <w:rPr>
                <w:sz w:val="20"/>
              </w:rPr>
              <w:t xml:space="preserve">Г. Черепаново, мкр. Южный</w:t>
            </w:r>
          </w:p>
        </w:tc>
        <w:tc>
          <w:tcPr>
            <w:tcW w:w="907" w:type="dxa"/>
          </w:tcPr>
          <w:p>
            <w:pPr>
              <w:pStyle w:val="0"/>
              <w:jc w:val="center"/>
            </w:pPr>
            <w:r>
              <w:rPr>
                <w:sz w:val="20"/>
              </w:rPr>
              <w:t xml:space="preserve">25,0</w:t>
            </w:r>
          </w:p>
        </w:tc>
        <w:tc>
          <w:tcPr>
            <w:tcW w:w="907" w:type="dxa"/>
          </w:tcPr>
          <w:p>
            <w:pPr>
              <w:pStyle w:val="0"/>
              <w:jc w:val="center"/>
            </w:pPr>
            <w:r>
              <w:rPr>
                <w:sz w:val="20"/>
              </w:rPr>
              <w:t xml:space="preserve">7,6</w:t>
            </w:r>
          </w:p>
        </w:tc>
        <w:tc>
          <w:tcPr>
            <w:tcW w:w="832" w:type="dxa"/>
          </w:tcPr>
          <w:p>
            <w:pPr>
              <w:pStyle w:val="0"/>
              <w:jc w:val="center"/>
            </w:pPr>
            <w:r>
              <w:rPr>
                <w:sz w:val="20"/>
              </w:rPr>
              <w:t xml:space="preserve">0,8</w:t>
            </w:r>
          </w:p>
        </w:tc>
        <w:tc>
          <w:tcPr>
            <w:tcW w:w="832" w:type="dxa"/>
          </w:tcPr>
          <w:p>
            <w:pPr>
              <w:pStyle w:val="0"/>
              <w:jc w:val="center"/>
            </w:pPr>
            <w:r>
              <w:rPr>
                <w:sz w:val="20"/>
              </w:rPr>
              <w:t xml:space="preserve">0,8</w:t>
            </w:r>
          </w:p>
        </w:tc>
        <w:tc>
          <w:tcPr>
            <w:tcW w:w="832" w:type="dxa"/>
          </w:tcPr>
          <w:p>
            <w:pPr>
              <w:pStyle w:val="0"/>
              <w:jc w:val="center"/>
            </w:pPr>
            <w:r>
              <w:rPr>
                <w:sz w:val="20"/>
              </w:rPr>
              <w:t xml:space="preserve">0,0</w:t>
            </w:r>
          </w:p>
        </w:tc>
        <w:tc>
          <w:tcPr>
            <w:tcW w:w="832" w:type="dxa"/>
          </w:tcPr>
          <w:p>
            <w:pPr>
              <w:pStyle w:val="0"/>
              <w:jc w:val="center"/>
            </w:pPr>
            <w:r>
              <w:rPr>
                <w:sz w:val="20"/>
              </w:rPr>
              <w:t xml:space="preserve">0,3</w:t>
            </w:r>
          </w:p>
        </w:tc>
        <w:tc>
          <w:tcPr>
            <w:tcW w:w="835" w:type="dxa"/>
          </w:tcPr>
          <w:p>
            <w:pPr>
              <w:pStyle w:val="0"/>
              <w:jc w:val="center"/>
            </w:pPr>
            <w:r>
              <w:rPr>
                <w:sz w:val="20"/>
              </w:rPr>
              <w:t xml:space="preserve">6,5</w:t>
            </w:r>
          </w:p>
        </w:tc>
        <w:tc>
          <w:tcPr>
            <w:tcW w:w="737" w:type="dxa"/>
          </w:tcPr>
          <w:p>
            <w:pPr>
              <w:pStyle w:val="0"/>
              <w:jc w:val="center"/>
            </w:pPr>
            <w:r>
              <w:rPr>
                <w:sz w:val="20"/>
              </w:rPr>
              <w:t xml:space="preserve">ИЖС</w:t>
            </w:r>
          </w:p>
        </w:tc>
        <w:tc>
          <w:tcPr>
            <w:tcW w:w="1134" w:type="dxa"/>
          </w:tcPr>
          <w:p>
            <w:pPr>
              <w:pStyle w:val="0"/>
              <w:jc w:val="center"/>
            </w:pPr>
            <w:r>
              <w:rPr>
                <w:sz w:val="20"/>
              </w:rPr>
              <w:t xml:space="preserve">физические лица</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имеется</w:t>
            </w:r>
          </w:p>
        </w:tc>
        <w:tc>
          <w:tcPr>
            <w:tcW w:w="856" w:type="dxa"/>
          </w:tcPr>
          <w:p>
            <w:pPr>
              <w:pStyle w:val="0"/>
              <w:jc w:val="center"/>
            </w:pPr>
            <w:r>
              <w:rPr>
                <w:sz w:val="20"/>
              </w:rPr>
              <w:t xml:space="preserve">выполнено (газоснабжение, водоснабжение)</w:t>
            </w:r>
          </w:p>
        </w:tc>
        <w:tc>
          <w:tcPr>
            <w:tcW w:w="856" w:type="dxa"/>
          </w:tcPr>
          <w:p>
            <w:pPr>
              <w:pStyle w:val="0"/>
              <w:jc w:val="center"/>
            </w:pPr>
            <w:r>
              <w:rPr>
                <w:sz w:val="20"/>
              </w:rPr>
              <w:t xml:space="preserve">2021 - 2030</w:t>
            </w:r>
          </w:p>
        </w:tc>
        <w:tc>
          <w:tcPr>
            <w:tcW w:w="856" w:type="dxa"/>
          </w:tcPr>
          <w:p>
            <w:pPr>
              <w:pStyle w:val="0"/>
              <w:jc w:val="center"/>
            </w:pPr>
            <w:r>
              <w:rPr>
                <w:sz w:val="20"/>
              </w:rPr>
              <w:t xml:space="preserve">2021 - 2025</w:t>
            </w:r>
          </w:p>
        </w:tc>
        <w:tc>
          <w:tcPr>
            <w:tcW w:w="1117" w:type="dxa"/>
          </w:tcPr>
          <w:p>
            <w:pPr>
              <w:pStyle w:val="0"/>
              <w:jc w:val="center"/>
            </w:pPr>
            <w:r>
              <w:rPr>
                <w:sz w:val="20"/>
              </w:rPr>
              <w:t xml:space="preserve">2021 - 2030</w:t>
            </w:r>
          </w:p>
        </w:tc>
        <w:tc>
          <w:tcPr>
            <w:tcW w:w="763" w:type="dxa"/>
          </w:tcPr>
          <w:p>
            <w:pPr>
              <w:pStyle w:val="0"/>
              <w:jc w:val="center"/>
            </w:pPr>
            <w:r>
              <w:rPr>
                <w:sz w:val="20"/>
              </w:rPr>
              <w:t xml:space="preserve">2030</w:t>
            </w:r>
          </w:p>
        </w:tc>
      </w:tr>
      <w:tr>
        <w:tc>
          <w:tcPr>
            <w:tcW w:w="567" w:type="dxa"/>
          </w:tcPr>
          <w:p>
            <w:pPr>
              <w:pStyle w:val="0"/>
              <w:jc w:val="center"/>
            </w:pPr>
            <w:r>
              <w:rPr>
                <w:sz w:val="20"/>
              </w:rPr>
              <w:t xml:space="preserve">45</w:t>
            </w:r>
          </w:p>
        </w:tc>
        <w:tc>
          <w:tcPr>
            <w:tcW w:w="2211" w:type="dxa"/>
          </w:tcPr>
          <w:p>
            <w:pPr>
              <w:pStyle w:val="0"/>
            </w:pPr>
            <w:r>
              <w:rPr>
                <w:sz w:val="20"/>
              </w:rPr>
              <w:t xml:space="preserve">П. Пушной</w:t>
            </w:r>
          </w:p>
        </w:tc>
        <w:tc>
          <w:tcPr>
            <w:tcW w:w="907" w:type="dxa"/>
          </w:tcPr>
          <w:p>
            <w:pPr>
              <w:pStyle w:val="0"/>
              <w:jc w:val="center"/>
            </w:pPr>
            <w:r>
              <w:rPr>
                <w:sz w:val="20"/>
              </w:rPr>
              <w:t xml:space="preserve">11,8</w:t>
            </w:r>
          </w:p>
        </w:tc>
        <w:tc>
          <w:tcPr>
            <w:tcW w:w="907" w:type="dxa"/>
          </w:tcPr>
          <w:p>
            <w:pPr>
              <w:pStyle w:val="0"/>
              <w:jc w:val="center"/>
            </w:pPr>
            <w:r>
              <w:rPr>
                <w:sz w:val="20"/>
              </w:rPr>
              <w:t xml:space="preserve">4,8</w:t>
            </w:r>
          </w:p>
        </w:tc>
        <w:tc>
          <w:tcPr>
            <w:tcW w:w="832" w:type="dxa"/>
          </w:tcPr>
          <w:p>
            <w:pPr>
              <w:pStyle w:val="0"/>
              <w:jc w:val="center"/>
            </w:pPr>
            <w:r>
              <w:rPr>
                <w:sz w:val="20"/>
              </w:rPr>
              <w:t xml:space="preserve">2,85</w:t>
            </w:r>
          </w:p>
        </w:tc>
        <w:tc>
          <w:tcPr>
            <w:tcW w:w="832" w:type="dxa"/>
          </w:tcPr>
          <w:p>
            <w:pPr>
              <w:pStyle w:val="0"/>
              <w:jc w:val="center"/>
            </w:pPr>
            <w:r>
              <w:rPr>
                <w:sz w:val="20"/>
              </w:rPr>
              <w:t xml:space="preserve">2,85</w:t>
            </w:r>
          </w:p>
        </w:tc>
        <w:tc>
          <w:tcPr>
            <w:tcW w:w="832" w:type="dxa"/>
          </w:tcPr>
          <w:p>
            <w:pPr>
              <w:pStyle w:val="0"/>
              <w:jc w:val="center"/>
            </w:pPr>
            <w:r>
              <w:rPr>
                <w:sz w:val="20"/>
              </w:rPr>
              <w:t xml:space="preserve">0,3</w:t>
            </w:r>
          </w:p>
        </w:tc>
        <w:tc>
          <w:tcPr>
            <w:tcW w:w="832" w:type="dxa"/>
          </w:tcPr>
          <w:p>
            <w:pPr>
              <w:pStyle w:val="0"/>
              <w:jc w:val="center"/>
            </w:pPr>
            <w:r>
              <w:rPr>
                <w:sz w:val="20"/>
              </w:rPr>
              <w:t xml:space="preserve">0,3</w:t>
            </w:r>
          </w:p>
        </w:tc>
        <w:tc>
          <w:tcPr>
            <w:tcW w:w="835" w:type="dxa"/>
          </w:tcPr>
          <w:p>
            <w:pPr>
              <w:pStyle w:val="0"/>
              <w:jc w:val="center"/>
            </w:pPr>
            <w:r>
              <w:rPr>
                <w:sz w:val="20"/>
              </w:rPr>
              <w:t xml:space="preserve">1,35</w:t>
            </w:r>
          </w:p>
        </w:tc>
        <w:tc>
          <w:tcPr>
            <w:tcW w:w="737" w:type="dxa"/>
          </w:tcPr>
          <w:p>
            <w:pPr>
              <w:pStyle w:val="0"/>
              <w:jc w:val="center"/>
            </w:pPr>
            <w:r>
              <w:rPr>
                <w:sz w:val="20"/>
              </w:rPr>
              <w:t xml:space="preserve">ИЖС</w:t>
            </w:r>
          </w:p>
        </w:tc>
        <w:tc>
          <w:tcPr>
            <w:tcW w:w="1134" w:type="dxa"/>
          </w:tcPr>
          <w:p>
            <w:pPr>
              <w:pStyle w:val="0"/>
              <w:jc w:val="center"/>
            </w:pPr>
            <w:r>
              <w:rPr>
                <w:sz w:val="20"/>
              </w:rPr>
              <w:t xml:space="preserve">физические лица</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имеется</w:t>
            </w:r>
          </w:p>
        </w:tc>
        <w:tc>
          <w:tcPr>
            <w:tcW w:w="856" w:type="dxa"/>
          </w:tcPr>
          <w:p>
            <w:pPr>
              <w:pStyle w:val="0"/>
              <w:jc w:val="center"/>
            </w:pPr>
            <w:r>
              <w:rPr>
                <w:sz w:val="20"/>
              </w:rPr>
              <w:t xml:space="preserve">2021</w:t>
            </w:r>
          </w:p>
        </w:tc>
        <w:tc>
          <w:tcPr>
            <w:tcW w:w="856" w:type="dxa"/>
          </w:tcPr>
          <w:p>
            <w:pPr>
              <w:pStyle w:val="0"/>
              <w:jc w:val="center"/>
            </w:pPr>
            <w:r>
              <w:rPr>
                <w:sz w:val="20"/>
              </w:rPr>
              <w:t xml:space="preserve">2021 - 2030</w:t>
            </w:r>
          </w:p>
        </w:tc>
        <w:tc>
          <w:tcPr>
            <w:tcW w:w="856" w:type="dxa"/>
          </w:tcPr>
          <w:p>
            <w:pPr>
              <w:pStyle w:val="0"/>
              <w:jc w:val="center"/>
            </w:pPr>
            <w:r>
              <w:rPr>
                <w:sz w:val="20"/>
              </w:rPr>
              <w:t xml:space="preserve">водоснабжение, электроснабжение. Завершен I этап строительства автомобильной дороги</w:t>
            </w:r>
          </w:p>
        </w:tc>
        <w:tc>
          <w:tcPr>
            <w:tcW w:w="1117" w:type="dxa"/>
          </w:tcPr>
          <w:p>
            <w:pPr>
              <w:pStyle w:val="0"/>
              <w:jc w:val="center"/>
            </w:pPr>
            <w:r>
              <w:rPr>
                <w:sz w:val="20"/>
              </w:rPr>
              <w:t xml:space="preserve">2021 - 2030</w:t>
            </w:r>
          </w:p>
        </w:tc>
        <w:tc>
          <w:tcPr>
            <w:tcW w:w="763" w:type="dxa"/>
          </w:tcPr>
          <w:p>
            <w:pPr>
              <w:pStyle w:val="0"/>
              <w:jc w:val="center"/>
            </w:pPr>
            <w:r>
              <w:rPr>
                <w:sz w:val="20"/>
              </w:rPr>
              <w:t xml:space="preserve">2022</w:t>
            </w:r>
          </w:p>
        </w:tc>
      </w:tr>
      <w:tr>
        <w:tc>
          <w:tcPr>
            <w:tcW w:w="567" w:type="dxa"/>
          </w:tcPr>
          <w:p>
            <w:pPr>
              <w:pStyle w:val="0"/>
              <w:jc w:val="center"/>
            </w:pPr>
            <w:r>
              <w:rPr>
                <w:sz w:val="20"/>
              </w:rPr>
              <w:t xml:space="preserve">46</w:t>
            </w:r>
          </w:p>
        </w:tc>
        <w:tc>
          <w:tcPr>
            <w:tcW w:w="2211" w:type="dxa"/>
          </w:tcPr>
          <w:p>
            <w:pPr>
              <w:pStyle w:val="0"/>
            </w:pPr>
            <w:r>
              <w:rPr>
                <w:sz w:val="20"/>
              </w:rPr>
              <w:t xml:space="preserve">П. Пятилетка</w:t>
            </w:r>
          </w:p>
        </w:tc>
        <w:tc>
          <w:tcPr>
            <w:tcW w:w="907" w:type="dxa"/>
          </w:tcPr>
          <w:p>
            <w:pPr>
              <w:pStyle w:val="0"/>
              <w:jc w:val="center"/>
            </w:pPr>
            <w:r>
              <w:rPr>
                <w:sz w:val="20"/>
              </w:rPr>
              <w:t xml:space="preserve">22,0</w:t>
            </w:r>
          </w:p>
        </w:tc>
        <w:tc>
          <w:tcPr>
            <w:tcW w:w="907" w:type="dxa"/>
          </w:tcPr>
          <w:p>
            <w:pPr>
              <w:pStyle w:val="0"/>
              <w:jc w:val="center"/>
            </w:pPr>
            <w:r>
              <w:rPr>
                <w:sz w:val="20"/>
              </w:rPr>
              <w:t xml:space="preserve">6,3</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1,5</w:t>
            </w:r>
          </w:p>
        </w:tc>
        <w:tc>
          <w:tcPr>
            <w:tcW w:w="737" w:type="dxa"/>
          </w:tcPr>
          <w:p>
            <w:pPr>
              <w:pStyle w:val="0"/>
              <w:jc w:val="center"/>
            </w:pPr>
            <w:r>
              <w:rPr>
                <w:sz w:val="20"/>
              </w:rPr>
              <w:t xml:space="preserve">ИЖС</w:t>
            </w:r>
          </w:p>
        </w:tc>
        <w:tc>
          <w:tcPr>
            <w:tcW w:w="1134" w:type="dxa"/>
          </w:tcPr>
          <w:p>
            <w:pPr>
              <w:pStyle w:val="0"/>
              <w:jc w:val="center"/>
            </w:pPr>
            <w:r>
              <w:rPr>
                <w:sz w:val="20"/>
              </w:rPr>
              <w:t xml:space="preserve">физические лица</w:t>
            </w:r>
          </w:p>
        </w:tc>
        <w:tc>
          <w:tcPr>
            <w:tcW w:w="992" w:type="dxa"/>
          </w:tcPr>
          <w:p>
            <w:pPr>
              <w:pStyle w:val="0"/>
              <w:jc w:val="center"/>
            </w:pPr>
            <w:r>
              <w:rPr>
                <w:sz w:val="20"/>
              </w:rPr>
              <w:t xml:space="preserve">2021</w:t>
            </w:r>
          </w:p>
        </w:tc>
        <w:tc>
          <w:tcPr>
            <w:tcW w:w="996" w:type="dxa"/>
          </w:tcPr>
          <w:p>
            <w:pPr>
              <w:pStyle w:val="0"/>
              <w:jc w:val="center"/>
            </w:pPr>
            <w:r>
              <w:rPr>
                <w:sz w:val="20"/>
              </w:rPr>
              <w:t xml:space="preserve">не имеется</w:t>
            </w:r>
          </w:p>
        </w:tc>
        <w:tc>
          <w:tcPr>
            <w:tcW w:w="856" w:type="dxa"/>
          </w:tcPr>
          <w:p>
            <w:pPr>
              <w:pStyle w:val="0"/>
              <w:jc w:val="center"/>
            </w:pPr>
            <w:r>
              <w:rPr>
                <w:sz w:val="20"/>
              </w:rPr>
              <w:t xml:space="preserve">2021 - 2023</w:t>
            </w:r>
          </w:p>
        </w:tc>
        <w:tc>
          <w:tcPr>
            <w:tcW w:w="856" w:type="dxa"/>
          </w:tcPr>
          <w:p>
            <w:pPr>
              <w:pStyle w:val="0"/>
              <w:jc w:val="center"/>
            </w:pPr>
            <w:r>
              <w:rPr>
                <w:sz w:val="20"/>
              </w:rPr>
              <w:t xml:space="preserve">2023 - 2030</w:t>
            </w:r>
          </w:p>
        </w:tc>
        <w:tc>
          <w:tcPr>
            <w:tcW w:w="856" w:type="dxa"/>
          </w:tcPr>
          <w:p>
            <w:pPr>
              <w:pStyle w:val="0"/>
              <w:jc w:val="center"/>
            </w:pPr>
            <w:r>
              <w:rPr>
                <w:sz w:val="20"/>
              </w:rPr>
              <w:t xml:space="preserve">2023 - 2025</w:t>
            </w:r>
          </w:p>
        </w:tc>
        <w:tc>
          <w:tcPr>
            <w:tcW w:w="1117" w:type="dxa"/>
          </w:tcPr>
          <w:p>
            <w:pPr>
              <w:pStyle w:val="0"/>
              <w:jc w:val="center"/>
            </w:pPr>
            <w:r>
              <w:rPr>
                <w:sz w:val="20"/>
              </w:rPr>
              <w:t xml:space="preserve">2025 - 2030</w:t>
            </w:r>
          </w:p>
        </w:tc>
        <w:tc>
          <w:tcPr>
            <w:tcW w:w="763" w:type="dxa"/>
          </w:tcPr>
          <w:p>
            <w:pPr>
              <w:pStyle w:val="0"/>
              <w:jc w:val="center"/>
            </w:pPr>
            <w:r>
              <w:rPr>
                <w:sz w:val="20"/>
              </w:rPr>
              <w:t xml:space="preserve">2030</w:t>
            </w:r>
          </w:p>
        </w:tc>
      </w:tr>
      <w:tr>
        <w:tc>
          <w:tcPr>
            <w:tcW w:w="567" w:type="dxa"/>
          </w:tcPr>
          <w:p>
            <w:pPr>
              <w:pStyle w:val="0"/>
              <w:jc w:val="center"/>
            </w:pPr>
            <w:r>
              <w:rPr>
                <w:sz w:val="20"/>
              </w:rPr>
              <w:t xml:space="preserve">47</w:t>
            </w:r>
          </w:p>
        </w:tc>
        <w:tc>
          <w:tcPr>
            <w:tcW w:w="2211" w:type="dxa"/>
          </w:tcPr>
          <w:p>
            <w:pPr>
              <w:pStyle w:val="0"/>
            </w:pPr>
            <w:r>
              <w:rPr>
                <w:sz w:val="20"/>
              </w:rPr>
              <w:t xml:space="preserve">П. Искра</w:t>
            </w:r>
          </w:p>
        </w:tc>
        <w:tc>
          <w:tcPr>
            <w:tcW w:w="907" w:type="dxa"/>
          </w:tcPr>
          <w:p>
            <w:pPr>
              <w:pStyle w:val="0"/>
              <w:jc w:val="center"/>
            </w:pPr>
            <w:r>
              <w:rPr>
                <w:sz w:val="20"/>
              </w:rPr>
              <w:t xml:space="preserve">24,0</w:t>
            </w:r>
          </w:p>
        </w:tc>
        <w:tc>
          <w:tcPr>
            <w:tcW w:w="907" w:type="dxa"/>
          </w:tcPr>
          <w:p>
            <w:pPr>
              <w:pStyle w:val="0"/>
              <w:jc w:val="center"/>
            </w:pPr>
            <w:r>
              <w:rPr>
                <w:sz w:val="20"/>
              </w:rPr>
              <w:t xml:space="preserve">5,8</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0,5</w:t>
            </w:r>
          </w:p>
        </w:tc>
        <w:tc>
          <w:tcPr>
            <w:tcW w:w="737" w:type="dxa"/>
          </w:tcPr>
          <w:p>
            <w:pPr>
              <w:pStyle w:val="0"/>
              <w:jc w:val="center"/>
            </w:pPr>
            <w:r>
              <w:rPr>
                <w:sz w:val="20"/>
              </w:rPr>
              <w:t xml:space="preserve">ИЖС</w:t>
            </w:r>
          </w:p>
        </w:tc>
        <w:tc>
          <w:tcPr>
            <w:tcW w:w="1134" w:type="dxa"/>
          </w:tcPr>
          <w:p>
            <w:pPr>
              <w:pStyle w:val="0"/>
              <w:jc w:val="center"/>
            </w:pPr>
            <w:r>
              <w:rPr>
                <w:sz w:val="20"/>
              </w:rPr>
              <w:t xml:space="preserve">физические лица</w:t>
            </w:r>
          </w:p>
        </w:tc>
        <w:tc>
          <w:tcPr>
            <w:tcW w:w="992" w:type="dxa"/>
          </w:tcPr>
          <w:p>
            <w:pPr>
              <w:pStyle w:val="0"/>
              <w:jc w:val="center"/>
            </w:pPr>
            <w:r>
              <w:rPr>
                <w:sz w:val="20"/>
              </w:rPr>
              <w:t xml:space="preserve">2022 - 2023</w:t>
            </w:r>
          </w:p>
        </w:tc>
        <w:tc>
          <w:tcPr>
            <w:tcW w:w="996" w:type="dxa"/>
          </w:tcPr>
          <w:p>
            <w:pPr>
              <w:pStyle w:val="0"/>
              <w:jc w:val="center"/>
            </w:pPr>
            <w:r>
              <w:rPr>
                <w:sz w:val="20"/>
              </w:rPr>
              <w:t xml:space="preserve">не имеется</w:t>
            </w:r>
          </w:p>
        </w:tc>
        <w:tc>
          <w:tcPr>
            <w:tcW w:w="856" w:type="dxa"/>
          </w:tcPr>
          <w:p>
            <w:pPr>
              <w:pStyle w:val="0"/>
              <w:jc w:val="center"/>
            </w:pPr>
            <w:r>
              <w:rPr>
                <w:sz w:val="20"/>
              </w:rPr>
              <w:t xml:space="preserve">2023 - 2025</w:t>
            </w:r>
          </w:p>
        </w:tc>
        <w:tc>
          <w:tcPr>
            <w:tcW w:w="856" w:type="dxa"/>
          </w:tcPr>
          <w:p>
            <w:pPr>
              <w:pStyle w:val="0"/>
              <w:jc w:val="center"/>
            </w:pPr>
            <w:r>
              <w:rPr>
                <w:sz w:val="20"/>
              </w:rPr>
              <w:t xml:space="preserve">2025 - 2030</w:t>
            </w:r>
          </w:p>
        </w:tc>
        <w:tc>
          <w:tcPr>
            <w:tcW w:w="856" w:type="dxa"/>
          </w:tcPr>
          <w:p>
            <w:pPr>
              <w:pStyle w:val="0"/>
              <w:jc w:val="center"/>
            </w:pPr>
            <w:r>
              <w:rPr>
                <w:sz w:val="20"/>
              </w:rPr>
              <w:t xml:space="preserve">2025 - 2030</w:t>
            </w:r>
          </w:p>
        </w:tc>
        <w:tc>
          <w:tcPr>
            <w:tcW w:w="1117" w:type="dxa"/>
          </w:tcPr>
          <w:p>
            <w:pPr>
              <w:pStyle w:val="0"/>
              <w:jc w:val="center"/>
            </w:pPr>
            <w:r>
              <w:rPr>
                <w:sz w:val="20"/>
              </w:rPr>
              <w:t xml:space="preserve">2025 - 2030</w:t>
            </w:r>
          </w:p>
        </w:tc>
        <w:tc>
          <w:tcPr>
            <w:tcW w:w="763" w:type="dxa"/>
          </w:tcPr>
          <w:p>
            <w:pPr>
              <w:pStyle w:val="0"/>
              <w:jc w:val="center"/>
            </w:pPr>
            <w:r>
              <w:rPr>
                <w:sz w:val="20"/>
              </w:rPr>
              <w:t xml:space="preserve">2030</w:t>
            </w:r>
          </w:p>
        </w:tc>
      </w:tr>
      <w:tr>
        <w:tc>
          <w:tcPr>
            <w:gridSpan w:val="18"/>
            <w:tcW w:w="17062" w:type="dxa"/>
          </w:tcPr>
          <w:p>
            <w:pPr>
              <w:pStyle w:val="0"/>
              <w:outlineLvl w:val="2"/>
            </w:pPr>
            <w:r>
              <w:rPr>
                <w:sz w:val="20"/>
              </w:rPr>
              <w:t xml:space="preserve">Чистоозерный район</w:t>
            </w:r>
          </w:p>
        </w:tc>
      </w:tr>
      <w:tr>
        <w:tc>
          <w:tcPr>
            <w:tcW w:w="567" w:type="dxa"/>
          </w:tcPr>
          <w:p>
            <w:pPr>
              <w:pStyle w:val="0"/>
              <w:jc w:val="center"/>
            </w:pPr>
            <w:r>
              <w:rPr>
                <w:sz w:val="20"/>
              </w:rPr>
              <w:t xml:space="preserve">48</w:t>
            </w:r>
          </w:p>
        </w:tc>
        <w:tc>
          <w:tcPr>
            <w:tcW w:w="2211" w:type="dxa"/>
          </w:tcPr>
          <w:p>
            <w:pPr>
              <w:pStyle w:val="0"/>
            </w:pPr>
            <w:r>
              <w:rPr>
                <w:sz w:val="20"/>
              </w:rPr>
              <w:t xml:space="preserve">Р.п. Чистоозерное, ул. Сорокина</w:t>
            </w:r>
          </w:p>
        </w:tc>
        <w:tc>
          <w:tcPr>
            <w:tcW w:w="907" w:type="dxa"/>
          </w:tcPr>
          <w:p>
            <w:pPr>
              <w:pStyle w:val="0"/>
              <w:jc w:val="center"/>
            </w:pPr>
            <w:r>
              <w:rPr>
                <w:sz w:val="20"/>
              </w:rPr>
              <w:t xml:space="preserve">12,5</w:t>
            </w:r>
          </w:p>
        </w:tc>
        <w:tc>
          <w:tcPr>
            <w:tcW w:w="907" w:type="dxa"/>
          </w:tcPr>
          <w:p>
            <w:pPr>
              <w:pStyle w:val="0"/>
              <w:jc w:val="center"/>
            </w:pPr>
            <w:r>
              <w:rPr>
                <w:sz w:val="20"/>
              </w:rPr>
              <w:t xml:space="preserve">4,3</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не определен</w:t>
            </w:r>
          </w:p>
        </w:tc>
        <w:tc>
          <w:tcPr>
            <w:tcW w:w="992" w:type="dxa"/>
          </w:tcPr>
          <w:p>
            <w:pPr>
              <w:pStyle w:val="0"/>
              <w:jc w:val="center"/>
            </w:pPr>
            <w:r>
              <w:rPr>
                <w:sz w:val="20"/>
              </w:rPr>
              <w:t xml:space="preserve">2020 - 2023</w:t>
            </w:r>
          </w:p>
        </w:tc>
        <w:tc>
          <w:tcPr>
            <w:tcW w:w="996" w:type="dxa"/>
          </w:tcPr>
          <w:p>
            <w:pPr>
              <w:pStyle w:val="0"/>
              <w:jc w:val="center"/>
            </w:pPr>
            <w:r>
              <w:rPr>
                <w:sz w:val="20"/>
              </w:rPr>
              <w:t xml:space="preserve">2024</w:t>
            </w:r>
          </w:p>
        </w:tc>
        <w:tc>
          <w:tcPr>
            <w:tcW w:w="856" w:type="dxa"/>
          </w:tcPr>
          <w:p>
            <w:pPr>
              <w:pStyle w:val="0"/>
              <w:jc w:val="center"/>
            </w:pPr>
            <w:r>
              <w:rPr>
                <w:sz w:val="20"/>
              </w:rPr>
              <w:t xml:space="preserve">2024</w:t>
            </w:r>
          </w:p>
        </w:tc>
        <w:tc>
          <w:tcPr>
            <w:tcW w:w="856" w:type="dxa"/>
          </w:tcPr>
          <w:p>
            <w:pPr>
              <w:pStyle w:val="0"/>
              <w:jc w:val="center"/>
            </w:pPr>
            <w:r>
              <w:rPr>
                <w:sz w:val="20"/>
              </w:rPr>
              <w:t xml:space="preserve">2025</w:t>
            </w:r>
          </w:p>
        </w:tc>
        <w:tc>
          <w:tcPr>
            <w:tcW w:w="856" w:type="dxa"/>
          </w:tcPr>
          <w:p>
            <w:pPr>
              <w:pStyle w:val="0"/>
              <w:jc w:val="center"/>
            </w:pPr>
            <w:r>
              <w:rPr>
                <w:sz w:val="20"/>
              </w:rPr>
              <w:t xml:space="preserve">2025 - 2028</w:t>
            </w:r>
          </w:p>
        </w:tc>
        <w:tc>
          <w:tcPr>
            <w:tcW w:w="1117" w:type="dxa"/>
          </w:tcPr>
          <w:p>
            <w:pPr>
              <w:pStyle w:val="0"/>
              <w:jc w:val="center"/>
            </w:pPr>
            <w:r>
              <w:rPr>
                <w:sz w:val="20"/>
              </w:rPr>
              <w:t xml:space="preserve">2025 - 2028</w:t>
            </w:r>
          </w:p>
        </w:tc>
        <w:tc>
          <w:tcPr>
            <w:tcW w:w="763" w:type="dxa"/>
          </w:tcPr>
          <w:p>
            <w:pPr>
              <w:pStyle w:val="0"/>
              <w:jc w:val="center"/>
            </w:pPr>
            <w:r>
              <w:rPr>
                <w:sz w:val="20"/>
              </w:rPr>
              <w:t xml:space="preserve">2025 - 2028</w:t>
            </w:r>
          </w:p>
        </w:tc>
      </w:tr>
      <w:tr>
        <w:tc>
          <w:tcPr>
            <w:tcW w:w="567" w:type="dxa"/>
          </w:tcPr>
          <w:p>
            <w:pPr>
              <w:pStyle w:val="0"/>
              <w:jc w:val="center"/>
            </w:pPr>
            <w:r>
              <w:rPr>
                <w:sz w:val="20"/>
              </w:rPr>
              <w:t xml:space="preserve">49</w:t>
            </w:r>
          </w:p>
        </w:tc>
        <w:tc>
          <w:tcPr>
            <w:tcW w:w="2211" w:type="dxa"/>
          </w:tcPr>
          <w:p>
            <w:pPr>
              <w:pStyle w:val="0"/>
            </w:pPr>
            <w:r>
              <w:rPr>
                <w:sz w:val="20"/>
              </w:rPr>
              <w:t xml:space="preserve">Р.п. Чистоозерное, ул. Южная</w:t>
            </w:r>
          </w:p>
        </w:tc>
        <w:tc>
          <w:tcPr>
            <w:tcW w:w="907" w:type="dxa"/>
          </w:tcPr>
          <w:p>
            <w:pPr>
              <w:pStyle w:val="0"/>
              <w:jc w:val="center"/>
            </w:pPr>
            <w:r>
              <w:rPr>
                <w:sz w:val="20"/>
              </w:rPr>
              <w:t xml:space="preserve">20,97</w:t>
            </w:r>
          </w:p>
        </w:tc>
        <w:tc>
          <w:tcPr>
            <w:tcW w:w="907" w:type="dxa"/>
          </w:tcPr>
          <w:p>
            <w:pPr>
              <w:pStyle w:val="0"/>
              <w:jc w:val="center"/>
            </w:pPr>
            <w:r>
              <w:rPr>
                <w:sz w:val="20"/>
              </w:rPr>
              <w:t xml:space="preserve">7,2</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ИЖС/малоэтажная</w:t>
            </w:r>
          </w:p>
        </w:tc>
        <w:tc>
          <w:tcPr>
            <w:tcW w:w="1134" w:type="dxa"/>
          </w:tcPr>
          <w:p>
            <w:pPr>
              <w:pStyle w:val="0"/>
              <w:jc w:val="center"/>
            </w:pPr>
            <w:r>
              <w:rPr>
                <w:sz w:val="20"/>
              </w:rPr>
              <w:t xml:space="preserve">не определен</w:t>
            </w:r>
          </w:p>
        </w:tc>
        <w:tc>
          <w:tcPr>
            <w:tcW w:w="992" w:type="dxa"/>
          </w:tcPr>
          <w:p>
            <w:pPr>
              <w:pStyle w:val="0"/>
              <w:jc w:val="center"/>
            </w:pPr>
            <w:r>
              <w:rPr>
                <w:sz w:val="20"/>
              </w:rPr>
              <w:t xml:space="preserve">2025 - 2027</w:t>
            </w:r>
          </w:p>
        </w:tc>
        <w:tc>
          <w:tcPr>
            <w:tcW w:w="996" w:type="dxa"/>
          </w:tcPr>
          <w:p>
            <w:pPr>
              <w:pStyle w:val="0"/>
              <w:jc w:val="center"/>
            </w:pPr>
            <w:r>
              <w:rPr>
                <w:sz w:val="20"/>
              </w:rPr>
              <w:t xml:space="preserve">2028</w:t>
            </w:r>
          </w:p>
        </w:tc>
        <w:tc>
          <w:tcPr>
            <w:tcW w:w="856" w:type="dxa"/>
          </w:tcPr>
          <w:p>
            <w:pPr>
              <w:pStyle w:val="0"/>
              <w:jc w:val="center"/>
            </w:pPr>
            <w:r>
              <w:rPr>
                <w:sz w:val="20"/>
              </w:rPr>
              <w:t xml:space="preserve">2028</w:t>
            </w:r>
          </w:p>
        </w:tc>
        <w:tc>
          <w:tcPr>
            <w:tcW w:w="856" w:type="dxa"/>
          </w:tcPr>
          <w:p>
            <w:pPr>
              <w:pStyle w:val="0"/>
              <w:jc w:val="center"/>
            </w:pPr>
            <w:r>
              <w:rPr>
                <w:sz w:val="20"/>
              </w:rPr>
              <w:t xml:space="preserve">2029</w:t>
            </w:r>
          </w:p>
        </w:tc>
        <w:tc>
          <w:tcPr>
            <w:tcW w:w="856" w:type="dxa"/>
          </w:tcPr>
          <w:p>
            <w:pPr>
              <w:pStyle w:val="0"/>
              <w:jc w:val="center"/>
            </w:pPr>
            <w:r>
              <w:rPr>
                <w:sz w:val="20"/>
              </w:rPr>
              <w:t xml:space="preserve">2029 - 2032</w:t>
            </w:r>
          </w:p>
        </w:tc>
        <w:tc>
          <w:tcPr>
            <w:tcW w:w="1117" w:type="dxa"/>
          </w:tcPr>
          <w:p>
            <w:pPr>
              <w:pStyle w:val="0"/>
              <w:jc w:val="center"/>
            </w:pPr>
            <w:r>
              <w:rPr>
                <w:sz w:val="20"/>
              </w:rPr>
              <w:t xml:space="preserve">2029 - 2032</w:t>
            </w:r>
          </w:p>
        </w:tc>
        <w:tc>
          <w:tcPr>
            <w:tcW w:w="763" w:type="dxa"/>
          </w:tcPr>
          <w:p>
            <w:pPr>
              <w:pStyle w:val="0"/>
              <w:jc w:val="center"/>
            </w:pPr>
            <w:r>
              <w:rPr>
                <w:sz w:val="20"/>
              </w:rPr>
              <w:t xml:space="preserve">2029 - 2032</w:t>
            </w:r>
          </w:p>
        </w:tc>
      </w:tr>
      <w:tr>
        <w:tc>
          <w:tcPr>
            <w:gridSpan w:val="18"/>
            <w:tcW w:w="17062" w:type="dxa"/>
          </w:tcPr>
          <w:p>
            <w:pPr>
              <w:pStyle w:val="0"/>
              <w:outlineLvl w:val="2"/>
            </w:pPr>
            <w:r>
              <w:rPr>
                <w:sz w:val="20"/>
              </w:rPr>
              <w:t xml:space="preserve">Чулымский район</w:t>
            </w:r>
          </w:p>
        </w:tc>
      </w:tr>
      <w:tr>
        <w:tc>
          <w:tcPr>
            <w:tcW w:w="567" w:type="dxa"/>
          </w:tcPr>
          <w:p>
            <w:pPr>
              <w:pStyle w:val="0"/>
              <w:jc w:val="center"/>
            </w:pPr>
            <w:r>
              <w:rPr>
                <w:sz w:val="20"/>
              </w:rPr>
              <w:t xml:space="preserve">50</w:t>
            </w:r>
          </w:p>
        </w:tc>
        <w:tc>
          <w:tcPr>
            <w:tcW w:w="2211" w:type="dxa"/>
          </w:tcPr>
          <w:p>
            <w:pPr>
              <w:pStyle w:val="0"/>
            </w:pPr>
            <w:r>
              <w:rPr>
                <w:sz w:val="20"/>
              </w:rPr>
              <w:t xml:space="preserve">Г. Чулым, Чулымский район. Микрорайон Дорожный</w:t>
            </w:r>
          </w:p>
        </w:tc>
        <w:tc>
          <w:tcPr>
            <w:tcW w:w="907" w:type="dxa"/>
          </w:tcPr>
          <w:p>
            <w:pPr>
              <w:pStyle w:val="0"/>
              <w:jc w:val="center"/>
            </w:pPr>
            <w:r>
              <w:rPr>
                <w:sz w:val="20"/>
              </w:rPr>
              <w:t xml:space="preserve">50,1</w:t>
            </w:r>
          </w:p>
        </w:tc>
        <w:tc>
          <w:tcPr>
            <w:tcW w:w="907" w:type="dxa"/>
          </w:tcPr>
          <w:p>
            <w:pPr>
              <w:pStyle w:val="0"/>
              <w:jc w:val="center"/>
            </w:pPr>
            <w:r>
              <w:rPr>
                <w:sz w:val="20"/>
              </w:rPr>
              <w:t xml:space="preserve">3,8</w:t>
            </w:r>
          </w:p>
        </w:tc>
        <w:tc>
          <w:tcPr>
            <w:tcW w:w="832" w:type="dxa"/>
          </w:tcPr>
          <w:p>
            <w:pPr>
              <w:pStyle w:val="0"/>
              <w:jc w:val="center"/>
            </w:pPr>
            <w:r>
              <w:rPr>
                <w:sz w:val="20"/>
              </w:rPr>
              <w:t xml:space="preserve">2,2</w:t>
            </w:r>
          </w:p>
        </w:tc>
        <w:tc>
          <w:tcPr>
            <w:tcW w:w="832" w:type="dxa"/>
          </w:tcPr>
          <w:p>
            <w:pPr>
              <w:pStyle w:val="0"/>
              <w:jc w:val="center"/>
            </w:pPr>
            <w:r>
              <w:rPr>
                <w:sz w:val="20"/>
              </w:rPr>
              <w:t xml:space="preserve">0,1</w:t>
            </w:r>
          </w:p>
        </w:tc>
        <w:tc>
          <w:tcPr>
            <w:tcW w:w="832" w:type="dxa"/>
          </w:tcPr>
          <w:p>
            <w:pPr>
              <w:pStyle w:val="0"/>
              <w:jc w:val="center"/>
            </w:pPr>
            <w:r>
              <w:rPr>
                <w:sz w:val="20"/>
              </w:rPr>
              <w:t xml:space="preserve">0,1</w:t>
            </w:r>
          </w:p>
        </w:tc>
        <w:tc>
          <w:tcPr>
            <w:tcW w:w="832" w:type="dxa"/>
          </w:tcPr>
          <w:p>
            <w:pPr>
              <w:pStyle w:val="0"/>
              <w:jc w:val="center"/>
            </w:pPr>
            <w:r>
              <w:rPr>
                <w:sz w:val="20"/>
              </w:rPr>
              <w:t xml:space="preserve">0,5</w:t>
            </w:r>
          </w:p>
        </w:tc>
        <w:tc>
          <w:tcPr>
            <w:tcW w:w="835" w:type="dxa"/>
          </w:tcPr>
          <w:p>
            <w:pPr>
              <w:pStyle w:val="0"/>
              <w:jc w:val="center"/>
            </w:pPr>
            <w:r>
              <w:rPr>
                <w:sz w:val="20"/>
              </w:rPr>
              <w:t xml:space="preserve">1,1</w:t>
            </w:r>
          </w:p>
        </w:tc>
        <w:tc>
          <w:tcPr>
            <w:tcW w:w="737" w:type="dxa"/>
          </w:tcPr>
          <w:p>
            <w:pPr>
              <w:pStyle w:val="0"/>
              <w:jc w:val="center"/>
            </w:pPr>
            <w:r>
              <w:rPr>
                <w:sz w:val="20"/>
              </w:rPr>
              <w:t xml:space="preserve">ИЖС, малоэтажное</w:t>
            </w:r>
          </w:p>
        </w:tc>
        <w:tc>
          <w:tcPr>
            <w:tcW w:w="1134" w:type="dxa"/>
          </w:tcPr>
          <w:p>
            <w:pPr>
              <w:pStyle w:val="0"/>
              <w:jc w:val="center"/>
            </w:pPr>
            <w:r>
              <w:rPr>
                <w:sz w:val="20"/>
              </w:rPr>
              <w:t xml:space="preserve">частные лица</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2019</w:t>
            </w:r>
          </w:p>
        </w:tc>
        <w:tc>
          <w:tcPr>
            <w:tcW w:w="1117" w:type="dxa"/>
          </w:tcPr>
          <w:p>
            <w:pPr>
              <w:pStyle w:val="0"/>
              <w:jc w:val="center"/>
            </w:pPr>
            <w:r>
              <w:rPr>
                <w:sz w:val="20"/>
              </w:rPr>
              <w:t xml:space="preserve">2020</w:t>
            </w:r>
          </w:p>
        </w:tc>
        <w:tc>
          <w:tcPr>
            <w:tcW w:w="763" w:type="dxa"/>
          </w:tcPr>
          <w:p>
            <w:pPr>
              <w:pStyle w:val="0"/>
              <w:jc w:val="center"/>
            </w:pPr>
            <w:r>
              <w:rPr>
                <w:sz w:val="20"/>
              </w:rPr>
              <w:t xml:space="preserve">2022</w:t>
            </w:r>
          </w:p>
        </w:tc>
      </w:tr>
      <w:tr>
        <w:tc>
          <w:tcPr>
            <w:gridSpan w:val="18"/>
            <w:tcW w:w="17062" w:type="dxa"/>
          </w:tcPr>
          <w:p>
            <w:pPr>
              <w:pStyle w:val="0"/>
              <w:outlineLvl w:val="2"/>
            </w:pPr>
            <w:r>
              <w:rPr>
                <w:sz w:val="20"/>
              </w:rPr>
              <w:t xml:space="preserve">г. Новосибирск</w:t>
            </w:r>
          </w:p>
        </w:tc>
      </w:tr>
      <w:tr>
        <w:tblPrEx>
          <w:tblBorders>
            <w:insideH w:val="nil"/>
          </w:tblBorders>
        </w:tblPrEx>
        <w:tc>
          <w:tcPr>
            <w:tcW w:w="567" w:type="dxa"/>
            <w:tcBorders>
              <w:bottom w:val="nil"/>
            </w:tcBorders>
          </w:tcPr>
          <w:p>
            <w:pPr>
              <w:pStyle w:val="0"/>
              <w:jc w:val="center"/>
            </w:pPr>
            <w:r>
              <w:rPr>
                <w:sz w:val="20"/>
              </w:rPr>
              <w:t xml:space="preserve">51</w:t>
            </w:r>
          </w:p>
        </w:tc>
        <w:tc>
          <w:tcPr>
            <w:tcW w:w="2211" w:type="dxa"/>
            <w:tcBorders>
              <w:bottom w:val="nil"/>
            </w:tcBorders>
          </w:tcPr>
          <w:p>
            <w:pPr>
              <w:pStyle w:val="0"/>
            </w:pPr>
            <w:r>
              <w:rPr>
                <w:sz w:val="20"/>
              </w:rPr>
              <w:t xml:space="preserve">Жилой микрорайон Родники г. Новосибирска, п. Клюквенный и Станционный сельсовет Новосибирского района</w:t>
            </w:r>
          </w:p>
        </w:tc>
        <w:tc>
          <w:tcPr>
            <w:tcW w:w="907" w:type="dxa"/>
            <w:tcBorders>
              <w:bottom w:val="nil"/>
            </w:tcBorders>
          </w:tcPr>
          <w:p>
            <w:pPr>
              <w:pStyle w:val="0"/>
              <w:jc w:val="center"/>
            </w:pPr>
            <w:r>
              <w:rPr>
                <w:sz w:val="20"/>
              </w:rPr>
              <w:t xml:space="preserve">453,0</w:t>
            </w:r>
          </w:p>
        </w:tc>
        <w:tc>
          <w:tcPr>
            <w:tcW w:w="907" w:type="dxa"/>
            <w:tcBorders>
              <w:bottom w:val="nil"/>
            </w:tcBorders>
          </w:tcPr>
          <w:p>
            <w:pPr>
              <w:pStyle w:val="0"/>
              <w:jc w:val="center"/>
            </w:pPr>
            <w:r>
              <w:rPr>
                <w:sz w:val="20"/>
              </w:rPr>
              <w:t xml:space="preserve">3171,0</w:t>
            </w:r>
          </w:p>
        </w:tc>
        <w:tc>
          <w:tcPr>
            <w:tcW w:w="832" w:type="dxa"/>
            <w:tcBorders>
              <w:bottom w:val="nil"/>
            </w:tcBorders>
          </w:tcPr>
          <w:p>
            <w:pPr>
              <w:pStyle w:val="0"/>
              <w:jc w:val="center"/>
            </w:pPr>
            <w:r>
              <w:rPr>
                <w:sz w:val="20"/>
              </w:rPr>
              <w:t xml:space="preserve">1325,9</w:t>
            </w:r>
          </w:p>
        </w:tc>
        <w:tc>
          <w:tcPr>
            <w:tcW w:w="832" w:type="dxa"/>
            <w:tcBorders>
              <w:bottom w:val="nil"/>
            </w:tcBorders>
          </w:tcPr>
          <w:p>
            <w:pPr>
              <w:pStyle w:val="0"/>
              <w:jc w:val="center"/>
            </w:pPr>
            <w:r>
              <w:rPr>
                <w:sz w:val="20"/>
              </w:rPr>
              <w:t xml:space="preserve">197,1</w:t>
            </w:r>
          </w:p>
        </w:tc>
        <w:tc>
          <w:tcPr>
            <w:tcW w:w="832" w:type="dxa"/>
            <w:tcBorders>
              <w:bottom w:val="nil"/>
            </w:tcBorders>
          </w:tcPr>
          <w:p>
            <w:pPr>
              <w:pStyle w:val="0"/>
              <w:jc w:val="center"/>
            </w:pPr>
            <w:r>
              <w:rPr>
                <w:sz w:val="20"/>
              </w:rPr>
              <w:t xml:space="preserve">118,2</w:t>
            </w:r>
          </w:p>
        </w:tc>
        <w:tc>
          <w:tcPr>
            <w:tcW w:w="832" w:type="dxa"/>
            <w:tcBorders>
              <w:bottom w:val="nil"/>
            </w:tcBorders>
          </w:tcPr>
          <w:p>
            <w:pPr>
              <w:pStyle w:val="0"/>
              <w:jc w:val="center"/>
            </w:pPr>
            <w:r>
              <w:rPr>
                <w:sz w:val="20"/>
              </w:rPr>
              <w:t xml:space="preserve">614,8</w:t>
            </w:r>
          </w:p>
        </w:tc>
        <w:tc>
          <w:tcPr>
            <w:tcW w:w="835" w:type="dxa"/>
            <w:tcBorders>
              <w:bottom w:val="nil"/>
            </w:tcBorders>
          </w:tcPr>
          <w:p>
            <w:pPr>
              <w:pStyle w:val="0"/>
              <w:jc w:val="center"/>
            </w:pPr>
            <w:r>
              <w:rPr>
                <w:sz w:val="20"/>
              </w:rPr>
              <w:t xml:space="preserve">542,8</w:t>
            </w:r>
          </w:p>
        </w:tc>
        <w:tc>
          <w:tcPr>
            <w:tcW w:w="737" w:type="dxa"/>
            <w:tcBorders>
              <w:bottom w:val="nil"/>
            </w:tcBorders>
          </w:tcPr>
          <w:p>
            <w:pPr>
              <w:pStyle w:val="0"/>
              <w:jc w:val="center"/>
            </w:pPr>
            <w:r>
              <w:rPr>
                <w:sz w:val="20"/>
              </w:rPr>
              <w:t xml:space="preserve">малоэтажная, среднеэтажная, многоэтажная</w:t>
            </w:r>
          </w:p>
        </w:tc>
        <w:tc>
          <w:tcPr>
            <w:tcW w:w="1134" w:type="dxa"/>
            <w:tcBorders>
              <w:bottom w:val="nil"/>
            </w:tcBorders>
          </w:tcPr>
          <w:p>
            <w:pPr>
              <w:pStyle w:val="0"/>
              <w:jc w:val="center"/>
            </w:pPr>
            <w:r>
              <w:rPr>
                <w:sz w:val="20"/>
              </w:rPr>
              <w:t xml:space="preserve">ООО "Энергомонтаж", ОАО "Главновосибирскстрой", ООО "Сибакадемстрой Холдинг", ЗАО "СД Альфа-Капитал", ООО "Новоторг-Сиб", ООО "Мера Новосибирск", ООО ХК "ГК "СТРИЖИ", ООО СЗ "ОНЕГА", ООО СЗ "Квартал", ООО СЗ "ВИРА-Строй-Девелопмент", ООО СЗ "Энергострой", ООО "Промагрокапитал", ООО СЗ "Инфинити", ООО СЗ "ВейкПарк"/ООО "СЗ ДСК КПД Газстрой"</w:t>
            </w:r>
          </w:p>
        </w:tc>
        <w:tc>
          <w:tcPr>
            <w:tcW w:w="992" w:type="dxa"/>
            <w:tcBorders>
              <w:bottom w:val="nil"/>
            </w:tcBorders>
          </w:tcPr>
          <w:p>
            <w:pPr>
              <w:pStyle w:val="0"/>
              <w:jc w:val="center"/>
            </w:pPr>
            <w:r>
              <w:rPr>
                <w:sz w:val="20"/>
              </w:rPr>
              <w:t xml:space="preserve">2022 - 2024</w:t>
            </w:r>
          </w:p>
        </w:tc>
        <w:tc>
          <w:tcPr>
            <w:tcW w:w="996" w:type="dxa"/>
            <w:tcBorders>
              <w:bottom w:val="nil"/>
            </w:tcBorders>
          </w:tcPr>
          <w:p>
            <w:pPr>
              <w:pStyle w:val="0"/>
              <w:jc w:val="center"/>
            </w:pPr>
            <w:r>
              <w:rPr>
                <w:sz w:val="20"/>
              </w:rPr>
              <w:t xml:space="preserve">2022 - 2026</w:t>
            </w:r>
          </w:p>
        </w:tc>
        <w:tc>
          <w:tcPr>
            <w:tcW w:w="856" w:type="dxa"/>
            <w:tcBorders>
              <w:bottom w:val="nil"/>
            </w:tcBorders>
          </w:tcPr>
          <w:p>
            <w:pPr>
              <w:pStyle w:val="0"/>
              <w:jc w:val="center"/>
            </w:pPr>
            <w:r>
              <w:rPr>
                <w:sz w:val="20"/>
              </w:rPr>
              <w:t xml:space="preserve">2022 - 2030</w:t>
            </w:r>
          </w:p>
        </w:tc>
        <w:tc>
          <w:tcPr>
            <w:tcW w:w="856" w:type="dxa"/>
            <w:tcBorders>
              <w:bottom w:val="nil"/>
            </w:tcBorders>
          </w:tcPr>
          <w:p>
            <w:pPr>
              <w:pStyle w:val="0"/>
              <w:jc w:val="center"/>
            </w:pPr>
            <w:r>
              <w:rPr>
                <w:sz w:val="20"/>
              </w:rPr>
              <w:t xml:space="preserve">2022 - 2026</w:t>
            </w:r>
          </w:p>
        </w:tc>
        <w:tc>
          <w:tcPr>
            <w:tcW w:w="856" w:type="dxa"/>
            <w:tcBorders>
              <w:bottom w:val="nil"/>
            </w:tcBorders>
          </w:tcPr>
          <w:p>
            <w:pPr>
              <w:pStyle w:val="0"/>
              <w:jc w:val="center"/>
            </w:pPr>
            <w:r>
              <w:rPr>
                <w:sz w:val="20"/>
              </w:rPr>
              <w:t xml:space="preserve">2022 - 2028</w:t>
            </w:r>
          </w:p>
        </w:tc>
        <w:tc>
          <w:tcPr>
            <w:tcW w:w="1117" w:type="dxa"/>
            <w:tcBorders>
              <w:bottom w:val="nil"/>
            </w:tcBorders>
          </w:tcPr>
          <w:p>
            <w:pPr>
              <w:pStyle w:val="0"/>
              <w:jc w:val="center"/>
            </w:pPr>
            <w:r>
              <w:rPr>
                <w:sz w:val="20"/>
              </w:rPr>
              <w:t xml:space="preserve">2022 - 2030</w:t>
            </w:r>
          </w:p>
        </w:tc>
        <w:tc>
          <w:tcPr>
            <w:tcW w:w="763" w:type="dxa"/>
            <w:tcBorders>
              <w:bottom w:val="nil"/>
            </w:tcBorders>
          </w:tcPr>
          <w:p>
            <w:pPr>
              <w:pStyle w:val="0"/>
              <w:jc w:val="center"/>
            </w:pPr>
            <w:r>
              <w:rPr>
                <w:sz w:val="20"/>
              </w:rPr>
              <w:t xml:space="preserve">2022 - 2030</w:t>
            </w:r>
          </w:p>
        </w:tc>
      </w:tr>
      <w:tr>
        <w:tblPrEx>
          <w:tblBorders>
            <w:insideH w:val="nil"/>
          </w:tblBorders>
        </w:tblPrEx>
        <w:tc>
          <w:tcPr>
            <w:gridSpan w:val="18"/>
            <w:tcW w:w="17062" w:type="dxa"/>
            <w:tcBorders>
              <w:top w:val="nil"/>
            </w:tcBorders>
          </w:tcPr>
          <w:p>
            <w:pPr>
              <w:pStyle w:val="0"/>
              <w:jc w:val="both"/>
            </w:pPr>
            <w:r>
              <w:rPr>
                <w:sz w:val="20"/>
              </w:rPr>
              <w:t xml:space="preserve">(п. 51 в ред. </w:t>
            </w:r>
            <w:hyperlink w:history="0" r:id="rId827"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29.12.2022</w:t>
            </w:r>
          </w:p>
          <w:p>
            <w:pPr>
              <w:pStyle w:val="0"/>
              <w:jc w:val="both"/>
            </w:pPr>
            <w:r>
              <w:rPr>
                <w:sz w:val="20"/>
              </w:rPr>
              <w:t xml:space="preserve">N 652-п)</w:t>
            </w:r>
          </w:p>
        </w:tc>
      </w:tr>
      <w:tr>
        <w:tc>
          <w:tcPr>
            <w:tcW w:w="567" w:type="dxa"/>
          </w:tcPr>
          <w:p>
            <w:pPr>
              <w:pStyle w:val="0"/>
              <w:jc w:val="center"/>
            </w:pPr>
            <w:r>
              <w:rPr>
                <w:sz w:val="20"/>
              </w:rPr>
              <w:t xml:space="preserve">52</w:t>
            </w:r>
          </w:p>
        </w:tc>
        <w:tc>
          <w:tcPr>
            <w:tcW w:w="2211" w:type="dxa"/>
          </w:tcPr>
          <w:p>
            <w:pPr>
              <w:pStyle w:val="0"/>
            </w:pPr>
            <w:r>
              <w:rPr>
                <w:sz w:val="20"/>
              </w:rPr>
              <w:t xml:space="preserve">Жилой микрорайон Береговой</w:t>
            </w:r>
          </w:p>
        </w:tc>
        <w:tc>
          <w:tcPr>
            <w:tcW w:w="907" w:type="dxa"/>
          </w:tcPr>
          <w:p>
            <w:pPr>
              <w:pStyle w:val="0"/>
              <w:jc w:val="center"/>
            </w:pPr>
            <w:r>
              <w:rPr>
                <w:sz w:val="20"/>
              </w:rPr>
              <w:t xml:space="preserve">89,1</w:t>
            </w:r>
          </w:p>
        </w:tc>
        <w:tc>
          <w:tcPr>
            <w:tcW w:w="907" w:type="dxa"/>
          </w:tcPr>
          <w:p>
            <w:pPr>
              <w:pStyle w:val="0"/>
              <w:jc w:val="center"/>
            </w:pPr>
            <w:r>
              <w:rPr>
                <w:sz w:val="20"/>
              </w:rPr>
              <w:t xml:space="preserve">750,0</w:t>
            </w:r>
          </w:p>
        </w:tc>
        <w:tc>
          <w:tcPr>
            <w:tcW w:w="832" w:type="dxa"/>
          </w:tcPr>
          <w:p>
            <w:pPr>
              <w:pStyle w:val="0"/>
              <w:jc w:val="center"/>
            </w:pPr>
            <w:r>
              <w:rPr>
                <w:sz w:val="20"/>
              </w:rPr>
              <w:t xml:space="preserve">547,1</w:t>
            </w:r>
          </w:p>
        </w:tc>
        <w:tc>
          <w:tcPr>
            <w:tcW w:w="832" w:type="dxa"/>
          </w:tcPr>
          <w:p>
            <w:pPr>
              <w:pStyle w:val="0"/>
              <w:jc w:val="center"/>
            </w:pPr>
            <w:r>
              <w:rPr>
                <w:sz w:val="20"/>
              </w:rPr>
              <w:t xml:space="preserve">136,6</w:t>
            </w:r>
          </w:p>
        </w:tc>
        <w:tc>
          <w:tcPr>
            <w:tcW w:w="832" w:type="dxa"/>
          </w:tcPr>
          <w:p>
            <w:pPr>
              <w:pStyle w:val="0"/>
              <w:jc w:val="center"/>
            </w:pPr>
            <w:r>
              <w:rPr>
                <w:sz w:val="20"/>
              </w:rPr>
              <w:t xml:space="preserve">46,2</w:t>
            </w:r>
          </w:p>
        </w:tc>
        <w:tc>
          <w:tcPr>
            <w:tcW w:w="832" w:type="dxa"/>
          </w:tcPr>
          <w:p>
            <w:pPr>
              <w:pStyle w:val="0"/>
              <w:jc w:val="center"/>
            </w:pPr>
            <w:r>
              <w:rPr>
                <w:sz w:val="20"/>
              </w:rPr>
              <w:t xml:space="preserve">152,7</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СП ООО "Сибакадемстрой", ЗАО "Береговое", ООО "Гранит", ОАО "Фонд жилищного строительства НСО", МЖК "Энергетик", ООО "УСК Обская 82 стр.", ООО "ГАММА", ООО Строительная компания "Мета-Обская", ООО "РАСЦВЕТАЙ НА ОБСКОЙ", ООО "Европейский берег. Большевичка. Новосибирск. СЗ"</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IV кв. 2024</w:t>
            </w:r>
          </w:p>
        </w:tc>
        <w:tc>
          <w:tcPr>
            <w:tcW w:w="763" w:type="dxa"/>
          </w:tcPr>
          <w:p>
            <w:pPr>
              <w:pStyle w:val="0"/>
              <w:jc w:val="center"/>
            </w:pPr>
            <w:r>
              <w:rPr>
                <w:sz w:val="20"/>
              </w:rPr>
              <w:t xml:space="preserve">IV кв. 2024</w:t>
            </w:r>
          </w:p>
        </w:tc>
      </w:tr>
      <w:tr>
        <w:tc>
          <w:tcPr>
            <w:tcW w:w="567" w:type="dxa"/>
          </w:tcPr>
          <w:p>
            <w:pPr>
              <w:pStyle w:val="0"/>
              <w:jc w:val="center"/>
            </w:pPr>
            <w:r>
              <w:rPr>
                <w:sz w:val="20"/>
              </w:rPr>
              <w:t xml:space="preserve">53</w:t>
            </w:r>
          </w:p>
        </w:tc>
        <w:tc>
          <w:tcPr>
            <w:tcW w:w="2211" w:type="dxa"/>
          </w:tcPr>
          <w:p>
            <w:pPr>
              <w:pStyle w:val="0"/>
            </w:pPr>
            <w:r>
              <w:rPr>
                <w:sz w:val="20"/>
              </w:rPr>
              <w:t xml:space="preserve">Жилой микрорайон Ключ-Камышенский, жилой микрорайон Устье реки Ини по ул. Большевистской</w:t>
            </w:r>
          </w:p>
        </w:tc>
        <w:tc>
          <w:tcPr>
            <w:tcW w:w="907" w:type="dxa"/>
          </w:tcPr>
          <w:p>
            <w:pPr>
              <w:pStyle w:val="0"/>
              <w:jc w:val="center"/>
            </w:pPr>
            <w:r>
              <w:rPr>
                <w:sz w:val="20"/>
              </w:rPr>
              <w:t xml:space="preserve">199,6</w:t>
            </w:r>
          </w:p>
        </w:tc>
        <w:tc>
          <w:tcPr>
            <w:tcW w:w="907" w:type="dxa"/>
          </w:tcPr>
          <w:p>
            <w:pPr>
              <w:pStyle w:val="0"/>
              <w:jc w:val="center"/>
            </w:pPr>
            <w:r>
              <w:rPr>
                <w:sz w:val="20"/>
              </w:rPr>
              <w:t xml:space="preserve">1776,8</w:t>
            </w:r>
          </w:p>
        </w:tc>
        <w:tc>
          <w:tcPr>
            <w:tcW w:w="832" w:type="dxa"/>
          </w:tcPr>
          <w:p>
            <w:pPr>
              <w:pStyle w:val="0"/>
              <w:jc w:val="center"/>
            </w:pPr>
            <w:r>
              <w:rPr>
                <w:sz w:val="20"/>
              </w:rPr>
              <w:t xml:space="preserve">219,4</w:t>
            </w:r>
          </w:p>
        </w:tc>
        <w:tc>
          <w:tcPr>
            <w:tcW w:w="832" w:type="dxa"/>
          </w:tcPr>
          <w:p>
            <w:pPr>
              <w:pStyle w:val="0"/>
              <w:jc w:val="center"/>
            </w:pPr>
            <w:r>
              <w:rPr>
                <w:sz w:val="20"/>
              </w:rPr>
              <w:t xml:space="preserve">13,5</w:t>
            </w:r>
          </w:p>
        </w:tc>
        <w:tc>
          <w:tcPr>
            <w:tcW w:w="832" w:type="dxa"/>
          </w:tcPr>
          <w:p>
            <w:pPr>
              <w:pStyle w:val="0"/>
              <w:jc w:val="center"/>
            </w:pPr>
            <w:r>
              <w:rPr>
                <w:sz w:val="20"/>
              </w:rPr>
              <w:t xml:space="preserve">0,0</w:t>
            </w:r>
          </w:p>
        </w:tc>
        <w:tc>
          <w:tcPr>
            <w:tcW w:w="832" w:type="dxa"/>
          </w:tcPr>
          <w:p>
            <w:pPr>
              <w:pStyle w:val="0"/>
              <w:jc w:val="center"/>
            </w:pPr>
            <w:r>
              <w:rPr>
                <w:sz w:val="20"/>
              </w:rPr>
              <w:t xml:space="preserve">41,2</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"Эверест-Н", ООО "Новосибирский строительный трест", ЗАО "ЭкоИнвест", ООО "Сибирьстройинвест", ЖСК "Родник"</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IV кв. 2023</w:t>
            </w:r>
          </w:p>
        </w:tc>
        <w:tc>
          <w:tcPr>
            <w:tcW w:w="1117" w:type="dxa"/>
          </w:tcPr>
          <w:p>
            <w:pPr>
              <w:pStyle w:val="0"/>
              <w:jc w:val="center"/>
            </w:pPr>
            <w:r>
              <w:rPr>
                <w:sz w:val="20"/>
              </w:rPr>
              <w:t xml:space="preserve">IV кв. 2028</w:t>
            </w:r>
          </w:p>
        </w:tc>
        <w:tc>
          <w:tcPr>
            <w:tcW w:w="763" w:type="dxa"/>
          </w:tcPr>
          <w:p>
            <w:pPr>
              <w:pStyle w:val="0"/>
              <w:jc w:val="center"/>
            </w:pPr>
            <w:r>
              <w:rPr>
                <w:sz w:val="20"/>
              </w:rPr>
              <w:t xml:space="preserve">IV кв. 2030</w:t>
            </w:r>
          </w:p>
        </w:tc>
      </w:tr>
      <w:tr>
        <w:tc>
          <w:tcPr>
            <w:tcW w:w="567" w:type="dxa"/>
          </w:tcPr>
          <w:p>
            <w:pPr>
              <w:pStyle w:val="0"/>
              <w:jc w:val="center"/>
            </w:pPr>
            <w:r>
              <w:rPr>
                <w:sz w:val="20"/>
              </w:rPr>
              <w:t xml:space="preserve">54</w:t>
            </w:r>
          </w:p>
        </w:tc>
        <w:tc>
          <w:tcPr>
            <w:tcW w:w="2211" w:type="dxa"/>
          </w:tcPr>
          <w:p>
            <w:pPr>
              <w:pStyle w:val="0"/>
            </w:pPr>
            <w:r>
              <w:rPr>
                <w:sz w:val="20"/>
              </w:rPr>
              <w:t xml:space="preserve">Жилой микрорайон Плющихинский по ул. В. Высоцкого, Татьяны Снежиной, Виталия Потылицына</w:t>
            </w:r>
          </w:p>
        </w:tc>
        <w:tc>
          <w:tcPr>
            <w:tcW w:w="907" w:type="dxa"/>
          </w:tcPr>
          <w:p>
            <w:pPr>
              <w:pStyle w:val="0"/>
              <w:jc w:val="center"/>
            </w:pPr>
            <w:r>
              <w:rPr>
                <w:sz w:val="20"/>
              </w:rPr>
              <w:t xml:space="preserve">160,0</w:t>
            </w:r>
          </w:p>
        </w:tc>
        <w:tc>
          <w:tcPr>
            <w:tcW w:w="907" w:type="dxa"/>
          </w:tcPr>
          <w:p>
            <w:pPr>
              <w:pStyle w:val="0"/>
              <w:jc w:val="center"/>
            </w:pPr>
            <w:r>
              <w:rPr>
                <w:sz w:val="20"/>
              </w:rPr>
              <w:t xml:space="preserve">1545,0</w:t>
            </w:r>
          </w:p>
        </w:tc>
        <w:tc>
          <w:tcPr>
            <w:tcW w:w="832" w:type="dxa"/>
          </w:tcPr>
          <w:p>
            <w:pPr>
              <w:pStyle w:val="0"/>
              <w:jc w:val="center"/>
            </w:pPr>
            <w:r>
              <w:rPr>
                <w:sz w:val="20"/>
              </w:rPr>
              <w:t xml:space="preserve">1099,4</w:t>
            </w:r>
          </w:p>
        </w:tc>
        <w:tc>
          <w:tcPr>
            <w:tcW w:w="832" w:type="dxa"/>
          </w:tcPr>
          <w:p>
            <w:pPr>
              <w:pStyle w:val="0"/>
              <w:jc w:val="center"/>
            </w:pPr>
            <w:r>
              <w:rPr>
                <w:sz w:val="20"/>
              </w:rPr>
              <w:t xml:space="preserve">9,1</w:t>
            </w:r>
          </w:p>
        </w:tc>
        <w:tc>
          <w:tcPr>
            <w:tcW w:w="832" w:type="dxa"/>
          </w:tcPr>
          <w:p>
            <w:pPr>
              <w:pStyle w:val="0"/>
              <w:jc w:val="center"/>
            </w:pPr>
            <w:r>
              <w:rPr>
                <w:sz w:val="20"/>
              </w:rPr>
              <w:t xml:space="preserve">18,3</w:t>
            </w:r>
          </w:p>
        </w:tc>
        <w:tc>
          <w:tcPr>
            <w:tcW w:w="832" w:type="dxa"/>
          </w:tcPr>
          <w:p>
            <w:pPr>
              <w:pStyle w:val="0"/>
              <w:jc w:val="center"/>
            </w:pPr>
            <w:r>
              <w:rPr>
                <w:sz w:val="20"/>
              </w:rPr>
              <w:t xml:space="preserve">347,8</w:t>
            </w:r>
          </w:p>
        </w:tc>
        <w:tc>
          <w:tcPr>
            <w:tcW w:w="835" w:type="dxa"/>
          </w:tcPr>
          <w:p>
            <w:pPr>
              <w:pStyle w:val="0"/>
              <w:jc w:val="center"/>
            </w:pPr>
            <w:r>
              <w:rPr>
                <w:sz w:val="20"/>
              </w:rPr>
              <w:t xml:space="preserve">58,6</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"Дискус плюс", ООО "Дирекция стройки", АО "МСК"</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IV кв. 2024</w:t>
            </w:r>
          </w:p>
        </w:tc>
        <w:tc>
          <w:tcPr>
            <w:tcW w:w="1117" w:type="dxa"/>
          </w:tcPr>
          <w:p>
            <w:pPr>
              <w:pStyle w:val="0"/>
              <w:jc w:val="center"/>
            </w:pPr>
            <w:r>
              <w:rPr>
                <w:sz w:val="20"/>
              </w:rPr>
              <w:t xml:space="preserve">IV кв. 2025</w:t>
            </w:r>
          </w:p>
        </w:tc>
        <w:tc>
          <w:tcPr>
            <w:tcW w:w="763" w:type="dxa"/>
          </w:tcPr>
          <w:p>
            <w:pPr>
              <w:pStyle w:val="0"/>
              <w:jc w:val="center"/>
            </w:pPr>
            <w:r>
              <w:rPr>
                <w:sz w:val="20"/>
              </w:rPr>
              <w:t xml:space="preserve">IV кв. 2025</w:t>
            </w:r>
          </w:p>
        </w:tc>
      </w:tr>
      <w:tr>
        <w:tc>
          <w:tcPr>
            <w:tcW w:w="567" w:type="dxa"/>
          </w:tcPr>
          <w:p>
            <w:pPr>
              <w:pStyle w:val="0"/>
              <w:jc w:val="center"/>
            </w:pPr>
            <w:r>
              <w:rPr>
                <w:sz w:val="20"/>
              </w:rPr>
              <w:t xml:space="preserve">55</w:t>
            </w:r>
          </w:p>
        </w:tc>
        <w:tc>
          <w:tcPr>
            <w:tcW w:w="2211" w:type="dxa"/>
          </w:tcPr>
          <w:p>
            <w:pPr>
              <w:pStyle w:val="0"/>
            </w:pPr>
            <w:r>
              <w:rPr>
                <w:sz w:val="20"/>
              </w:rPr>
              <w:t xml:space="preserve">Жилой микрорайон Тихвинский по ул. Титова, жилой микрорайон Телецентр (РЗТ)</w:t>
            </w:r>
          </w:p>
        </w:tc>
        <w:tc>
          <w:tcPr>
            <w:tcW w:w="907" w:type="dxa"/>
          </w:tcPr>
          <w:p>
            <w:pPr>
              <w:pStyle w:val="0"/>
              <w:jc w:val="center"/>
            </w:pPr>
            <w:r>
              <w:rPr>
                <w:sz w:val="20"/>
              </w:rPr>
              <w:t xml:space="preserve">20,4</w:t>
            </w:r>
          </w:p>
        </w:tc>
        <w:tc>
          <w:tcPr>
            <w:tcW w:w="907" w:type="dxa"/>
          </w:tcPr>
          <w:p>
            <w:pPr>
              <w:pStyle w:val="0"/>
              <w:jc w:val="center"/>
            </w:pPr>
            <w:r>
              <w:rPr>
                <w:sz w:val="20"/>
              </w:rPr>
              <w:t xml:space="preserve">230,0</w:t>
            </w:r>
          </w:p>
        </w:tc>
        <w:tc>
          <w:tcPr>
            <w:tcW w:w="832" w:type="dxa"/>
          </w:tcPr>
          <w:p>
            <w:pPr>
              <w:pStyle w:val="0"/>
              <w:jc w:val="center"/>
            </w:pPr>
            <w:r>
              <w:rPr>
                <w:sz w:val="20"/>
              </w:rPr>
              <w:t xml:space="preserve">72,9</w:t>
            </w:r>
          </w:p>
        </w:tc>
        <w:tc>
          <w:tcPr>
            <w:tcW w:w="832" w:type="dxa"/>
          </w:tcPr>
          <w:p>
            <w:pPr>
              <w:pStyle w:val="0"/>
              <w:jc w:val="center"/>
            </w:pPr>
            <w:r>
              <w:rPr>
                <w:sz w:val="20"/>
              </w:rPr>
              <w:t xml:space="preserve">49,5</w:t>
            </w:r>
          </w:p>
        </w:tc>
        <w:tc>
          <w:tcPr>
            <w:tcW w:w="832" w:type="dxa"/>
          </w:tcPr>
          <w:p>
            <w:pPr>
              <w:pStyle w:val="0"/>
              <w:jc w:val="center"/>
            </w:pPr>
            <w:r>
              <w:rPr>
                <w:sz w:val="20"/>
              </w:rPr>
              <w:t xml:space="preserve">0,0</w:t>
            </w:r>
          </w:p>
        </w:tc>
        <w:tc>
          <w:tcPr>
            <w:tcW w:w="832" w:type="dxa"/>
          </w:tcPr>
          <w:p>
            <w:pPr>
              <w:pStyle w:val="0"/>
              <w:jc w:val="center"/>
            </w:pPr>
            <w:r>
              <w:rPr>
                <w:sz w:val="20"/>
              </w:rPr>
              <w:t xml:space="preserve">14,9</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ЗАО "Сибсервисстройреконструкция" (ЗАО "ИнвестТЭК"), ОАО "Строительный трест N 43", ООО "Комфортный дом", ООО "Строй-Плюс"</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IV кв. 2023</w:t>
            </w:r>
          </w:p>
        </w:tc>
        <w:tc>
          <w:tcPr>
            <w:tcW w:w="763" w:type="dxa"/>
          </w:tcPr>
          <w:p>
            <w:pPr>
              <w:pStyle w:val="0"/>
              <w:jc w:val="center"/>
            </w:pPr>
            <w:r>
              <w:rPr>
                <w:sz w:val="20"/>
              </w:rPr>
              <w:t xml:space="preserve">IV кв. 2023</w:t>
            </w:r>
          </w:p>
        </w:tc>
      </w:tr>
      <w:tr>
        <w:tc>
          <w:tcPr>
            <w:tcW w:w="567" w:type="dxa"/>
          </w:tcPr>
          <w:p>
            <w:pPr>
              <w:pStyle w:val="0"/>
              <w:jc w:val="center"/>
            </w:pPr>
            <w:r>
              <w:rPr>
                <w:sz w:val="20"/>
              </w:rPr>
              <w:t xml:space="preserve">56</w:t>
            </w:r>
          </w:p>
        </w:tc>
        <w:tc>
          <w:tcPr>
            <w:tcW w:w="2211" w:type="dxa"/>
          </w:tcPr>
          <w:p>
            <w:pPr>
              <w:pStyle w:val="0"/>
            </w:pPr>
            <w:r>
              <w:rPr>
                <w:sz w:val="20"/>
              </w:rPr>
              <w:t xml:space="preserve">Жилой микрорайон Весенний по ул. Заречной, ул. Первомайской, ул. 2-я Марата, ул. Марии Ульяновой, ул. Героев Революции</w:t>
            </w:r>
          </w:p>
        </w:tc>
        <w:tc>
          <w:tcPr>
            <w:tcW w:w="907" w:type="dxa"/>
          </w:tcPr>
          <w:p>
            <w:pPr>
              <w:pStyle w:val="0"/>
              <w:jc w:val="center"/>
            </w:pPr>
            <w:r>
              <w:rPr>
                <w:sz w:val="20"/>
              </w:rPr>
              <w:t xml:space="preserve">70,3</w:t>
            </w:r>
          </w:p>
        </w:tc>
        <w:tc>
          <w:tcPr>
            <w:tcW w:w="907" w:type="dxa"/>
          </w:tcPr>
          <w:p>
            <w:pPr>
              <w:pStyle w:val="0"/>
              <w:jc w:val="center"/>
            </w:pPr>
            <w:r>
              <w:rPr>
                <w:sz w:val="20"/>
              </w:rPr>
              <w:t xml:space="preserve">750,0</w:t>
            </w:r>
          </w:p>
        </w:tc>
        <w:tc>
          <w:tcPr>
            <w:tcW w:w="832" w:type="dxa"/>
          </w:tcPr>
          <w:p>
            <w:pPr>
              <w:pStyle w:val="0"/>
              <w:jc w:val="center"/>
            </w:pPr>
            <w:r>
              <w:rPr>
                <w:sz w:val="20"/>
              </w:rPr>
              <w:t xml:space="preserve">389,2</w:t>
            </w:r>
          </w:p>
        </w:tc>
        <w:tc>
          <w:tcPr>
            <w:tcW w:w="832" w:type="dxa"/>
          </w:tcPr>
          <w:p>
            <w:pPr>
              <w:pStyle w:val="0"/>
              <w:jc w:val="center"/>
            </w:pPr>
            <w:r>
              <w:rPr>
                <w:sz w:val="20"/>
              </w:rPr>
              <w:t xml:space="preserve">98,4</w:t>
            </w:r>
          </w:p>
        </w:tc>
        <w:tc>
          <w:tcPr>
            <w:tcW w:w="832" w:type="dxa"/>
          </w:tcPr>
          <w:p>
            <w:pPr>
              <w:pStyle w:val="0"/>
              <w:jc w:val="center"/>
            </w:pPr>
            <w:r>
              <w:rPr>
                <w:sz w:val="20"/>
              </w:rPr>
              <w:t xml:space="preserve">16,0</w:t>
            </w:r>
          </w:p>
        </w:tc>
        <w:tc>
          <w:tcPr>
            <w:tcW w:w="832" w:type="dxa"/>
          </w:tcPr>
          <w:p>
            <w:pPr>
              <w:pStyle w:val="0"/>
              <w:jc w:val="center"/>
            </w:pPr>
            <w:r>
              <w:rPr>
                <w:sz w:val="20"/>
              </w:rPr>
              <w:t xml:space="preserve">36,7</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МЖК "Энергетик", ООО "Краснообск. Монтажспецстрой", ООО "ПРОГРЕСС", ООО "Строительные решения", ООО "Инские зори"</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IV кв. 2023</w:t>
            </w:r>
          </w:p>
        </w:tc>
        <w:tc>
          <w:tcPr>
            <w:tcW w:w="763" w:type="dxa"/>
          </w:tcPr>
          <w:p>
            <w:pPr>
              <w:pStyle w:val="0"/>
              <w:jc w:val="center"/>
            </w:pPr>
            <w:r>
              <w:rPr>
                <w:sz w:val="20"/>
              </w:rPr>
              <w:t xml:space="preserve">IV кв. 2023</w:t>
            </w:r>
          </w:p>
        </w:tc>
      </w:tr>
      <w:tr>
        <w:tc>
          <w:tcPr>
            <w:tcW w:w="567" w:type="dxa"/>
          </w:tcPr>
          <w:p>
            <w:pPr>
              <w:pStyle w:val="0"/>
              <w:jc w:val="center"/>
            </w:pPr>
            <w:r>
              <w:rPr>
                <w:sz w:val="20"/>
              </w:rPr>
              <w:t xml:space="preserve">57</w:t>
            </w:r>
          </w:p>
        </w:tc>
        <w:tc>
          <w:tcPr>
            <w:tcW w:w="2211" w:type="dxa"/>
          </w:tcPr>
          <w:p>
            <w:pPr>
              <w:pStyle w:val="0"/>
            </w:pPr>
            <w:r>
              <w:rPr>
                <w:sz w:val="20"/>
              </w:rPr>
              <w:t xml:space="preserve">Жилой микрорайон Стартовый-Горский по ул. Горской</w:t>
            </w:r>
          </w:p>
        </w:tc>
        <w:tc>
          <w:tcPr>
            <w:tcW w:w="907" w:type="dxa"/>
          </w:tcPr>
          <w:p>
            <w:pPr>
              <w:pStyle w:val="0"/>
              <w:jc w:val="center"/>
            </w:pPr>
            <w:r>
              <w:rPr>
                <w:sz w:val="20"/>
              </w:rPr>
              <w:t xml:space="preserve">65,1</w:t>
            </w:r>
          </w:p>
        </w:tc>
        <w:tc>
          <w:tcPr>
            <w:tcW w:w="907" w:type="dxa"/>
          </w:tcPr>
          <w:p>
            <w:pPr>
              <w:pStyle w:val="0"/>
              <w:jc w:val="center"/>
            </w:pPr>
            <w:r>
              <w:rPr>
                <w:sz w:val="20"/>
              </w:rPr>
              <w:t xml:space="preserve">360,0</w:t>
            </w:r>
          </w:p>
        </w:tc>
        <w:tc>
          <w:tcPr>
            <w:tcW w:w="832" w:type="dxa"/>
          </w:tcPr>
          <w:p>
            <w:pPr>
              <w:pStyle w:val="0"/>
              <w:jc w:val="center"/>
            </w:pPr>
            <w:r>
              <w:rPr>
                <w:sz w:val="20"/>
              </w:rPr>
              <w:t xml:space="preserve">346,8</w:t>
            </w:r>
          </w:p>
        </w:tc>
        <w:tc>
          <w:tcPr>
            <w:tcW w:w="832" w:type="dxa"/>
          </w:tcPr>
          <w:p>
            <w:pPr>
              <w:pStyle w:val="0"/>
              <w:jc w:val="center"/>
            </w:pPr>
            <w:r>
              <w:rPr>
                <w:sz w:val="20"/>
              </w:rPr>
              <w:t xml:space="preserve">68,1</w:t>
            </w:r>
          </w:p>
        </w:tc>
        <w:tc>
          <w:tcPr>
            <w:tcW w:w="832" w:type="dxa"/>
          </w:tcPr>
          <w:p>
            <w:pPr>
              <w:pStyle w:val="0"/>
              <w:jc w:val="center"/>
            </w:pPr>
            <w:r>
              <w:rPr>
                <w:sz w:val="20"/>
              </w:rPr>
              <w:t xml:space="preserve">0,0</w:t>
            </w:r>
          </w:p>
        </w:tc>
        <w:tc>
          <w:tcPr>
            <w:tcW w:w="832" w:type="dxa"/>
          </w:tcPr>
          <w:p>
            <w:pPr>
              <w:pStyle w:val="0"/>
              <w:jc w:val="center"/>
            </w:pPr>
            <w:r>
              <w:rPr>
                <w:sz w:val="20"/>
              </w:rPr>
              <w:t xml:space="preserve">11,4</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"Уникон", ООО МЖК "Энергетик", НП МЖК "Афганец", ООО "Компания "Сибирь-Развитие", ООО ЗС "ГРАНДПАРК"</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IV кв. 2025</w:t>
            </w:r>
          </w:p>
        </w:tc>
        <w:tc>
          <w:tcPr>
            <w:tcW w:w="763" w:type="dxa"/>
          </w:tcPr>
          <w:p>
            <w:pPr>
              <w:pStyle w:val="0"/>
              <w:jc w:val="center"/>
            </w:pPr>
            <w:r>
              <w:rPr>
                <w:sz w:val="20"/>
              </w:rPr>
              <w:t xml:space="preserve">I кв. 2022</w:t>
            </w:r>
          </w:p>
        </w:tc>
      </w:tr>
      <w:tr>
        <w:tc>
          <w:tcPr>
            <w:tcW w:w="567" w:type="dxa"/>
          </w:tcPr>
          <w:p>
            <w:pPr>
              <w:pStyle w:val="0"/>
              <w:jc w:val="center"/>
            </w:pPr>
            <w:r>
              <w:rPr>
                <w:sz w:val="20"/>
              </w:rPr>
              <w:t xml:space="preserve">58</w:t>
            </w:r>
          </w:p>
        </w:tc>
        <w:tc>
          <w:tcPr>
            <w:tcW w:w="2211" w:type="dxa"/>
          </w:tcPr>
          <w:p>
            <w:pPr>
              <w:pStyle w:val="0"/>
            </w:pPr>
            <w:r>
              <w:rPr>
                <w:sz w:val="20"/>
              </w:rPr>
              <w:t xml:space="preserve">Жилой микрорайон Южно-Чемской (Просторный) по ул. Бронной, Виктора Шевелева, Александра Чистякова, Николая Сотникова, Дмитрия Шмонина</w:t>
            </w:r>
          </w:p>
        </w:tc>
        <w:tc>
          <w:tcPr>
            <w:tcW w:w="907" w:type="dxa"/>
          </w:tcPr>
          <w:p>
            <w:pPr>
              <w:pStyle w:val="0"/>
              <w:jc w:val="center"/>
            </w:pPr>
            <w:r>
              <w:rPr>
                <w:sz w:val="20"/>
              </w:rPr>
              <w:t xml:space="preserve">218,6</w:t>
            </w:r>
          </w:p>
        </w:tc>
        <w:tc>
          <w:tcPr>
            <w:tcW w:w="907" w:type="dxa"/>
          </w:tcPr>
          <w:p>
            <w:pPr>
              <w:pStyle w:val="0"/>
              <w:jc w:val="center"/>
            </w:pPr>
            <w:r>
              <w:rPr>
                <w:sz w:val="20"/>
              </w:rPr>
              <w:t xml:space="preserve">1967,2</w:t>
            </w:r>
          </w:p>
        </w:tc>
        <w:tc>
          <w:tcPr>
            <w:tcW w:w="832" w:type="dxa"/>
          </w:tcPr>
          <w:p>
            <w:pPr>
              <w:pStyle w:val="0"/>
              <w:jc w:val="center"/>
            </w:pPr>
            <w:r>
              <w:rPr>
                <w:sz w:val="20"/>
              </w:rPr>
              <w:t xml:space="preserve">848,5</w:t>
            </w:r>
          </w:p>
        </w:tc>
        <w:tc>
          <w:tcPr>
            <w:tcW w:w="832" w:type="dxa"/>
          </w:tcPr>
          <w:p>
            <w:pPr>
              <w:pStyle w:val="0"/>
              <w:jc w:val="center"/>
            </w:pPr>
            <w:r>
              <w:rPr>
                <w:sz w:val="20"/>
              </w:rPr>
              <w:t xml:space="preserve">402,2</w:t>
            </w:r>
          </w:p>
        </w:tc>
        <w:tc>
          <w:tcPr>
            <w:tcW w:w="832" w:type="dxa"/>
          </w:tcPr>
          <w:p>
            <w:pPr>
              <w:pStyle w:val="0"/>
              <w:jc w:val="center"/>
            </w:pPr>
            <w:r>
              <w:rPr>
                <w:sz w:val="20"/>
              </w:rPr>
              <w:t xml:space="preserve">65,2</w:t>
            </w:r>
          </w:p>
        </w:tc>
        <w:tc>
          <w:tcPr>
            <w:tcW w:w="832" w:type="dxa"/>
          </w:tcPr>
          <w:p>
            <w:pPr>
              <w:pStyle w:val="0"/>
              <w:jc w:val="center"/>
            </w:pPr>
            <w:r>
              <w:rPr>
                <w:sz w:val="20"/>
              </w:rPr>
              <w:t xml:space="preserve">475,8</w:t>
            </w:r>
          </w:p>
        </w:tc>
        <w:tc>
          <w:tcPr>
            <w:tcW w:w="835" w:type="dxa"/>
          </w:tcPr>
          <w:p>
            <w:pPr>
              <w:pStyle w:val="0"/>
              <w:jc w:val="center"/>
            </w:pPr>
            <w:r>
              <w:rPr>
                <w:sz w:val="20"/>
              </w:rPr>
              <w:t xml:space="preserve">46,2</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СК "ВИРА-Строй", ООО "Дискус плюс", АО "СЗ "БК ЖБИ 2", ООО "Трест Востокгидроспецстрой", ООО "Строительная компания АТЛАНТ-СТРОЙ", ООО "СЗ "СОЮЗ-ИНВЕСТ", ООО "ВИРА-Строй-Эстейт"</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IV кв. 2023</w:t>
            </w:r>
          </w:p>
        </w:tc>
        <w:tc>
          <w:tcPr>
            <w:tcW w:w="1117" w:type="dxa"/>
          </w:tcPr>
          <w:p>
            <w:pPr>
              <w:pStyle w:val="0"/>
              <w:jc w:val="center"/>
            </w:pPr>
            <w:r>
              <w:rPr>
                <w:sz w:val="20"/>
              </w:rPr>
              <w:t xml:space="preserve">IV кв. 2030</w:t>
            </w:r>
          </w:p>
        </w:tc>
        <w:tc>
          <w:tcPr>
            <w:tcW w:w="763" w:type="dxa"/>
          </w:tcPr>
          <w:p>
            <w:pPr>
              <w:pStyle w:val="0"/>
              <w:jc w:val="center"/>
            </w:pPr>
            <w:r>
              <w:rPr>
                <w:sz w:val="20"/>
              </w:rPr>
              <w:t xml:space="preserve">IV кв. 2030</w:t>
            </w:r>
          </w:p>
        </w:tc>
      </w:tr>
      <w:tr>
        <w:tc>
          <w:tcPr>
            <w:tcW w:w="567" w:type="dxa"/>
          </w:tcPr>
          <w:p>
            <w:pPr>
              <w:pStyle w:val="0"/>
              <w:jc w:val="center"/>
            </w:pPr>
            <w:r>
              <w:rPr>
                <w:sz w:val="20"/>
              </w:rPr>
              <w:t xml:space="preserve">59</w:t>
            </w:r>
          </w:p>
        </w:tc>
        <w:tc>
          <w:tcPr>
            <w:tcW w:w="2211" w:type="dxa"/>
          </w:tcPr>
          <w:p>
            <w:pPr>
              <w:pStyle w:val="0"/>
            </w:pPr>
            <w:r>
              <w:rPr>
                <w:sz w:val="20"/>
              </w:rPr>
              <w:t xml:space="preserve">Жилой микрорайон Акатуйский по ул. Петухова</w:t>
            </w:r>
          </w:p>
        </w:tc>
        <w:tc>
          <w:tcPr>
            <w:tcW w:w="907" w:type="dxa"/>
          </w:tcPr>
          <w:p>
            <w:pPr>
              <w:pStyle w:val="0"/>
              <w:jc w:val="center"/>
            </w:pPr>
            <w:r>
              <w:rPr>
                <w:sz w:val="20"/>
              </w:rPr>
              <w:t xml:space="preserve">29,6</w:t>
            </w:r>
          </w:p>
        </w:tc>
        <w:tc>
          <w:tcPr>
            <w:tcW w:w="907" w:type="dxa"/>
          </w:tcPr>
          <w:p>
            <w:pPr>
              <w:pStyle w:val="0"/>
              <w:jc w:val="center"/>
            </w:pPr>
            <w:r>
              <w:rPr>
                <w:sz w:val="20"/>
              </w:rPr>
              <w:t xml:space="preserve">700,0</w:t>
            </w:r>
          </w:p>
        </w:tc>
        <w:tc>
          <w:tcPr>
            <w:tcW w:w="832" w:type="dxa"/>
          </w:tcPr>
          <w:p>
            <w:pPr>
              <w:pStyle w:val="0"/>
              <w:jc w:val="center"/>
            </w:pPr>
            <w:r>
              <w:rPr>
                <w:sz w:val="20"/>
              </w:rPr>
              <w:t xml:space="preserve">413,1</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98,1</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ЗАО "Корпорация СИТЕХ", ООО СЗ "ВИРА-Строй-Билдинг"</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IV кв. 2026</w:t>
            </w:r>
          </w:p>
        </w:tc>
        <w:tc>
          <w:tcPr>
            <w:tcW w:w="763" w:type="dxa"/>
          </w:tcPr>
          <w:p>
            <w:pPr>
              <w:pStyle w:val="0"/>
              <w:jc w:val="center"/>
            </w:pPr>
            <w:r>
              <w:rPr>
                <w:sz w:val="20"/>
              </w:rPr>
              <w:t xml:space="preserve">IV кв. 2026</w:t>
            </w:r>
          </w:p>
        </w:tc>
      </w:tr>
      <w:tr>
        <w:tc>
          <w:tcPr>
            <w:tcW w:w="567" w:type="dxa"/>
          </w:tcPr>
          <w:p>
            <w:pPr>
              <w:pStyle w:val="0"/>
              <w:jc w:val="center"/>
            </w:pPr>
            <w:r>
              <w:rPr>
                <w:sz w:val="20"/>
              </w:rPr>
              <w:t xml:space="preserve">60</w:t>
            </w:r>
          </w:p>
        </w:tc>
        <w:tc>
          <w:tcPr>
            <w:tcW w:w="2211" w:type="dxa"/>
          </w:tcPr>
          <w:p>
            <w:pPr>
              <w:pStyle w:val="0"/>
            </w:pPr>
            <w:r>
              <w:rPr>
                <w:sz w:val="20"/>
              </w:rPr>
              <w:t xml:space="preserve">Жилой микрорайон Чистая Слобода по ул. Титова, жилой микрорайон Ереснинский г. Новосибирска</w:t>
            </w:r>
          </w:p>
        </w:tc>
        <w:tc>
          <w:tcPr>
            <w:tcW w:w="907" w:type="dxa"/>
          </w:tcPr>
          <w:p>
            <w:pPr>
              <w:pStyle w:val="0"/>
              <w:jc w:val="center"/>
            </w:pPr>
            <w:r>
              <w:rPr>
                <w:sz w:val="20"/>
              </w:rPr>
              <w:t xml:space="preserve">238,5</w:t>
            </w:r>
          </w:p>
        </w:tc>
        <w:tc>
          <w:tcPr>
            <w:tcW w:w="907" w:type="dxa"/>
          </w:tcPr>
          <w:p>
            <w:pPr>
              <w:pStyle w:val="0"/>
              <w:jc w:val="center"/>
            </w:pPr>
            <w:r>
              <w:rPr>
                <w:sz w:val="20"/>
              </w:rPr>
              <w:t xml:space="preserve">2170,7</w:t>
            </w:r>
          </w:p>
        </w:tc>
        <w:tc>
          <w:tcPr>
            <w:tcW w:w="832" w:type="dxa"/>
          </w:tcPr>
          <w:p>
            <w:pPr>
              <w:pStyle w:val="0"/>
              <w:jc w:val="center"/>
            </w:pPr>
            <w:r>
              <w:rPr>
                <w:sz w:val="20"/>
              </w:rPr>
              <w:t xml:space="preserve">962,2</w:t>
            </w:r>
          </w:p>
        </w:tc>
        <w:tc>
          <w:tcPr>
            <w:tcW w:w="832" w:type="dxa"/>
          </w:tcPr>
          <w:p>
            <w:pPr>
              <w:pStyle w:val="0"/>
              <w:jc w:val="center"/>
            </w:pPr>
            <w:r>
              <w:rPr>
                <w:sz w:val="20"/>
              </w:rPr>
              <w:t xml:space="preserve">210,5</w:t>
            </w:r>
          </w:p>
        </w:tc>
        <w:tc>
          <w:tcPr>
            <w:tcW w:w="832" w:type="dxa"/>
          </w:tcPr>
          <w:p>
            <w:pPr>
              <w:pStyle w:val="0"/>
              <w:jc w:val="center"/>
            </w:pPr>
            <w:r>
              <w:rPr>
                <w:sz w:val="20"/>
              </w:rPr>
              <w:t xml:space="preserve">59,9</w:t>
            </w:r>
          </w:p>
        </w:tc>
        <w:tc>
          <w:tcPr>
            <w:tcW w:w="832" w:type="dxa"/>
          </w:tcPr>
          <w:p>
            <w:pPr>
              <w:pStyle w:val="0"/>
              <w:jc w:val="center"/>
            </w:pPr>
            <w:r>
              <w:rPr>
                <w:sz w:val="20"/>
              </w:rPr>
              <w:t xml:space="preserve">208,4</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"КПД-Газстрой", ООО "Развитие", ООО "Вертикаль-НСК",</w:t>
            </w:r>
          </w:p>
          <w:p>
            <w:pPr>
              <w:pStyle w:val="0"/>
              <w:jc w:val="center"/>
            </w:pPr>
            <w:r>
              <w:rPr>
                <w:sz w:val="20"/>
              </w:rPr>
              <w:t xml:space="preserve">ООО "КПД-Газстрой-Инвест"</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IV кв. 2024</w:t>
            </w:r>
          </w:p>
        </w:tc>
        <w:tc>
          <w:tcPr>
            <w:tcW w:w="1117" w:type="dxa"/>
          </w:tcPr>
          <w:p>
            <w:pPr>
              <w:pStyle w:val="0"/>
              <w:jc w:val="center"/>
            </w:pPr>
            <w:r>
              <w:rPr>
                <w:sz w:val="20"/>
              </w:rPr>
              <w:t xml:space="preserve">IV кв. 2027</w:t>
            </w:r>
          </w:p>
        </w:tc>
        <w:tc>
          <w:tcPr>
            <w:tcW w:w="763" w:type="dxa"/>
          </w:tcPr>
          <w:p>
            <w:pPr>
              <w:pStyle w:val="0"/>
              <w:jc w:val="center"/>
            </w:pPr>
            <w:r>
              <w:rPr>
                <w:sz w:val="20"/>
              </w:rPr>
              <w:t xml:space="preserve">IV кв. 2029</w:t>
            </w:r>
          </w:p>
        </w:tc>
      </w:tr>
      <w:tr>
        <w:tc>
          <w:tcPr>
            <w:tcW w:w="567" w:type="dxa"/>
          </w:tcPr>
          <w:p>
            <w:pPr>
              <w:pStyle w:val="0"/>
              <w:jc w:val="center"/>
            </w:pPr>
            <w:r>
              <w:rPr>
                <w:sz w:val="20"/>
              </w:rPr>
              <w:t xml:space="preserve">61</w:t>
            </w:r>
          </w:p>
        </w:tc>
        <w:tc>
          <w:tcPr>
            <w:tcW w:w="2211" w:type="dxa"/>
          </w:tcPr>
          <w:p>
            <w:pPr>
              <w:pStyle w:val="0"/>
            </w:pPr>
            <w:r>
              <w:rPr>
                <w:sz w:val="20"/>
              </w:rPr>
              <w:t xml:space="preserve">Жилой микрорайон Стрижи</w:t>
            </w:r>
          </w:p>
        </w:tc>
        <w:tc>
          <w:tcPr>
            <w:tcW w:w="907" w:type="dxa"/>
          </w:tcPr>
          <w:p>
            <w:pPr>
              <w:pStyle w:val="0"/>
              <w:jc w:val="center"/>
            </w:pPr>
            <w:r>
              <w:rPr>
                <w:sz w:val="20"/>
              </w:rPr>
              <w:t xml:space="preserve">25,8</w:t>
            </w:r>
          </w:p>
        </w:tc>
        <w:tc>
          <w:tcPr>
            <w:tcW w:w="907" w:type="dxa"/>
          </w:tcPr>
          <w:p>
            <w:pPr>
              <w:pStyle w:val="0"/>
              <w:jc w:val="center"/>
            </w:pPr>
            <w:r>
              <w:rPr>
                <w:sz w:val="20"/>
              </w:rPr>
              <w:t xml:space="preserve">257,9</w:t>
            </w:r>
          </w:p>
        </w:tc>
        <w:tc>
          <w:tcPr>
            <w:tcW w:w="832" w:type="dxa"/>
          </w:tcPr>
          <w:p>
            <w:pPr>
              <w:pStyle w:val="0"/>
              <w:jc w:val="center"/>
            </w:pPr>
            <w:r>
              <w:rPr>
                <w:sz w:val="20"/>
              </w:rPr>
              <w:t xml:space="preserve">211,0</w:t>
            </w:r>
          </w:p>
        </w:tc>
        <w:tc>
          <w:tcPr>
            <w:tcW w:w="832" w:type="dxa"/>
          </w:tcPr>
          <w:p>
            <w:pPr>
              <w:pStyle w:val="0"/>
              <w:jc w:val="center"/>
            </w:pPr>
            <w:r>
              <w:rPr>
                <w:sz w:val="20"/>
              </w:rPr>
              <w:t xml:space="preserve">156,9</w:t>
            </w:r>
          </w:p>
        </w:tc>
        <w:tc>
          <w:tcPr>
            <w:tcW w:w="832" w:type="dxa"/>
          </w:tcPr>
          <w:p>
            <w:pPr>
              <w:pStyle w:val="0"/>
              <w:jc w:val="center"/>
            </w:pPr>
            <w:r>
              <w:rPr>
                <w:sz w:val="20"/>
              </w:rPr>
              <w:t xml:space="preserve">41,7</w:t>
            </w:r>
          </w:p>
        </w:tc>
        <w:tc>
          <w:tcPr>
            <w:tcW w:w="832" w:type="dxa"/>
          </w:tcPr>
          <w:p>
            <w:pPr>
              <w:pStyle w:val="0"/>
              <w:jc w:val="center"/>
            </w:pPr>
            <w:r>
              <w:rPr>
                <w:sz w:val="20"/>
              </w:rPr>
              <w:t xml:space="preserve">50,9</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ГК "Стрижи" (ИСК "Мочище", ООО "Квартал", ООО "Комфорт"), ООО СЗ "Экострой", ООО СЗ "Солнечные часы"</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IV кв. 2024</w:t>
            </w:r>
          </w:p>
        </w:tc>
        <w:tc>
          <w:tcPr>
            <w:tcW w:w="763" w:type="dxa"/>
          </w:tcPr>
          <w:p>
            <w:pPr>
              <w:pStyle w:val="0"/>
              <w:jc w:val="center"/>
            </w:pPr>
            <w:r>
              <w:rPr>
                <w:sz w:val="20"/>
              </w:rPr>
              <w:t xml:space="preserve">IV кв. 2024</w:t>
            </w:r>
          </w:p>
        </w:tc>
      </w:tr>
      <w:tr>
        <w:tc>
          <w:tcPr>
            <w:tcW w:w="567" w:type="dxa"/>
          </w:tcPr>
          <w:p>
            <w:pPr>
              <w:pStyle w:val="0"/>
              <w:jc w:val="center"/>
            </w:pPr>
            <w:r>
              <w:rPr>
                <w:sz w:val="20"/>
              </w:rPr>
              <w:t xml:space="preserve">62</w:t>
            </w:r>
          </w:p>
        </w:tc>
        <w:tc>
          <w:tcPr>
            <w:tcW w:w="2211" w:type="dxa"/>
          </w:tcPr>
          <w:p>
            <w:pPr>
              <w:pStyle w:val="0"/>
            </w:pPr>
            <w:r>
              <w:rPr>
                <w:sz w:val="20"/>
              </w:rPr>
              <w:t xml:space="preserve">Жилой комплекс Новомарусино по ул. Большой, жилой микрорайон Дивногорский по ул. Дивногорской</w:t>
            </w:r>
          </w:p>
        </w:tc>
        <w:tc>
          <w:tcPr>
            <w:tcW w:w="907" w:type="dxa"/>
          </w:tcPr>
          <w:p>
            <w:pPr>
              <w:pStyle w:val="0"/>
              <w:jc w:val="center"/>
            </w:pPr>
            <w:r>
              <w:rPr>
                <w:sz w:val="20"/>
              </w:rPr>
              <w:t xml:space="preserve">78,2</w:t>
            </w:r>
          </w:p>
        </w:tc>
        <w:tc>
          <w:tcPr>
            <w:tcW w:w="907" w:type="dxa"/>
          </w:tcPr>
          <w:p>
            <w:pPr>
              <w:pStyle w:val="0"/>
              <w:jc w:val="center"/>
            </w:pPr>
            <w:r>
              <w:rPr>
                <w:sz w:val="20"/>
              </w:rPr>
              <w:t xml:space="preserve">790,0</w:t>
            </w:r>
          </w:p>
        </w:tc>
        <w:tc>
          <w:tcPr>
            <w:tcW w:w="832" w:type="dxa"/>
          </w:tcPr>
          <w:p>
            <w:pPr>
              <w:pStyle w:val="0"/>
              <w:jc w:val="center"/>
            </w:pPr>
            <w:r>
              <w:rPr>
                <w:sz w:val="20"/>
              </w:rPr>
              <w:t xml:space="preserve">312,9</w:t>
            </w:r>
          </w:p>
        </w:tc>
        <w:tc>
          <w:tcPr>
            <w:tcW w:w="832" w:type="dxa"/>
          </w:tcPr>
          <w:p>
            <w:pPr>
              <w:pStyle w:val="0"/>
              <w:jc w:val="center"/>
            </w:pPr>
            <w:r>
              <w:rPr>
                <w:sz w:val="20"/>
              </w:rPr>
              <w:t xml:space="preserve">93,4</w:t>
            </w:r>
          </w:p>
        </w:tc>
        <w:tc>
          <w:tcPr>
            <w:tcW w:w="832" w:type="dxa"/>
          </w:tcPr>
          <w:p>
            <w:pPr>
              <w:pStyle w:val="0"/>
              <w:jc w:val="center"/>
            </w:pPr>
            <w:r>
              <w:rPr>
                <w:sz w:val="20"/>
              </w:rPr>
              <w:t xml:space="preserve">28,1</w:t>
            </w:r>
          </w:p>
        </w:tc>
        <w:tc>
          <w:tcPr>
            <w:tcW w:w="832" w:type="dxa"/>
          </w:tcPr>
          <w:p>
            <w:pPr>
              <w:pStyle w:val="0"/>
              <w:jc w:val="center"/>
            </w:pPr>
            <w:r>
              <w:rPr>
                <w:sz w:val="20"/>
              </w:rPr>
              <w:t xml:space="preserve">181,3</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"Доступное жилье Новосибирск",</w:t>
            </w:r>
          </w:p>
          <w:p>
            <w:pPr>
              <w:pStyle w:val="0"/>
              <w:jc w:val="center"/>
            </w:pPr>
            <w:r>
              <w:rPr>
                <w:sz w:val="20"/>
              </w:rPr>
              <w:t xml:space="preserve">ООО "СЛК", ООО "Дивногорский", ИП Логинов Валерий Сергеевич, ИП Сотов Константин Геннадьевич</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IV кв. 2026</w:t>
            </w:r>
          </w:p>
        </w:tc>
        <w:tc>
          <w:tcPr>
            <w:tcW w:w="763" w:type="dxa"/>
          </w:tcPr>
          <w:p>
            <w:pPr>
              <w:pStyle w:val="0"/>
              <w:jc w:val="center"/>
            </w:pPr>
            <w:r>
              <w:rPr>
                <w:sz w:val="20"/>
              </w:rPr>
              <w:t xml:space="preserve">IV кв. 2026</w:t>
            </w:r>
          </w:p>
        </w:tc>
      </w:tr>
      <w:tr>
        <w:tc>
          <w:tcPr>
            <w:tcW w:w="567" w:type="dxa"/>
          </w:tcPr>
          <w:p>
            <w:pPr>
              <w:pStyle w:val="0"/>
              <w:jc w:val="center"/>
            </w:pPr>
            <w:r>
              <w:rPr>
                <w:sz w:val="20"/>
              </w:rPr>
              <w:t xml:space="preserve">63</w:t>
            </w:r>
          </w:p>
        </w:tc>
        <w:tc>
          <w:tcPr>
            <w:tcW w:w="2211" w:type="dxa"/>
          </w:tcPr>
          <w:p>
            <w:pPr>
              <w:pStyle w:val="0"/>
            </w:pPr>
            <w:r>
              <w:rPr>
                <w:sz w:val="20"/>
              </w:rPr>
              <w:t xml:space="preserve">Жилой комплекс Ясный берег по ул. 1-я Чулымская в Ленинском районе</w:t>
            </w:r>
          </w:p>
        </w:tc>
        <w:tc>
          <w:tcPr>
            <w:tcW w:w="907" w:type="dxa"/>
          </w:tcPr>
          <w:p>
            <w:pPr>
              <w:pStyle w:val="0"/>
              <w:jc w:val="center"/>
            </w:pPr>
            <w:r>
              <w:rPr>
                <w:sz w:val="20"/>
              </w:rPr>
              <w:t xml:space="preserve">36,1</w:t>
            </w:r>
          </w:p>
        </w:tc>
        <w:tc>
          <w:tcPr>
            <w:tcW w:w="907" w:type="dxa"/>
          </w:tcPr>
          <w:p>
            <w:pPr>
              <w:pStyle w:val="0"/>
              <w:jc w:val="center"/>
            </w:pPr>
            <w:r>
              <w:rPr>
                <w:sz w:val="20"/>
              </w:rPr>
              <w:t xml:space="preserve">550,0</w:t>
            </w:r>
          </w:p>
        </w:tc>
        <w:tc>
          <w:tcPr>
            <w:tcW w:w="832" w:type="dxa"/>
          </w:tcPr>
          <w:p>
            <w:pPr>
              <w:pStyle w:val="0"/>
              <w:jc w:val="center"/>
            </w:pPr>
            <w:r>
              <w:rPr>
                <w:sz w:val="20"/>
              </w:rPr>
              <w:t xml:space="preserve">290,7</w:t>
            </w:r>
          </w:p>
        </w:tc>
        <w:tc>
          <w:tcPr>
            <w:tcW w:w="832" w:type="dxa"/>
          </w:tcPr>
          <w:p>
            <w:pPr>
              <w:pStyle w:val="0"/>
              <w:jc w:val="center"/>
            </w:pPr>
            <w:r>
              <w:rPr>
                <w:sz w:val="20"/>
              </w:rPr>
              <w:t xml:space="preserve">124,9</w:t>
            </w:r>
          </w:p>
        </w:tc>
        <w:tc>
          <w:tcPr>
            <w:tcW w:w="832" w:type="dxa"/>
          </w:tcPr>
          <w:p>
            <w:pPr>
              <w:pStyle w:val="0"/>
              <w:jc w:val="center"/>
            </w:pPr>
            <w:r>
              <w:rPr>
                <w:sz w:val="20"/>
              </w:rPr>
              <w:t xml:space="preserve">75,0</w:t>
            </w:r>
          </w:p>
        </w:tc>
        <w:tc>
          <w:tcPr>
            <w:tcW w:w="832" w:type="dxa"/>
          </w:tcPr>
          <w:p>
            <w:pPr>
              <w:pStyle w:val="0"/>
              <w:jc w:val="center"/>
            </w:pPr>
            <w:r>
              <w:rPr>
                <w:sz w:val="20"/>
              </w:rPr>
              <w:t xml:space="preserve">187,3</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"АКВА-СИТИ", ООО "СДС-Строй", ООО специализированный застройщик "Аква-Девелопмент", ООО "СДС-Финанс", ООО СЗ "ПРОГРЕСС"</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IV кв. 2030</w:t>
            </w:r>
          </w:p>
        </w:tc>
        <w:tc>
          <w:tcPr>
            <w:tcW w:w="763" w:type="dxa"/>
          </w:tcPr>
          <w:p>
            <w:pPr>
              <w:pStyle w:val="0"/>
              <w:jc w:val="center"/>
            </w:pPr>
            <w:r>
              <w:rPr>
                <w:sz w:val="20"/>
              </w:rPr>
              <w:t xml:space="preserve">IV кв. 2030</w:t>
            </w:r>
          </w:p>
        </w:tc>
      </w:tr>
      <w:tr>
        <w:tc>
          <w:tcPr>
            <w:tcW w:w="567" w:type="dxa"/>
          </w:tcPr>
          <w:p>
            <w:pPr>
              <w:pStyle w:val="0"/>
              <w:jc w:val="center"/>
            </w:pPr>
            <w:r>
              <w:rPr>
                <w:sz w:val="20"/>
              </w:rPr>
              <w:t xml:space="preserve">64</w:t>
            </w:r>
          </w:p>
        </w:tc>
        <w:tc>
          <w:tcPr>
            <w:tcW w:w="2211" w:type="dxa"/>
          </w:tcPr>
          <w:p>
            <w:pPr>
              <w:pStyle w:val="0"/>
            </w:pPr>
            <w:r>
              <w:rPr>
                <w:sz w:val="20"/>
              </w:rPr>
              <w:t xml:space="preserve">Площадка по ул. Радиостанция N 2 г. Новосибирска</w:t>
            </w:r>
          </w:p>
        </w:tc>
        <w:tc>
          <w:tcPr>
            <w:tcW w:w="907" w:type="dxa"/>
          </w:tcPr>
          <w:p>
            <w:pPr>
              <w:pStyle w:val="0"/>
              <w:jc w:val="center"/>
            </w:pPr>
            <w:r>
              <w:rPr>
                <w:sz w:val="20"/>
              </w:rPr>
              <w:t xml:space="preserve">18,49</w:t>
            </w:r>
          </w:p>
        </w:tc>
        <w:tc>
          <w:tcPr>
            <w:tcW w:w="907" w:type="dxa"/>
          </w:tcPr>
          <w:p>
            <w:pPr>
              <w:pStyle w:val="0"/>
              <w:jc w:val="center"/>
            </w:pPr>
            <w:r>
              <w:rPr>
                <w:sz w:val="20"/>
              </w:rPr>
              <w:t xml:space="preserve">195,0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195,0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не определен</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w:t>
            </w:r>
          </w:p>
        </w:tc>
        <w:tc>
          <w:tcPr>
            <w:tcW w:w="856" w:type="dxa"/>
          </w:tcPr>
          <w:p>
            <w:pPr>
              <w:pStyle w:val="0"/>
              <w:jc w:val="center"/>
            </w:pPr>
            <w:r>
              <w:rPr>
                <w:sz w:val="20"/>
              </w:rPr>
              <w:t xml:space="preserve">-</w:t>
            </w:r>
          </w:p>
        </w:tc>
        <w:tc>
          <w:tcPr>
            <w:tcW w:w="856" w:type="dxa"/>
          </w:tcPr>
          <w:p>
            <w:pPr>
              <w:pStyle w:val="0"/>
              <w:jc w:val="center"/>
            </w:pPr>
            <w:r>
              <w:rPr>
                <w:sz w:val="20"/>
              </w:rPr>
              <w:t xml:space="preserve">-</w:t>
            </w:r>
          </w:p>
        </w:tc>
        <w:tc>
          <w:tcPr>
            <w:tcW w:w="856" w:type="dxa"/>
          </w:tcPr>
          <w:p>
            <w:pPr>
              <w:pStyle w:val="0"/>
              <w:jc w:val="center"/>
            </w:pPr>
            <w:r>
              <w:rPr>
                <w:sz w:val="20"/>
              </w:rPr>
              <w:t xml:space="preserve">IV кв. 2024</w:t>
            </w:r>
          </w:p>
        </w:tc>
        <w:tc>
          <w:tcPr>
            <w:tcW w:w="1117" w:type="dxa"/>
          </w:tcPr>
          <w:p>
            <w:pPr>
              <w:pStyle w:val="0"/>
              <w:jc w:val="center"/>
            </w:pPr>
            <w:r>
              <w:rPr>
                <w:sz w:val="20"/>
              </w:rPr>
              <w:t xml:space="preserve">IV кв. 2024</w:t>
            </w:r>
          </w:p>
        </w:tc>
        <w:tc>
          <w:tcPr>
            <w:tcW w:w="763" w:type="dxa"/>
          </w:tcPr>
          <w:p>
            <w:pPr>
              <w:pStyle w:val="0"/>
              <w:jc w:val="center"/>
            </w:pPr>
            <w:r>
              <w:rPr>
                <w:sz w:val="20"/>
              </w:rPr>
              <w:t xml:space="preserve">IV кв. 2024</w:t>
            </w:r>
          </w:p>
        </w:tc>
      </w:tr>
      <w:tr>
        <w:tc>
          <w:tcPr>
            <w:tcW w:w="567" w:type="dxa"/>
            <w:vMerge w:val="restart"/>
          </w:tcPr>
          <w:p>
            <w:pPr>
              <w:pStyle w:val="0"/>
              <w:jc w:val="center"/>
            </w:pPr>
            <w:r>
              <w:rPr>
                <w:sz w:val="20"/>
              </w:rPr>
              <w:t xml:space="preserve">65</w:t>
            </w:r>
          </w:p>
        </w:tc>
        <w:tc>
          <w:tcPr>
            <w:tcW w:w="2211" w:type="dxa"/>
            <w:vMerge w:val="restart"/>
          </w:tcPr>
          <w:p>
            <w:pPr>
              <w:pStyle w:val="0"/>
            </w:pPr>
            <w:r>
              <w:rPr>
                <w:sz w:val="20"/>
              </w:rPr>
              <w:t xml:space="preserve">Жилой микрорайон по ул. Никитина</w:t>
            </w:r>
          </w:p>
        </w:tc>
        <w:tc>
          <w:tcPr>
            <w:tcW w:w="907" w:type="dxa"/>
          </w:tcPr>
          <w:p>
            <w:pPr>
              <w:pStyle w:val="0"/>
              <w:jc w:val="center"/>
            </w:pPr>
            <w:r>
              <w:rPr>
                <w:sz w:val="20"/>
              </w:rPr>
              <w:t xml:space="preserve">2,7</w:t>
            </w:r>
          </w:p>
        </w:tc>
        <w:tc>
          <w:tcPr>
            <w:tcW w:w="907" w:type="dxa"/>
          </w:tcPr>
          <w:p>
            <w:pPr>
              <w:pStyle w:val="0"/>
              <w:jc w:val="center"/>
            </w:pPr>
            <w:r>
              <w:rPr>
                <w:sz w:val="20"/>
              </w:rPr>
              <w:t xml:space="preserve">27,2</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27,2</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не определен</w:t>
            </w:r>
          </w:p>
        </w:tc>
        <w:tc>
          <w:tcPr>
            <w:tcW w:w="992" w:type="dxa"/>
            <w:vMerge w:val="restart"/>
          </w:tcPr>
          <w:p>
            <w:pPr>
              <w:pStyle w:val="0"/>
              <w:jc w:val="center"/>
            </w:pPr>
            <w:r>
              <w:rPr>
                <w:sz w:val="20"/>
              </w:rPr>
              <w:t xml:space="preserve">выполнено</w:t>
            </w:r>
          </w:p>
        </w:tc>
        <w:tc>
          <w:tcPr>
            <w:tcW w:w="996" w:type="dxa"/>
            <w:vMerge w:val="restart"/>
          </w:tcPr>
          <w:p>
            <w:pPr>
              <w:pStyle w:val="0"/>
              <w:jc w:val="center"/>
            </w:pPr>
            <w:r>
              <w:rPr>
                <w:sz w:val="20"/>
              </w:rPr>
              <w:t xml:space="preserve">IV кв. 2024</w:t>
            </w:r>
          </w:p>
        </w:tc>
        <w:tc>
          <w:tcPr>
            <w:tcW w:w="856" w:type="dxa"/>
            <w:vMerge w:val="restart"/>
          </w:tcPr>
          <w:p>
            <w:pPr>
              <w:pStyle w:val="0"/>
              <w:jc w:val="center"/>
            </w:pPr>
            <w:r>
              <w:rPr>
                <w:sz w:val="20"/>
              </w:rPr>
              <w:t xml:space="preserve">IV кв. 2024</w:t>
            </w:r>
          </w:p>
        </w:tc>
        <w:tc>
          <w:tcPr>
            <w:tcW w:w="856" w:type="dxa"/>
            <w:vMerge w:val="restart"/>
          </w:tcPr>
          <w:p>
            <w:pPr>
              <w:pStyle w:val="0"/>
              <w:jc w:val="center"/>
            </w:pPr>
            <w:r>
              <w:rPr>
                <w:sz w:val="20"/>
              </w:rPr>
              <w:t xml:space="preserve">I кв. 2025</w:t>
            </w:r>
          </w:p>
        </w:tc>
        <w:tc>
          <w:tcPr>
            <w:tcW w:w="856" w:type="dxa"/>
            <w:vMerge w:val="restart"/>
          </w:tcPr>
          <w:p>
            <w:pPr>
              <w:pStyle w:val="0"/>
              <w:jc w:val="center"/>
            </w:pPr>
            <w:r>
              <w:rPr>
                <w:sz w:val="20"/>
              </w:rPr>
              <w:t xml:space="preserve">IV кв. 2027</w:t>
            </w:r>
          </w:p>
        </w:tc>
        <w:tc>
          <w:tcPr>
            <w:tcW w:w="1117" w:type="dxa"/>
            <w:vMerge w:val="restart"/>
          </w:tcPr>
          <w:p>
            <w:pPr>
              <w:pStyle w:val="0"/>
              <w:jc w:val="center"/>
            </w:pPr>
            <w:r>
              <w:rPr>
                <w:sz w:val="20"/>
              </w:rPr>
              <w:t xml:space="preserve">IV кв. 2027</w:t>
            </w:r>
          </w:p>
        </w:tc>
        <w:tc>
          <w:tcPr>
            <w:tcW w:w="763" w:type="dxa"/>
            <w:vMerge w:val="restart"/>
          </w:tcPr>
          <w:p>
            <w:pPr>
              <w:pStyle w:val="0"/>
              <w:jc w:val="center"/>
            </w:pPr>
            <w:r>
              <w:rPr>
                <w:sz w:val="20"/>
              </w:rPr>
              <w:t xml:space="preserve">I кв. 2028</w:t>
            </w:r>
          </w:p>
        </w:tc>
      </w:tr>
      <w:tr>
        <w:tc>
          <w:tcPr>
            <w:vMerge w:val="continue"/>
          </w:tcPr>
          <w:p/>
        </w:tc>
        <w:tc>
          <w:tcPr>
            <w:vMerge w:val="continue"/>
          </w:tcPr>
          <w:p/>
        </w:tc>
        <w:tc>
          <w:tcPr>
            <w:tcW w:w="907" w:type="dxa"/>
          </w:tcPr>
          <w:p>
            <w:pPr>
              <w:pStyle w:val="0"/>
              <w:jc w:val="center"/>
            </w:pPr>
            <w:r>
              <w:rPr>
                <w:sz w:val="20"/>
              </w:rPr>
              <w:t xml:space="preserve">4,6</w:t>
            </w:r>
          </w:p>
        </w:tc>
        <w:tc>
          <w:tcPr>
            <w:tcW w:w="907" w:type="dxa"/>
          </w:tcPr>
          <w:p>
            <w:pPr>
              <w:pStyle w:val="0"/>
              <w:jc w:val="center"/>
            </w:pPr>
            <w:r>
              <w:rPr>
                <w:sz w:val="20"/>
              </w:rPr>
              <w:t xml:space="preserve">46,4</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46,4</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не определен</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0"/>
              </w:rPr>
              <w:t xml:space="preserve">66</w:t>
            </w:r>
          </w:p>
        </w:tc>
        <w:tc>
          <w:tcPr>
            <w:tcW w:w="2211" w:type="dxa"/>
          </w:tcPr>
          <w:p>
            <w:pPr>
              <w:pStyle w:val="0"/>
            </w:pPr>
            <w:r>
              <w:rPr>
                <w:sz w:val="20"/>
              </w:rPr>
              <w:t xml:space="preserve">Жилой микрорайон Аэропорт по ул. Аэропорт в Заельцовском районе</w:t>
            </w:r>
          </w:p>
        </w:tc>
        <w:tc>
          <w:tcPr>
            <w:tcW w:w="907" w:type="dxa"/>
          </w:tcPr>
          <w:p>
            <w:pPr>
              <w:pStyle w:val="0"/>
              <w:jc w:val="center"/>
            </w:pPr>
            <w:r>
              <w:rPr>
                <w:sz w:val="20"/>
              </w:rPr>
              <w:t xml:space="preserve">260,0</w:t>
            </w:r>
          </w:p>
        </w:tc>
        <w:tc>
          <w:tcPr>
            <w:tcW w:w="907" w:type="dxa"/>
          </w:tcPr>
          <w:p>
            <w:pPr>
              <w:pStyle w:val="0"/>
              <w:jc w:val="center"/>
            </w:pPr>
            <w:r>
              <w:rPr>
                <w:sz w:val="20"/>
              </w:rPr>
              <w:t xml:space="preserve">2500,0</w:t>
            </w:r>
          </w:p>
        </w:tc>
        <w:tc>
          <w:tcPr>
            <w:tcW w:w="832" w:type="dxa"/>
          </w:tcPr>
          <w:p>
            <w:pPr>
              <w:pStyle w:val="0"/>
              <w:jc w:val="center"/>
            </w:pPr>
            <w:r>
              <w:rPr>
                <w:sz w:val="20"/>
              </w:rPr>
              <w:t xml:space="preserve">19,9</w:t>
            </w:r>
          </w:p>
        </w:tc>
        <w:tc>
          <w:tcPr>
            <w:tcW w:w="832" w:type="dxa"/>
          </w:tcPr>
          <w:p>
            <w:pPr>
              <w:pStyle w:val="0"/>
              <w:jc w:val="center"/>
            </w:pPr>
            <w:r>
              <w:rPr>
                <w:sz w:val="20"/>
              </w:rPr>
              <w:t xml:space="preserve">19,9</w:t>
            </w:r>
          </w:p>
        </w:tc>
        <w:tc>
          <w:tcPr>
            <w:tcW w:w="832" w:type="dxa"/>
          </w:tcPr>
          <w:p>
            <w:pPr>
              <w:pStyle w:val="0"/>
              <w:jc w:val="center"/>
            </w:pPr>
            <w:r>
              <w:rPr>
                <w:sz w:val="20"/>
              </w:rPr>
              <w:t xml:space="preserve">0,0</w:t>
            </w:r>
          </w:p>
        </w:tc>
        <w:tc>
          <w:tcPr>
            <w:tcW w:w="832" w:type="dxa"/>
          </w:tcPr>
          <w:p>
            <w:pPr>
              <w:pStyle w:val="0"/>
              <w:jc w:val="center"/>
            </w:pPr>
            <w:r>
              <w:rPr>
                <w:sz w:val="20"/>
              </w:rPr>
              <w:t xml:space="preserve">63,0</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"Квартал. Авиатор. Новосибирск. СЗ", ООО "СДС-Финанс", ООО СЗ "Нормандия-Неман", ООО СК "ВИРА-Строй"</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IV кв. 2023</w:t>
            </w:r>
          </w:p>
        </w:tc>
        <w:tc>
          <w:tcPr>
            <w:tcW w:w="1117" w:type="dxa"/>
          </w:tcPr>
          <w:p>
            <w:pPr>
              <w:pStyle w:val="0"/>
              <w:jc w:val="center"/>
            </w:pPr>
            <w:r>
              <w:rPr>
                <w:sz w:val="20"/>
              </w:rPr>
              <w:t xml:space="preserve">IV кв. 2028</w:t>
            </w:r>
          </w:p>
        </w:tc>
        <w:tc>
          <w:tcPr>
            <w:tcW w:w="763" w:type="dxa"/>
          </w:tcPr>
          <w:p>
            <w:pPr>
              <w:pStyle w:val="0"/>
              <w:jc w:val="center"/>
            </w:pPr>
            <w:r>
              <w:rPr>
                <w:sz w:val="20"/>
              </w:rPr>
              <w:t xml:space="preserve">IV кв. 2030</w:t>
            </w:r>
          </w:p>
        </w:tc>
      </w:tr>
      <w:tr>
        <w:tc>
          <w:tcPr>
            <w:gridSpan w:val="18"/>
            <w:tcW w:w="17062" w:type="dxa"/>
          </w:tcPr>
          <w:p>
            <w:pPr>
              <w:pStyle w:val="0"/>
              <w:outlineLvl w:val="2"/>
            </w:pPr>
            <w:r>
              <w:rPr>
                <w:sz w:val="20"/>
              </w:rPr>
              <w:t xml:space="preserve">г. Бердск</w:t>
            </w:r>
          </w:p>
        </w:tc>
      </w:tr>
      <w:tr>
        <w:tc>
          <w:tcPr>
            <w:tcW w:w="567" w:type="dxa"/>
          </w:tcPr>
          <w:p>
            <w:pPr>
              <w:pStyle w:val="0"/>
              <w:jc w:val="center"/>
            </w:pPr>
            <w:r>
              <w:rPr>
                <w:sz w:val="20"/>
              </w:rPr>
              <w:t xml:space="preserve">67</w:t>
            </w:r>
          </w:p>
        </w:tc>
        <w:tc>
          <w:tcPr>
            <w:tcW w:w="2211" w:type="dxa"/>
          </w:tcPr>
          <w:p>
            <w:pPr>
              <w:pStyle w:val="0"/>
            </w:pPr>
            <w:r>
              <w:rPr>
                <w:sz w:val="20"/>
              </w:rPr>
              <w:t xml:space="preserve">Г. Бердск, микрорайон Южный, кадастровый номер 54:32:010447:6254</w:t>
            </w:r>
          </w:p>
        </w:tc>
        <w:tc>
          <w:tcPr>
            <w:tcW w:w="907" w:type="dxa"/>
          </w:tcPr>
          <w:p>
            <w:pPr>
              <w:pStyle w:val="0"/>
              <w:jc w:val="center"/>
            </w:pPr>
            <w:r>
              <w:rPr>
                <w:sz w:val="20"/>
              </w:rPr>
              <w:t xml:space="preserve">1,3</w:t>
            </w:r>
          </w:p>
        </w:tc>
        <w:tc>
          <w:tcPr>
            <w:tcW w:w="907" w:type="dxa"/>
          </w:tcPr>
          <w:p>
            <w:pPr>
              <w:pStyle w:val="0"/>
              <w:jc w:val="center"/>
            </w:pPr>
            <w:r>
              <w:rPr>
                <w:sz w:val="20"/>
              </w:rPr>
              <w:t xml:space="preserve">2,32</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2320,0</w:t>
            </w:r>
          </w:p>
        </w:tc>
        <w:tc>
          <w:tcPr>
            <w:tcW w:w="835" w:type="dxa"/>
          </w:tcPr>
          <w:p>
            <w:pPr>
              <w:pStyle w:val="0"/>
              <w:jc w:val="center"/>
            </w:pPr>
            <w:r>
              <w:rPr>
                <w:sz w:val="20"/>
              </w:rPr>
              <w:t xml:space="preserve">0,0</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ООО "Квартал-С"</w:t>
            </w:r>
          </w:p>
        </w:tc>
        <w:tc>
          <w:tcPr>
            <w:tcW w:w="992" w:type="dxa"/>
          </w:tcPr>
          <w:p>
            <w:pPr>
              <w:pStyle w:val="0"/>
              <w:jc w:val="center"/>
            </w:pPr>
            <w:r>
              <w:rPr>
                <w:sz w:val="20"/>
              </w:rPr>
              <w:t xml:space="preserve">2019</w:t>
            </w:r>
          </w:p>
        </w:tc>
        <w:tc>
          <w:tcPr>
            <w:tcW w:w="996" w:type="dxa"/>
          </w:tcPr>
          <w:p>
            <w:pPr>
              <w:pStyle w:val="0"/>
              <w:jc w:val="center"/>
            </w:pPr>
            <w:r>
              <w:rPr>
                <w:sz w:val="20"/>
              </w:rPr>
              <w:t xml:space="preserve">2020</w:t>
            </w:r>
          </w:p>
        </w:tc>
        <w:tc>
          <w:tcPr>
            <w:tcW w:w="856" w:type="dxa"/>
          </w:tcPr>
          <w:p>
            <w:pPr>
              <w:pStyle w:val="0"/>
              <w:jc w:val="center"/>
            </w:pPr>
            <w:r>
              <w:rPr>
                <w:sz w:val="20"/>
              </w:rPr>
              <w:t xml:space="preserve">2021 - 2025</w:t>
            </w:r>
          </w:p>
        </w:tc>
        <w:tc>
          <w:tcPr>
            <w:tcW w:w="856" w:type="dxa"/>
          </w:tcPr>
          <w:p>
            <w:pPr>
              <w:pStyle w:val="0"/>
              <w:jc w:val="center"/>
            </w:pPr>
            <w:r>
              <w:rPr>
                <w:sz w:val="20"/>
              </w:rPr>
              <w:t xml:space="preserve">2021 - 2025</w:t>
            </w:r>
          </w:p>
        </w:tc>
        <w:tc>
          <w:tcPr>
            <w:tcW w:w="856" w:type="dxa"/>
          </w:tcPr>
          <w:p>
            <w:pPr>
              <w:pStyle w:val="0"/>
              <w:jc w:val="center"/>
            </w:pPr>
            <w:r>
              <w:rPr>
                <w:sz w:val="20"/>
              </w:rPr>
              <w:t xml:space="preserve">2021 - 2025</w:t>
            </w:r>
          </w:p>
        </w:tc>
        <w:tc>
          <w:tcPr>
            <w:tcW w:w="1117" w:type="dxa"/>
          </w:tcPr>
          <w:p>
            <w:pPr>
              <w:pStyle w:val="0"/>
              <w:jc w:val="center"/>
            </w:pPr>
            <w:r>
              <w:rPr>
                <w:sz w:val="20"/>
              </w:rPr>
              <w:t xml:space="preserve">2021 - 2025</w:t>
            </w:r>
          </w:p>
        </w:tc>
        <w:tc>
          <w:tcPr>
            <w:tcW w:w="763" w:type="dxa"/>
          </w:tcPr>
          <w:p>
            <w:pPr>
              <w:pStyle w:val="0"/>
              <w:jc w:val="center"/>
            </w:pPr>
            <w:r>
              <w:rPr>
                <w:sz w:val="20"/>
              </w:rPr>
              <w:t xml:space="preserve">2021 - 2025</w:t>
            </w:r>
          </w:p>
        </w:tc>
      </w:tr>
      <w:tr>
        <w:tc>
          <w:tcPr>
            <w:tcW w:w="567" w:type="dxa"/>
          </w:tcPr>
          <w:p>
            <w:pPr>
              <w:pStyle w:val="0"/>
              <w:jc w:val="center"/>
            </w:pPr>
            <w:r>
              <w:rPr>
                <w:sz w:val="20"/>
              </w:rPr>
              <w:t xml:space="preserve">68</w:t>
            </w:r>
          </w:p>
        </w:tc>
        <w:tc>
          <w:tcPr>
            <w:tcW w:w="2211" w:type="dxa"/>
          </w:tcPr>
          <w:p>
            <w:pPr>
              <w:pStyle w:val="0"/>
            </w:pPr>
            <w:r>
              <w:rPr>
                <w:sz w:val="20"/>
              </w:rPr>
              <w:t xml:space="preserve">Г. Бердск, микрорайон Южный, квартал 24, кадастровый номер 54:32:010447:6150</w:t>
            </w:r>
          </w:p>
        </w:tc>
        <w:tc>
          <w:tcPr>
            <w:tcW w:w="907" w:type="dxa"/>
          </w:tcPr>
          <w:p>
            <w:pPr>
              <w:pStyle w:val="0"/>
              <w:jc w:val="center"/>
            </w:pPr>
            <w:r>
              <w:rPr>
                <w:sz w:val="20"/>
              </w:rPr>
              <w:t xml:space="preserve">0,9</w:t>
            </w:r>
          </w:p>
        </w:tc>
        <w:tc>
          <w:tcPr>
            <w:tcW w:w="907" w:type="dxa"/>
          </w:tcPr>
          <w:p>
            <w:pPr>
              <w:pStyle w:val="0"/>
              <w:jc w:val="center"/>
            </w:pPr>
            <w:r>
              <w:rPr>
                <w:sz w:val="20"/>
              </w:rPr>
              <w:t xml:space="preserve">2,25</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2250,0</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ООО "Квартал-С"</w:t>
            </w:r>
          </w:p>
        </w:tc>
        <w:tc>
          <w:tcPr>
            <w:tcW w:w="992" w:type="dxa"/>
          </w:tcPr>
          <w:p>
            <w:pPr>
              <w:pStyle w:val="0"/>
              <w:jc w:val="center"/>
            </w:pPr>
            <w:r>
              <w:rPr>
                <w:sz w:val="20"/>
              </w:rPr>
              <w:t xml:space="preserve">2019</w:t>
            </w:r>
          </w:p>
        </w:tc>
        <w:tc>
          <w:tcPr>
            <w:tcW w:w="996" w:type="dxa"/>
          </w:tcPr>
          <w:p>
            <w:pPr>
              <w:pStyle w:val="0"/>
              <w:jc w:val="center"/>
            </w:pPr>
            <w:r>
              <w:rPr>
                <w:sz w:val="20"/>
              </w:rPr>
              <w:t xml:space="preserve">2020</w:t>
            </w:r>
          </w:p>
        </w:tc>
        <w:tc>
          <w:tcPr>
            <w:tcW w:w="856" w:type="dxa"/>
          </w:tcPr>
          <w:p>
            <w:pPr>
              <w:pStyle w:val="0"/>
              <w:jc w:val="center"/>
            </w:pPr>
            <w:r>
              <w:rPr>
                <w:sz w:val="20"/>
              </w:rPr>
              <w:t xml:space="preserve">2021 - 2025</w:t>
            </w:r>
          </w:p>
        </w:tc>
        <w:tc>
          <w:tcPr>
            <w:tcW w:w="856" w:type="dxa"/>
          </w:tcPr>
          <w:p>
            <w:pPr>
              <w:pStyle w:val="0"/>
              <w:jc w:val="center"/>
            </w:pPr>
            <w:r>
              <w:rPr>
                <w:sz w:val="20"/>
              </w:rPr>
              <w:t xml:space="preserve">2021 - 2025</w:t>
            </w:r>
          </w:p>
        </w:tc>
        <w:tc>
          <w:tcPr>
            <w:tcW w:w="856" w:type="dxa"/>
          </w:tcPr>
          <w:p>
            <w:pPr>
              <w:pStyle w:val="0"/>
              <w:jc w:val="center"/>
            </w:pPr>
            <w:r>
              <w:rPr>
                <w:sz w:val="20"/>
              </w:rPr>
              <w:t xml:space="preserve">2021 - 2025</w:t>
            </w:r>
          </w:p>
        </w:tc>
        <w:tc>
          <w:tcPr>
            <w:tcW w:w="1117" w:type="dxa"/>
          </w:tcPr>
          <w:p>
            <w:pPr>
              <w:pStyle w:val="0"/>
              <w:jc w:val="center"/>
            </w:pPr>
            <w:r>
              <w:rPr>
                <w:sz w:val="20"/>
              </w:rPr>
              <w:t xml:space="preserve">2021 - 2025</w:t>
            </w:r>
          </w:p>
        </w:tc>
        <w:tc>
          <w:tcPr>
            <w:tcW w:w="763" w:type="dxa"/>
          </w:tcPr>
          <w:p>
            <w:pPr>
              <w:pStyle w:val="0"/>
              <w:jc w:val="center"/>
            </w:pPr>
            <w:r>
              <w:rPr>
                <w:sz w:val="20"/>
              </w:rPr>
              <w:t xml:space="preserve">2021 - 2025</w:t>
            </w:r>
          </w:p>
        </w:tc>
      </w:tr>
      <w:tr>
        <w:tc>
          <w:tcPr>
            <w:tcW w:w="567" w:type="dxa"/>
          </w:tcPr>
          <w:p>
            <w:pPr>
              <w:pStyle w:val="0"/>
              <w:jc w:val="center"/>
            </w:pPr>
            <w:r>
              <w:rPr>
                <w:sz w:val="20"/>
              </w:rPr>
              <w:t xml:space="preserve">69</w:t>
            </w:r>
          </w:p>
        </w:tc>
        <w:tc>
          <w:tcPr>
            <w:tcW w:w="2211" w:type="dxa"/>
          </w:tcPr>
          <w:p>
            <w:pPr>
              <w:pStyle w:val="0"/>
            </w:pPr>
            <w:r>
              <w:rPr>
                <w:sz w:val="20"/>
              </w:rPr>
              <w:t xml:space="preserve">Г. Бердск, в пойме реки Раздельная (в районе автодрома), кадастровые номера 54:32:010197:639, 54:32:000000:3908 и др.</w:t>
            </w:r>
          </w:p>
        </w:tc>
        <w:tc>
          <w:tcPr>
            <w:tcW w:w="907" w:type="dxa"/>
          </w:tcPr>
          <w:p>
            <w:pPr>
              <w:pStyle w:val="0"/>
              <w:jc w:val="center"/>
            </w:pPr>
            <w:r>
              <w:rPr>
                <w:sz w:val="20"/>
              </w:rPr>
              <w:t xml:space="preserve">27,0</w:t>
            </w:r>
          </w:p>
        </w:tc>
        <w:tc>
          <w:tcPr>
            <w:tcW w:w="907" w:type="dxa"/>
          </w:tcPr>
          <w:p>
            <w:pPr>
              <w:pStyle w:val="0"/>
              <w:jc w:val="center"/>
            </w:pPr>
            <w:r>
              <w:rPr>
                <w:sz w:val="20"/>
              </w:rPr>
              <w:t xml:space="preserve">120,0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60,0</w:t>
            </w:r>
          </w:p>
        </w:tc>
        <w:tc>
          <w:tcPr>
            <w:tcW w:w="835" w:type="dxa"/>
          </w:tcPr>
          <w:p>
            <w:pPr>
              <w:pStyle w:val="0"/>
              <w:jc w:val="center"/>
            </w:pPr>
            <w:r>
              <w:rPr>
                <w:sz w:val="20"/>
              </w:rPr>
              <w:t xml:space="preserve">60,0</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ООО "Лесное"</w:t>
            </w:r>
          </w:p>
        </w:tc>
        <w:tc>
          <w:tcPr>
            <w:tcW w:w="992" w:type="dxa"/>
          </w:tcPr>
          <w:p>
            <w:pPr>
              <w:pStyle w:val="0"/>
              <w:jc w:val="center"/>
            </w:pPr>
            <w:r>
              <w:rPr>
                <w:sz w:val="20"/>
              </w:rPr>
              <w:t xml:space="preserve">-</w:t>
            </w:r>
          </w:p>
        </w:tc>
        <w:tc>
          <w:tcPr>
            <w:tcW w:w="996" w:type="dxa"/>
          </w:tcPr>
          <w:p>
            <w:pPr>
              <w:pStyle w:val="0"/>
              <w:jc w:val="center"/>
            </w:pPr>
            <w:r>
              <w:rPr>
                <w:sz w:val="20"/>
              </w:rPr>
              <w:t xml:space="preserve">2021</w:t>
            </w:r>
          </w:p>
        </w:tc>
        <w:tc>
          <w:tcPr>
            <w:tcW w:w="856" w:type="dxa"/>
          </w:tcPr>
          <w:p>
            <w:pPr>
              <w:pStyle w:val="0"/>
              <w:jc w:val="center"/>
            </w:pPr>
            <w:r>
              <w:rPr>
                <w:sz w:val="20"/>
              </w:rPr>
              <w:t xml:space="preserve">2021 - 2025</w:t>
            </w:r>
          </w:p>
        </w:tc>
        <w:tc>
          <w:tcPr>
            <w:tcW w:w="856" w:type="dxa"/>
          </w:tcPr>
          <w:p>
            <w:pPr>
              <w:pStyle w:val="0"/>
              <w:jc w:val="center"/>
            </w:pPr>
            <w:r>
              <w:rPr>
                <w:sz w:val="20"/>
              </w:rPr>
              <w:t xml:space="preserve">2021 - 2025</w:t>
            </w:r>
          </w:p>
        </w:tc>
        <w:tc>
          <w:tcPr>
            <w:tcW w:w="856" w:type="dxa"/>
          </w:tcPr>
          <w:p>
            <w:pPr>
              <w:pStyle w:val="0"/>
              <w:jc w:val="center"/>
            </w:pPr>
            <w:r>
              <w:rPr>
                <w:sz w:val="20"/>
              </w:rPr>
              <w:t xml:space="preserve">2021 - 2025</w:t>
            </w:r>
          </w:p>
        </w:tc>
        <w:tc>
          <w:tcPr>
            <w:tcW w:w="1117" w:type="dxa"/>
          </w:tcPr>
          <w:p>
            <w:pPr>
              <w:pStyle w:val="0"/>
              <w:jc w:val="center"/>
            </w:pPr>
            <w:r>
              <w:rPr>
                <w:sz w:val="20"/>
              </w:rPr>
              <w:t xml:space="preserve">2021 - 2025</w:t>
            </w:r>
          </w:p>
        </w:tc>
        <w:tc>
          <w:tcPr>
            <w:tcW w:w="763" w:type="dxa"/>
          </w:tcPr>
          <w:p>
            <w:pPr>
              <w:pStyle w:val="0"/>
              <w:jc w:val="center"/>
            </w:pPr>
            <w:r>
              <w:rPr>
                <w:sz w:val="20"/>
              </w:rPr>
              <w:t xml:space="preserve">2021 - 2025</w:t>
            </w:r>
          </w:p>
        </w:tc>
      </w:tr>
      <w:tr>
        <w:tc>
          <w:tcPr>
            <w:tcW w:w="567" w:type="dxa"/>
          </w:tcPr>
          <w:p>
            <w:pPr>
              <w:pStyle w:val="0"/>
              <w:jc w:val="center"/>
            </w:pPr>
            <w:r>
              <w:rPr>
                <w:sz w:val="20"/>
              </w:rPr>
              <w:t xml:space="preserve">70</w:t>
            </w:r>
          </w:p>
        </w:tc>
        <w:tc>
          <w:tcPr>
            <w:tcW w:w="2211" w:type="dxa"/>
          </w:tcPr>
          <w:p>
            <w:pPr>
              <w:pStyle w:val="0"/>
            </w:pPr>
            <w:r>
              <w:rPr>
                <w:sz w:val="20"/>
              </w:rPr>
              <w:t xml:space="preserve">Г. Бердск, урочище "Лысая гора", в районе п. Новый (присоединенные к территории г. Бердска земли МО Барышевского с/с)</w:t>
            </w:r>
          </w:p>
        </w:tc>
        <w:tc>
          <w:tcPr>
            <w:tcW w:w="907" w:type="dxa"/>
          </w:tcPr>
          <w:p>
            <w:pPr>
              <w:pStyle w:val="0"/>
              <w:jc w:val="center"/>
            </w:pPr>
            <w:r>
              <w:rPr>
                <w:sz w:val="20"/>
              </w:rPr>
              <w:t xml:space="preserve">30,47</w:t>
            </w:r>
          </w:p>
        </w:tc>
        <w:tc>
          <w:tcPr>
            <w:tcW w:w="907" w:type="dxa"/>
          </w:tcPr>
          <w:p>
            <w:pPr>
              <w:pStyle w:val="0"/>
              <w:jc w:val="center"/>
            </w:pPr>
            <w:r>
              <w:rPr>
                <w:sz w:val="20"/>
              </w:rPr>
              <w:t xml:space="preserve">24,7</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24,7</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ЖСК Новый, Бердский залив</w:t>
            </w:r>
          </w:p>
        </w:tc>
        <w:tc>
          <w:tcPr>
            <w:tcW w:w="992" w:type="dxa"/>
          </w:tcPr>
          <w:p>
            <w:pPr>
              <w:pStyle w:val="0"/>
              <w:jc w:val="center"/>
            </w:pPr>
            <w:r>
              <w:rPr>
                <w:sz w:val="20"/>
              </w:rPr>
              <w:t xml:space="preserve">2019</w:t>
            </w:r>
          </w:p>
        </w:tc>
        <w:tc>
          <w:tcPr>
            <w:tcW w:w="996" w:type="dxa"/>
          </w:tcPr>
          <w:p>
            <w:pPr>
              <w:pStyle w:val="0"/>
              <w:jc w:val="center"/>
            </w:pPr>
            <w:r>
              <w:rPr>
                <w:sz w:val="20"/>
              </w:rPr>
              <w:t xml:space="preserve">2018</w:t>
            </w:r>
          </w:p>
        </w:tc>
        <w:tc>
          <w:tcPr>
            <w:tcW w:w="856" w:type="dxa"/>
          </w:tcPr>
          <w:p>
            <w:pPr>
              <w:pStyle w:val="0"/>
              <w:jc w:val="center"/>
            </w:pPr>
            <w:r>
              <w:rPr>
                <w:sz w:val="20"/>
              </w:rPr>
              <w:t xml:space="preserve">2021 - 2025</w:t>
            </w:r>
          </w:p>
        </w:tc>
        <w:tc>
          <w:tcPr>
            <w:tcW w:w="856" w:type="dxa"/>
          </w:tcPr>
          <w:p>
            <w:pPr>
              <w:pStyle w:val="0"/>
              <w:jc w:val="center"/>
            </w:pPr>
            <w:r>
              <w:rPr>
                <w:sz w:val="20"/>
              </w:rPr>
              <w:t xml:space="preserve">2021 - 2025</w:t>
            </w:r>
          </w:p>
        </w:tc>
        <w:tc>
          <w:tcPr>
            <w:tcW w:w="856" w:type="dxa"/>
          </w:tcPr>
          <w:p>
            <w:pPr>
              <w:pStyle w:val="0"/>
              <w:jc w:val="center"/>
            </w:pPr>
            <w:r>
              <w:rPr>
                <w:sz w:val="20"/>
              </w:rPr>
              <w:t xml:space="preserve">2021 - 2025</w:t>
            </w:r>
          </w:p>
        </w:tc>
        <w:tc>
          <w:tcPr>
            <w:tcW w:w="1117" w:type="dxa"/>
          </w:tcPr>
          <w:p>
            <w:pPr>
              <w:pStyle w:val="0"/>
              <w:jc w:val="center"/>
            </w:pPr>
            <w:r>
              <w:rPr>
                <w:sz w:val="20"/>
              </w:rPr>
              <w:t xml:space="preserve">2021 - 2025</w:t>
            </w:r>
          </w:p>
        </w:tc>
        <w:tc>
          <w:tcPr>
            <w:tcW w:w="763" w:type="dxa"/>
          </w:tcPr>
          <w:p>
            <w:pPr>
              <w:pStyle w:val="0"/>
              <w:jc w:val="center"/>
            </w:pPr>
            <w:r>
              <w:rPr>
                <w:sz w:val="20"/>
              </w:rPr>
              <w:t xml:space="preserve">2021 - 2025</w:t>
            </w:r>
          </w:p>
        </w:tc>
      </w:tr>
      <w:tr>
        <w:tc>
          <w:tcPr>
            <w:tcW w:w="567" w:type="dxa"/>
          </w:tcPr>
          <w:p>
            <w:pPr>
              <w:pStyle w:val="0"/>
              <w:jc w:val="center"/>
            </w:pPr>
            <w:r>
              <w:rPr>
                <w:sz w:val="20"/>
              </w:rPr>
              <w:t xml:space="preserve">71</w:t>
            </w:r>
          </w:p>
        </w:tc>
        <w:tc>
          <w:tcPr>
            <w:tcW w:w="2211" w:type="dxa"/>
          </w:tcPr>
          <w:p>
            <w:pPr>
              <w:pStyle w:val="0"/>
            </w:pPr>
            <w:r>
              <w:rPr>
                <w:sz w:val="20"/>
              </w:rPr>
              <w:t xml:space="preserve">Г. Бердск, микрорайон Южный, в районе ул. Салаирской, кадастровый номер 54:32:010447:3484 и др.</w:t>
            </w:r>
          </w:p>
        </w:tc>
        <w:tc>
          <w:tcPr>
            <w:tcW w:w="907" w:type="dxa"/>
          </w:tcPr>
          <w:p>
            <w:pPr>
              <w:pStyle w:val="0"/>
              <w:jc w:val="center"/>
            </w:pPr>
            <w:r>
              <w:rPr>
                <w:sz w:val="20"/>
              </w:rPr>
              <w:t xml:space="preserve">7,69</w:t>
            </w:r>
          </w:p>
        </w:tc>
        <w:tc>
          <w:tcPr>
            <w:tcW w:w="907" w:type="dxa"/>
          </w:tcPr>
          <w:p>
            <w:pPr>
              <w:pStyle w:val="0"/>
              <w:jc w:val="center"/>
            </w:pPr>
            <w:r>
              <w:rPr>
                <w:sz w:val="20"/>
              </w:rPr>
              <w:t xml:space="preserve">101,67</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101,67</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СтройРегионСервис</w:t>
            </w:r>
          </w:p>
        </w:tc>
        <w:tc>
          <w:tcPr>
            <w:tcW w:w="992" w:type="dxa"/>
          </w:tcPr>
          <w:p>
            <w:pPr>
              <w:pStyle w:val="0"/>
              <w:jc w:val="center"/>
            </w:pPr>
            <w:r>
              <w:rPr>
                <w:sz w:val="20"/>
              </w:rPr>
              <w:t xml:space="preserve">2015</w:t>
            </w:r>
          </w:p>
        </w:tc>
        <w:tc>
          <w:tcPr>
            <w:tcW w:w="996" w:type="dxa"/>
          </w:tcPr>
          <w:p>
            <w:pPr>
              <w:pStyle w:val="0"/>
              <w:jc w:val="center"/>
            </w:pPr>
            <w:r>
              <w:rPr>
                <w:sz w:val="20"/>
              </w:rPr>
              <w:t xml:space="preserve">2018</w:t>
            </w:r>
          </w:p>
        </w:tc>
        <w:tc>
          <w:tcPr>
            <w:tcW w:w="856" w:type="dxa"/>
          </w:tcPr>
          <w:p>
            <w:pPr>
              <w:pStyle w:val="0"/>
              <w:jc w:val="center"/>
            </w:pPr>
            <w:r>
              <w:rPr>
                <w:sz w:val="20"/>
              </w:rPr>
              <w:t xml:space="preserve">2020 - 2026</w:t>
            </w:r>
          </w:p>
        </w:tc>
        <w:tc>
          <w:tcPr>
            <w:tcW w:w="856" w:type="dxa"/>
          </w:tcPr>
          <w:p>
            <w:pPr>
              <w:pStyle w:val="0"/>
              <w:jc w:val="center"/>
            </w:pPr>
            <w:r>
              <w:rPr>
                <w:sz w:val="20"/>
              </w:rPr>
              <w:t xml:space="preserve">2020 - 2026</w:t>
            </w:r>
          </w:p>
        </w:tc>
        <w:tc>
          <w:tcPr>
            <w:tcW w:w="856" w:type="dxa"/>
          </w:tcPr>
          <w:p>
            <w:pPr>
              <w:pStyle w:val="0"/>
              <w:jc w:val="center"/>
            </w:pPr>
            <w:r>
              <w:rPr>
                <w:sz w:val="20"/>
              </w:rPr>
              <w:t xml:space="preserve">2020 - 2026</w:t>
            </w:r>
          </w:p>
        </w:tc>
        <w:tc>
          <w:tcPr>
            <w:tcW w:w="1117" w:type="dxa"/>
          </w:tcPr>
          <w:p>
            <w:pPr>
              <w:pStyle w:val="0"/>
              <w:jc w:val="center"/>
            </w:pPr>
            <w:r>
              <w:rPr>
                <w:sz w:val="20"/>
              </w:rPr>
              <w:t xml:space="preserve">2020 - 2026</w:t>
            </w:r>
          </w:p>
        </w:tc>
        <w:tc>
          <w:tcPr>
            <w:tcW w:w="763" w:type="dxa"/>
          </w:tcPr>
          <w:p>
            <w:pPr>
              <w:pStyle w:val="0"/>
              <w:jc w:val="center"/>
            </w:pPr>
            <w:r>
              <w:rPr>
                <w:sz w:val="20"/>
              </w:rPr>
              <w:t xml:space="preserve">2020 - 2026</w:t>
            </w:r>
          </w:p>
        </w:tc>
      </w:tr>
      <w:tr>
        <w:tc>
          <w:tcPr>
            <w:gridSpan w:val="18"/>
            <w:tcW w:w="17062" w:type="dxa"/>
          </w:tcPr>
          <w:p>
            <w:pPr>
              <w:pStyle w:val="0"/>
              <w:outlineLvl w:val="2"/>
            </w:pPr>
            <w:r>
              <w:rPr>
                <w:sz w:val="20"/>
              </w:rPr>
              <w:t xml:space="preserve">г. Искитим</w:t>
            </w:r>
          </w:p>
        </w:tc>
      </w:tr>
      <w:tr>
        <w:tc>
          <w:tcPr>
            <w:tcW w:w="567" w:type="dxa"/>
          </w:tcPr>
          <w:p>
            <w:pPr>
              <w:pStyle w:val="0"/>
              <w:jc w:val="center"/>
            </w:pPr>
            <w:r>
              <w:rPr>
                <w:sz w:val="20"/>
              </w:rPr>
              <w:t xml:space="preserve">72</w:t>
            </w:r>
          </w:p>
        </w:tc>
        <w:tc>
          <w:tcPr>
            <w:tcW w:w="2211" w:type="dxa"/>
          </w:tcPr>
          <w:p>
            <w:pPr>
              <w:pStyle w:val="0"/>
            </w:pPr>
            <w:r>
              <w:rPr>
                <w:sz w:val="20"/>
              </w:rPr>
              <w:t xml:space="preserve">Жилмассив Западный, кадастровый номер 54:33:000000:41</w:t>
            </w:r>
          </w:p>
        </w:tc>
        <w:tc>
          <w:tcPr>
            <w:tcW w:w="907" w:type="dxa"/>
          </w:tcPr>
          <w:p>
            <w:pPr>
              <w:pStyle w:val="0"/>
              <w:jc w:val="center"/>
            </w:pPr>
            <w:r>
              <w:rPr>
                <w:sz w:val="20"/>
              </w:rPr>
              <w:t xml:space="preserve">30,65</w:t>
            </w:r>
          </w:p>
        </w:tc>
        <w:tc>
          <w:tcPr>
            <w:tcW w:w="907" w:type="dxa"/>
          </w:tcPr>
          <w:p>
            <w:pPr>
              <w:pStyle w:val="0"/>
              <w:jc w:val="center"/>
            </w:pPr>
            <w:r>
              <w:rPr>
                <w:sz w:val="20"/>
              </w:rPr>
              <w:t xml:space="preserve">16,4</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аренда Голубев В.А.</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2020</w:t>
            </w:r>
          </w:p>
        </w:tc>
        <w:tc>
          <w:tcPr>
            <w:tcW w:w="856" w:type="dxa"/>
          </w:tcPr>
          <w:p>
            <w:pPr>
              <w:pStyle w:val="0"/>
              <w:jc w:val="center"/>
            </w:pPr>
            <w:r>
              <w:rPr>
                <w:sz w:val="20"/>
              </w:rPr>
              <w:t xml:space="preserve">2022</w:t>
            </w:r>
          </w:p>
        </w:tc>
        <w:tc>
          <w:tcPr>
            <w:tcW w:w="856" w:type="dxa"/>
          </w:tcPr>
          <w:p>
            <w:pPr>
              <w:pStyle w:val="0"/>
              <w:jc w:val="center"/>
            </w:pPr>
            <w:r>
              <w:rPr>
                <w:sz w:val="20"/>
              </w:rPr>
              <w:t xml:space="preserve">2022</w:t>
            </w:r>
          </w:p>
        </w:tc>
        <w:tc>
          <w:tcPr>
            <w:tcW w:w="856" w:type="dxa"/>
          </w:tcPr>
          <w:p>
            <w:pPr>
              <w:pStyle w:val="0"/>
              <w:jc w:val="center"/>
            </w:pPr>
            <w:r>
              <w:rPr>
                <w:sz w:val="20"/>
              </w:rPr>
              <w:t xml:space="preserve">2022</w:t>
            </w:r>
          </w:p>
        </w:tc>
        <w:tc>
          <w:tcPr>
            <w:tcW w:w="1117" w:type="dxa"/>
          </w:tcPr>
          <w:p>
            <w:pPr>
              <w:pStyle w:val="0"/>
              <w:jc w:val="center"/>
            </w:pPr>
            <w:r>
              <w:rPr>
                <w:sz w:val="20"/>
              </w:rPr>
              <w:t xml:space="preserve">2022</w:t>
            </w:r>
          </w:p>
        </w:tc>
        <w:tc>
          <w:tcPr>
            <w:tcW w:w="763" w:type="dxa"/>
          </w:tcPr>
          <w:p>
            <w:pPr>
              <w:pStyle w:val="0"/>
              <w:jc w:val="center"/>
            </w:pPr>
            <w:r>
              <w:rPr>
                <w:sz w:val="20"/>
              </w:rPr>
              <w:t xml:space="preserve">2022</w:t>
            </w:r>
          </w:p>
        </w:tc>
      </w:tr>
      <w:tr>
        <w:tc>
          <w:tcPr>
            <w:tcW w:w="567" w:type="dxa"/>
          </w:tcPr>
          <w:p>
            <w:pPr>
              <w:pStyle w:val="0"/>
              <w:jc w:val="center"/>
            </w:pPr>
            <w:r>
              <w:rPr>
                <w:sz w:val="20"/>
              </w:rPr>
              <w:t xml:space="preserve">73</w:t>
            </w:r>
          </w:p>
        </w:tc>
        <w:tc>
          <w:tcPr>
            <w:tcW w:w="2211" w:type="dxa"/>
          </w:tcPr>
          <w:p>
            <w:pPr>
              <w:pStyle w:val="0"/>
            </w:pPr>
            <w:r>
              <w:rPr>
                <w:sz w:val="20"/>
              </w:rPr>
              <w:t xml:space="preserve">Жилмассив Ясный, кадастровый номер 54:33:040302:21</w:t>
            </w:r>
          </w:p>
        </w:tc>
        <w:tc>
          <w:tcPr>
            <w:tcW w:w="907" w:type="dxa"/>
          </w:tcPr>
          <w:p>
            <w:pPr>
              <w:pStyle w:val="0"/>
              <w:jc w:val="center"/>
            </w:pPr>
            <w:r>
              <w:rPr>
                <w:sz w:val="20"/>
              </w:rPr>
              <w:t xml:space="preserve">13,68</w:t>
            </w:r>
          </w:p>
        </w:tc>
        <w:tc>
          <w:tcPr>
            <w:tcW w:w="907" w:type="dxa"/>
          </w:tcPr>
          <w:p>
            <w:pPr>
              <w:pStyle w:val="0"/>
              <w:jc w:val="center"/>
            </w:pPr>
            <w:r>
              <w:rPr>
                <w:sz w:val="20"/>
              </w:rPr>
              <w:t xml:space="preserve">28,8</w:t>
            </w:r>
          </w:p>
        </w:tc>
        <w:tc>
          <w:tcPr>
            <w:tcW w:w="832" w:type="dxa"/>
          </w:tcPr>
          <w:p>
            <w:pPr>
              <w:pStyle w:val="0"/>
              <w:jc w:val="center"/>
            </w:pPr>
            <w:r>
              <w:rPr>
                <w:sz w:val="20"/>
              </w:rPr>
              <w:t xml:space="preserve">27,7</w:t>
            </w:r>
          </w:p>
        </w:tc>
        <w:tc>
          <w:tcPr>
            <w:tcW w:w="832" w:type="dxa"/>
          </w:tcPr>
          <w:p>
            <w:pPr>
              <w:pStyle w:val="0"/>
              <w:jc w:val="center"/>
            </w:pPr>
            <w:r>
              <w:rPr>
                <w:sz w:val="20"/>
              </w:rPr>
              <w:t xml:space="preserve">7,69</w:t>
            </w:r>
          </w:p>
        </w:tc>
        <w:tc>
          <w:tcPr>
            <w:tcW w:w="832" w:type="dxa"/>
          </w:tcPr>
          <w:p>
            <w:pPr>
              <w:pStyle w:val="0"/>
              <w:jc w:val="center"/>
            </w:pPr>
            <w:r>
              <w:rPr>
                <w:sz w:val="20"/>
              </w:rPr>
              <w:t xml:space="preserve">1,36</w:t>
            </w:r>
          </w:p>
        </w:tc>
        <w:tc>
          <w:tcPr>
            <w:tcW w:w="832" w:type="dxa"/>
          </w:tcPr>
          <w:p>
            <w:pPr>
              <w:pStyle w:val="0"/>
              <w:jc w:val="center"/>
            </w:pPr>
            <w:r>
              <w:rPr>
                <w:sz w:val="20"/>
              </w:rPr>
              <w:t xml:space="preserve">1,36</w:t>
            </w:r>
          </w:p>
        </w:tc>
        <w:tc>
          <w:tcPr>
            <w:tcW w:w="835" w:type="dxa"/>
          </w:tcPr>
          <w:p>
            <w:pPr>
              <w:pStyle w:val="0"/>
              <w:jc w:val="center"/>
            </w:pPr>
            <w:r>
              <w:rPr>
                <w:sz w:val="20"/>
              </w:rPr>
              <w:t xml:space="preserve">0,0</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аренда ООО "Гранит 1"</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2020</w:t>
            </w:r>
          </w:p>
        </w:tc>
        <w:tc>
          <w:tcPr>
            <w:tcW w:w="856" w:type="dxa"/>
          </w:tcPr>
          <w:p>
            <w:pPr>
              <w:pStyle w:val="0"/>
              <w:jc w:val="center"/>
            </w:pPr>
            <w:r>
              <w:rPr>
                <w:sz w:val="20"/>
              </w:rPr>
              <w:t xml:space="preserve">2020</w:t>
            </w:r>
          </w:p>
        </w:tc>
        <w:tc>
          <w:tcPr>
            <w:tcW w:w="856" w:type="dxa"/>
          </w:tcPr>
          <w:p>
            <w:pPr>
              <w:pStyle w:val="0"/>
              <w:jc w:val="center"/>
            </w:pPr>
            <w:r>
              <w:rPr>
                <w:sz w:val="20"/>
              </w:rPr>
              <w:t xml:space="preserve">выполнено</w:t>
            </w:r>
          </w:p>
        </w:tc>
        <w:tc>
          <w:tcPr>
            <w:tcW w:w="1117" w:type="dxa"/>
          </w:tcPr>
          <w:p>
            <w:pPr>
              <w:pStyle w:val="0"/>
              <w:jc w:val="center"/>
            </w:pPr>
            <w:r>
              <w:rPr>
                <w:sz w:val="20"/>
              </w:rPr>
              <w:t xml:space="preserve">III кв. 2022</w:t>
            </w:r>
          </w:p>
        </w:tc>
        <w:tc>
          <w:tcPr>
            <w:tcW w:w="763" w:type="dxa"/>
          </w:tcPr>
          <w:p>
            <w:pPr>
              <w:pStyle w:val="0"/>
              <w:jc w:val="center"/>
            </w:pPr>
            <w:r>
              <w:rPr>
                <w:sz w:val="20"/>
              </w:rPr>
              <w:t xml:space="preserve">III кв. 2022</w:t>
            </w:r>
          </w:p>
        </w:tc>
      </w:tr>
      <w:tr>
        <w:tc>
          <w:tcPr>
            <w:tcW w:w="567" w:type="dxa"/>
          </w:tcPr>
          <w:p>
            <w:pPr>
              <w:pStyle w:val="0"/>
              <w:jc w:val="center"/>
            </w:pPr>
            <w:r>
              <w:rPr>
                <w:sz w:val="20"/>
              </w:rPr>
              <w:t xml:space="preserve">74</w:t>
            </w:r>
          </w:p>
        </w:tc>
        <w:tc>
          <w:tcPr>
            <w:tcW w:w="2211" w:type="dxa"/>
          </w:tcPr>
          <w:p>
            <w:pPr>
              <w:pStyle w:val="0"/>
            </w:pPr>
            <w:r>
              <w:rPr>
                <w:sz w:val="20"/>
              </w:rPr>
              <w:t xml:space="preserve">В районе ул. Лесосплава, кадастровый номер 54:33:000000:883, кадастровый номер 54:33:000000:782, кадастровый номер 54:33:000000:783, кадастровый номер 54:33:000000:910, кадастровый номер 54:33:050420:81, кадастровый номер 54:33:050420:82, кадастровый номер 54:33:050420:83, кадастровый номер 54:33:050420:84</w:t>
            </w:r>
          </w:p>
        </w:tc>
        <w:tc>
          <w:tcPr>
            <w:tcW w:w="907" w:type="dxa"/>
          </w:tcPr>
          <w:p>
            <w:pPr>
              <w:pStyle w:val="0"/>
              <w:jc w:val="center"/>
            </w:pPr>
            <w:r>
              <w:rPr>
                <w:sz w:val="20"/>
              </w:rPr>
              <w:t xml:space="preserve">1,52</w:t>
            </w:r>
          </w:p>
        </w:tc>
        <w:tc>
          <w:tcPr>
            <w:tcW w:w="907" w:type="dxa"/>
          </w:tcPr>
          <w:p>
            <w:pPr>
              <w:pStyle w:val="0"/>
              <w:jc w:val="center"/>
            </w:pPr>
            <w:r>
              <w:rPr>
                <w:sz w:val="20"/>
              </w:rPr>
              <w:t xml:space="preserve">9,69</w:t>
            </w:r>
          </w:p>
        </w:tc>
        <w:tc>
          <w:tcPr>
            <w:tcW w:w="832" w:type="dxa"/>
          </w:tcPr>
          <w:p>
            <w:pPr>
              <w:pStyle w:val="0"/>
              <w:jc w:val="center"/>
            </w:pPr>
            <w:r>
              <w:rPr>
                <w:sz w:val="20"/>
              </w:rPr>
              <w:t xml:space="preserve">6,89</w:t>
            </w:r>
          </w:p>
        </w:tc>
        <w:tc>
          <w:tcPr>
            <w:tcW w:w="832" w:type="dxa"/>
          </w:tcPr>
          <w:p>
            <w:pPr>
              <w:pStyle w:val="0"/>
              <w:jc w:val="center"/>
            </w:pPr>
            <w:r>
              <w:rPr>
                <w:sz w:val="20"/>
              </w:rPr>
              <w:t xml:space="preserve">6,89</w:t>
            </w:r>
          </w:p>
        </w:tc>
        <w:tc>
          <w:tcPr>
            <w:tcW w:w="832" w:type="dxa"/>
          </w:tcPr>
          <w:p>
            <w:pPr>
              <w:pStyle w:val="0"/>
              <w:jc w:val="center"/>
            </w:pPr>
            <w:r>
              <w:rPr>
                <w:sz w:val="20"/>
              </w:rPr>
              <w:t xml:space="preserve">0,0</w:t>
            </w:r>
          </w:p>
        </w:tc>
        <w:tc>
          <w:tcPr>
            <w:tcW w:w="832" w:type="dxa"/>
          </w:tcPr>
          <w:p>
            <w:pPr>
              <w:pStyle w:val="0"/>
              <w:jc w:val="center"/>
            </w:pPr>
            <w:r>
              <w:rPr>
                <w:sz w:val="20"/>
              </w:rPr>
              <w:t xml:space="preserve">2,8</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договор о развитии застроенной территории ООО "РСК Восток", аренда ООО "РСК Восток"</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2020</w:t>
            </w:r>
          </w:p>
        </w:tc>
        <w:tc>
          <w:tcPr>
            <w:tcW w:w="856" w:type="dxa"/>
          </w:tcPr>
          <w:p>
            <w:pPr>
              <w:pStyle w:val="0"/>
              <w:jc w:val="center"/>
            </w:pPr>
            <w:r>
              <w:rPr>
                <w:sz w:val="20"/>
              </w:rPr>
              <w:t xml:space="preserve">2020</w:t>
            </w:r>
          </w:p>
        </w:tc>
        <w:tc>
          <w:tcPr>
            <w:tcW w:w="856" w:type="dxa"/>
          </w:tcPr>
          <w:p>
            <w:pPr>
              <w:pStyle w:val="0"/>
              <w:jc w:val="center"/>
            </w:pPr>
            <w:r>
              <w:rPr>
                <w:sz w:val="20"/>
              </w:rPr>
              <w:t xml:space="preserve">2020</w:t>
            </w:r>
          </w:p>
        </w:tc>
        <w:tc>
          <w:tcPr>
            <w:tcW w:w="1117" w:type="dxa"/>
          </w:tcPr>
          <w:p>
            <w:pPr>
              <w:pStyle w:val="0"/>
              <w:jc w:val="center"/>
            </w:pPr>
            <w:r>
              <w:rPr>
                <w:sz w:val="20"/>
              </w:rPr>
              <w:t xml:space="preserve">2022</w:t>
            </w:r>
          </w:p>
        </w:tc>
        <w:tc>
          <w:tcPr>
            <w:tcW w:w="763" w:type="dxa"/>
          </w:tcPr>
          <w:p>
            <w:pPr>
              <w:pStyle w:val="0"/>
              <w:jc w:val="center"/>
            </w:pPr>
            <w:r>
              <w:rPr>
                <w:sz w:val="20"/>
              </w:rPr>
              <w:t xml:space="preserve">2022</w:t>
            </w:r>
          </w:p>
        </w:tc>
      </w:tr>
      <w:tr>
        <w:tc>
          <w:tcPr>
            <w:tcW w:w="567" w:type="dxa"/>
          </w:tcPr>
          <w:p>
            <w:pPr>
              <w:pStyle w:val="0"/>
              <w:jc w:val="center"/>
            </w:pPr>
            <w:r>
              <w:rPr>
                <w:sz w:val="20"/>
              </w:rPr>
              <w:t xml:space="preserve">75</w:t>
            </w:r>
          </w:p>
        </w:tc>
        <w:tc>
          <w:tcPr>
            <w:tcW w:w="2211" w:type="dxa"/>
          </w:tcPr>
          <w:p>
            <w:pPr>
              <w:pStyle w:val="0"/>
            </w:pPr>
            <w:r>
              <w:rPr>
                <w:sz w:val="20"/>
              </w:rPr>
              <w:t xml:space="preserve">В районе жилмассива Ясный, кадастровый номер 54:33:040302:945, кадастровый номер 54:33:040302:1185</w:t>
            </w:r>
          </w:p>
        </w:tc>
        <w:tc>
          <w:tcPr>
            <w:tcW w:w="907" w:type="dxa"/>
          </w:tcPr>
          <w:p>
            <w:pPr>
              <w:pStyle w:val="0"/>
              <w:jc w:val="center"/>
            </w:pPr>
            <w:r>
              <w:rPr>
                <w:sz w:val="20"/>
              </w:rPr>
              <w:t xml:space="preserve">1,48</w:t>
            </w:r>
          </w:p>
        </w:tc>
        <w:tc>
          <w:tcPr>
            <w:tcW w:w="907" w:type="dxa"/>
          </w:tcPr>
          <w:p>
            <w:pPr>
              <w:pStyle w:val="0"/>
              <w:jc w:val="center"/>
            </w:pPr>
            <w:r>
              <w:rPr>
                <w:sz w:val="20"/>
              </w:rPr>
              <w:t xml:space="preserve">12,0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12,0</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договор аренды ООО "Квартал С"</w:t>
            </w:r>
          </w:p>
        </w:tc>
        <w:tc>
          <w:tcPr>
            <w:tcW w:w="992" w:type="dxa"/>
          </w:tcPr>
          <w:p>
            <w:pPr>
              <w:pStyle w:val="0"/>
              <w:jc w:val="center"/>
            </w:pPr>
            <w:r>
              <w:rPr>
                <w:sz w:val="20"/>
              </w:rPr>
              <w:t xml:space="preserve">2020</w:t>
            </w:r>
          </w:p>
        </w:tc>
        <w:tc>
          <w:tcPr>
            <w:tcW w:w="996" w:type="dxa"/>
          </w:tcPr>
          <w:p>
            <w:pPr>
              <w:pStyle w:val="0"/>
              <w:jc w:val="center"/>
            </w:pPr>
            <w:r>
              <w:rPr>
                <w:sz w:val="20"/>
              </w:rPr>
              <w:t xml:space="preserve">2020</w:t>
            </w:r>
          </w:p>
        </w:tc>
        <w:tc>
          <w:tcPr>
            <w:tcW w:w="856" w:type="dxa"/>
          </w:tcPr>
          <w:p>
            <w:pPr>
              <w:pStyle w:val="0"/>
              <w:jc w:val="center"/>
            </w:pPr>
            <w:r>
              <w:rPr>
                <w:sz w:val="20"/>
              </w:rPr>
              <w:t xml:space="preserve">2020</w:t>
            </w:r>
          </w:p>
        </w:tc>
        <w:tc>
          <w:tcPr>
            <w:tcW w:w="856" w:type="dxa"/>
          </w:tcPr>
          <w:p>
            <w:pPr>
              <w:pStyle w:val="0"/>
              <w:jc w:val="center"/>
            </w:pPr>
            <w:r>
              <w:rPr>
                <w:sz w:val="20"/>
              </w:rPr>
              <w:t xml:space="preserve">2020 - 2022</w:t>
            </w:r>
          </w:p>
        </w:tc>
        <w:tc>
          <w:tcPr>
            <w:tcW w:w="856" w:type="dxa"/>
          </w:tcPr>
          <w:p>
            <w:pPr>
              <w:pStyle w:val="0"/>
              <w:jc w:val="center"/>
            </w:pPr>
            <w:r>
              <w:rPr>
                <w:sz w:val="20"/>
              </w:rPr>
              <w:t xml:space="preserve">2024</w:t>
            </w:r>
          </w:p>
        </w:tc>
        <w:tc>
          <w:tcPr>
            <w:tcW w:w="1117" w:type="dxa"/>
          </w:tcPr>
          <w:p>
            <w:pPr>
              <w:pStyle w:val="0"/>
              <w:jc w:val="center"/>
            </w:pPr>
            <w:r>
              <w:rPr>
                <w:sz w:val="20"/>
              </w:rPr>
              <w:t xml:space="preserve">2024</w:t>
            </w:r>
          </w:p>
        </w:tc>
        <w:tc>
          <w:tcPr>
            <w:tcW w:w="763" w:type="dxa"/>
          </w:tcPr>
          <w:p>
            <w:pPr>
              <w:pStyle w:val="0"/>
              <w:jc w:val="center"/>
            </w:pPr>
            <w:r>
              <w:rPr>
                <w:sz w:val="20"/>
              </w:rPr>
              <w:t xml:space="preserve">2024</w:t>
            </w:r>
          </w:p>
        </w:tc>
      </w:tr>
      <w:tr>
        <w:tc>
          <w:tcPr>
            <w:tcW w:w="567" w:type="dxa"/>
          </w:tcPr>
          <w:p>
            <w:pPr>
              <w:pStyle w:val="0"/>
              <w:jc w:val="center"/>
            </w:pPr>
            <w:r>
              <w:rPr>
                <w:sz w:val="20"/>
              </w:rPr>
              <w:t xml:space="preserve">76</w:t>
            </w:r>
          </w:p>
        </w:tc>
        <w:tc>
          <w:tcPr>
            <w:tcW w:w="2211" w:type="dxa"/>
          </w:tcPr>
          <w:p>
            <w:pPr>
              <w:pStyle w:val="0"/>
            </w:pPr>
            <w:r>
              <w:rPr>
                <w:sz w:val="20"/>
              </w:rPr>
              <w:t xml:space="preserve">В районе жилмассива Ясный, кадастровый номер 54:33:040302:938</w:t>
            </w:r>
          </w:p>
        </w:tc>
        <w:tc>
          <w:tcPr>
            <w:tcW w:w="907" w:type="dxa"/>
          </w:tcPr>
          <w:p>
            <w:pPr>
              <w:pStyle w:val="0"/>
              <w:jc w:val="center"/>
            </w:pPr>
            <w:r>
              <w:rPr>
                <w:sz w:val="20"/>
              </w:rPr>
              <w:t xml:space="preserve">3,6</w:t>
            </w:r>
          </w:p>
        </w:tc>
        <w:tc>
          <w:tcPr>
            <w:tcW w:w="907"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w:t>
            </w:r>
          </w:p>
        </w:tc>
        <w:tc>
          <w:tcPr>
            <w:tcW w:w="992" w:type="dxa"/>
          </w:tcPr>
          <w:p>
            <w:pPr>
              <w:pStyle w:val="0"/>
              <w:jc w:val="center"/>
            </w:pPr>
            <w:r>
              <w:rPr>
                <w:sz w:val="20"/>
              </w:rPr>
              <w:t xml:space="preserve">-</w:t>
            </w:r>
          </w:p>
        </w:tc>
        <w:tc>
          <w:tcPr>
            <w:tcW w:w="996" w:type="dxa"/>
          </w:tcPr>
          <w:p>
            <w:pPr>
              <w:pStyle w:val="0"/>
              <w:jc w:val="center"/>
            </w:pPr>
            <w:r>
              <w:rPr>
                <w:sz w:val="20"/>
              </w:rPr>
              <w:t xml:space="preserve">-</w:t>
            </w:r>
          </w:p>
        </w:tc>
        <w:tc>
          <w:tcPr>
            <w:tcW w:w="856" w:type="dxa"/>
          </w:tcPr>
          <w:p>
            <w:pPr>
              <w:pStyle w:val="0"/>
              <w:jc w:val="center"/>
            </w:pPr>
            <w:r>
              <w:rPr>
                <w:sz w:val="20"/>
              </w:rPr>
              <w:t xml:space="preserve">-</w:t>
            </w:r>
          </w:p>
        </w:tc>
        <w:tc>
          <w:tcPr>
            <w:tcW w:w="856" w:type="dxa"/>
          </w:tcPr>
          <w:p>
            <w:pPr>
              <w:pStyle w:val="0"/>
              <w:jc w:val="center"/>
            </w:pPr>
            <w:r>
              <w:rPr>
                <w:sz w:val="20"/>
              </w:rPr>
              <w:t xml:space="preserve">-</w:t>
            </w:r>
          </w:p>
        </w:tc>
        <w:tc>
          <w:tcPr>
            <w:tcW w:w="856" w:type="dxa"/>
          </w:tcPr>
          <w:p>
            <w:pPr>
              <w:pStyle w:val="0"/>
              <w:jc w:val="center"/>
            </w:pPr>
            <w:r>
              <w:rPr>
                <w:sz w:val="20"/>
              </w:rPr>
              <w:t xml:space="preserve">-</w:t>
            </w:r>
          </w:p>
        </w:tc>
        <w:tc>
          <w:tcPr>
            <w:tcW w:w="1117" w:type="dxa"/>
          </w:tcPr>
          <w:p>
            <w:pPr>
              <w:pStyle w:val="0"/>
              <w:jc w:val="center"/>
            </w:pPr>
            <w:r>
              <w:rPr>
                <w:sz w:val="20"/>
              </w:rPr>
              <w:t xml:space="preserve">-</w:t>
            </w:r>
          </w:p>
        </w:tc>
        <w:tc>
          <w:tcPr>
            <w:tcW w:w="763" w:type="dxa"/>
          </w:tcPr>
          <w:p>
            <w:pPr>
              <w:pStyle w:val="0"/>
              <w:jc w:val="center"/>
            </w:pPr>
            <w:r>
              <w:rPr>
                <w:sz w:val="20"/>
              </w:rPr>
              <w:t xml:space="preserve">-</w:t>
            </w:r>
          </w:p>
        </w:tc>
      </w:tr>
      <w:tr>
        <w:tc>
          <w:tcPr>
            <w:tcW w:w="567" w:type="dxa"/>
          </w:tcPr>
          <w:p>
            <w:pPr>
              <w:pStyle w:val="0"/>
              <w:jc w:val="center"/>
            </w:pPr>
            <w:r>
              <w:rPr>
                <w:sz w:val="20"/>
              </w:rPr>
              <w:t xml:space="preserve">77</w:t>
            </w:r>
          </w:p>
        </w:tc>
        <w:tc>
          <w:tcPr>
            <w:tcW w:w="2211" w:type="dxa"/>
          </w:tcPr>
          <w:p>
            <w:pPr>
              <w:pStyle w:val="0"/>
            </w:pPr>
            <w:r>
              <w:rPr>
                <w:sz w:val="20"/>
              </w:rPr>
              <w:t xml:space="preserve">В районе жилмассива Ясный, кадастровый номер 54:33:040302:1214</w:t>
            </w:r>
          </w:p>
        </w:tc>
        <w:tc>
          <w:tcPr>
            <w:tcW w:w="907" w:type="dxa"/>
          </w:tcPr>
          <w:p>
            <w:pPr>
              <w:pStyle w:val="0"/>
              <w:jc w:val="center"/>
            </w:pPr>
            <w:r>
              <w:rPr>
                <w:sz w:val="20"/>
              </w:rPr>
              <w:t xml:space="preserve">3,9</w:t>
            </w:r>
          </w:p>
        </w:tc>
        <w:tc>
          <w:tcPr>
            <w:tcW w:w="907"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договор аренды ООО "Квартал С"</w:t>
            </w:r>
          </w:p>
        </w:tc>
        <w:tc>
          <w:tcPr>
            <w:tcW w:w="992" w:type="dxa"/>
          </w:tcPr>
          <w:p>
            <w:pPr>
              <w:pStyle w:val="0"/>
              <w:jc w:val="center"/>
            </w:pPr>
            <w:r>
              <w:rPr>
                <w:sz w:val="20"/>
              </w:rPr>
              <w:t xml:space="preserve">2021</w:t>
            </w:r>
          </w:p>
        </w:tc>
        <w:tc>
          <w:tcPr>
            <w:tcW w:w="996" w:type="dxa"/>
          </w:tcPr>
          <w:p>
            <w:pPr>
              <w:pStyle w:val="0"/>
              <w:jc w:val="center"/>
            </w:pPr>
            <w:r>
              <w:rPr>
                <w:sz w:val="20"/>
              </w:rPr>
              <w:t xml:space="preserve">2021</w:t>
            </w:r>
          </w:p>
        </w:tc>
        <w:tc>
          <w:tcPr>
            <w:tcW w:w="856" w:type="dxa"/>
          </w:tcPr>
          <w:p>
            <w:pPr>
              <w:pStyle w:val="0"/>
              <w:jc w:val="center"/>
            </w:pPr>
            <w:r>
              <w:rPr>
                <w:sz w:val="20"/>
              </w:rPr>
              <w:t xml:space="preserve">2021 - 2023</w:t>
            </w:r>
          </w:p>
        </w:tc>
        <w:tc>
          <w:tcPr>
            <w:tcW w:w="856" w:type="dxa"/>
          </w:tcPr>
          <w:p>
            <w:pPr>
              <w:pStyle w:val="0"/>
              <w:jc w:val="center"/>
            </w:pPr>
            <w:r>
              <w:rPr>
                <w:sz w:val="20"/>
              </w:rPr>
              <w:t xml:space="preserve">2022 - 2024</w:t>
            </w:r>
          </w:p>
        </w:tc>
        <w:tc>
          <w:tcPr>
            <w:tcW w:w="856" w:type="dxa"/>
          </w:tcPr>
          <w:p>
            <w:pPr>
              <w:pStyle w:val="0"/>
              <w:jc w:val="center"/>
            </w:pPr>
            <w:r>
              <w:rPr>
                <w:sz w:val="20"/>
              </w:rPr>
              <w:t xml:space="preserve">2023</w:t>
            </w:r>
          </w:p>
        </w:tc>
        <w:tc>
          <w:tcPr>
            <w:tcW w:w="1117" w:type="dxa"/>
          </w:tcPr>
          <w:p>
            <w:pPr>
              <w:pStyle w:val="0"/>
              <w:jc w:val="center"/>
            </w:pPr>
            <w:r>
              <w:rPr>
                <w:sz w:val="20"/>
              </w:rPr>
              <w:t xml:space="preserve">2023 - 2024</w:t>
            </w:r>
          </w:p>
        </w:tc>
        <w:tc>
          <w:tcPr>
            <w:tcW w:w="763" w:type="dxa"/>
          </w:tcPr>
          <w:p>
            <w:pPr>
              <w:pStyle w:val="0"/>
              <w:jc w:val="center"/>
            </w:pPr>
            <w:r>
              <w:rPr>
                <w:sz w:val="20"/>
              </w:rPr>
              <w:t xml:space="preserve">2023 - 2024</w:t>
            </w:r>
          </w:p>
        </w:tc>
      </w:tr>
      <w:tr>
        <w:tc>
          <w:tcPr>
            <w:gridSpan w:val="18"/>
            <w:tcW w:w="17062" w:type="dxa"/>
          </w:tcPr>
          <w:p>
            <w:pPr>
              <w:pStyle w:val="0"/>
              <w:outlineLvl w:val="2"/>
            </w:pPr>
            <w:r>
              <w:rPr>
                <w:sz w:val="20"/>
              </w:rPr>
              <w:t xml:space="preserve">г. Обь</w:t>
            </w:r>
          </w:p>
        </w:tc>
      </w:tr>
      <w:tr>
        <w:tc>
          <w:tcPr>
            <w:tcW w:w="567" w:type="dxa"/>
          </w:tcPr>
          <w:p>
            <w:pPr>
              <w:pStyle w:val="0"/>
              <w:jc w:val="center"/>
            </w:pPr>
            <w:r>
              <w:rPr>
                <w:sz w:val="20"/>
              </w:rPr>
              <w:t xml:space="preserve">78</w:t>
            </w:r>
          </w:p>
        </w:tc>
        <w:tc>
          <w:tcPr>
            <w:tcW w:w="2211" w:type="dxa"/>
          </w:tcPr>
          <w:p>
            <w:pPr>
              <w:pStyle w:val="0"/>
            </w:pPr>
            <w:r>
              <w:rPr>
                <w:sz w:val="20"/>
              </w:rPr>
              <w:t xml:space="preserve">Г. Обь, жилой микрорайон севернее ул. Станционной, жилой комплекс Молодежный южнее ул. Большой, Толмачевский с/с</w:t>
            </w:r>
          </w:p>
        </w:tc>
        <w:tc>
          <w:tcPr>
            <w:tcW w:w="907" w:type="dxa"/>
          </w:tcPr>
          <w:p>
            <w:pPr>
              <w:pStyle w:val="0"/>
              <w:jc w:val="center"/>
            </w:pPr>
            <w:r>
              <w:rPr>
                <w:sz w:val="20"/>
              </w:rPr>
              <w:t xml:space="preserve">16,5</w:t>
            </w:r>
          </w:p>
        </w:tc>
        <w:tc>
          <w:tcPr>
            <w:tcW w:w="907" w:type="dxa"/>
          </w:tcPr>
          <w:p>
            <w:pPr>
              <w:pStyle w:val="0"/>
              <w:jc w:val="center"/>
            </w:pPr>
            <w:r>
              <w:rPr>
                <w:sz w:val="20"/>
              </w:rPr>
              <w:t xml:space="preserve">166,32</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7,0</w:t>
            </w:r>
          </w:p>
        </w:tc>
        <w:tc>
          <w:tcPr>
            <w:tcW w:w="835" w:type="dxa"/>
          </w:tcPr>
          <w:p>
            <w:pPr>
              <w:pStyle w:val="0"/>
              <w:jc w:val="center"/>
            </w:pPr>
            <w:r>
              <w:rPr>
                <w:sz w:val="20"/>
              </w:rPr>
              <w:t xml:space="preserve">7,0</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неразграниченная собственность</w:t>
            </w:r>
          </w:p>
        </w:tc>
        <w:tc>
          <w:tcPr>
            <w:tcW w:w="992" w:type="dxa"/>
          </w:tcPr>
          <w:p>
            <w:pPr>
              <w:pStyle w:val="0"/>
              <w:jc w:val="center"/>
            </w:pPr>
            <w:r>
              <w:rPr>
                <w:sz w:val="20"/>
              </w:rPr>
              <w:t xml:space="preserve">2022</w:t>
            </w:r>
          </w:p>
        </w:tc>
        <w:tc>
          <w:tcPr>
            <w:tcW w:w="996" w:type="dxa"/>
          </w:tcPr>
          <w:p>
            <w:pPr>
              <w:pStyle w:val="0"/>
              <w:jc w:val="center"/>
            </w:pPr>
            <w:r>
              <w:rPr>
                <w:sz w:val="20"/>
              </w:rPr>
              <w:t xml:space="preserve">2023</w:t>
            </w:r>
          </w:p>
        </w:tc>
        <w:tc>
          <w:tcPr>
            <w:tcW w:w="856" w:type="dxa"/>
          </w:tcPr>
          <w:p>
            <w:pPr>
              <w:pStyle w:val="0"/>
              <w:jc w:val="center"/>
            </w:pPr>
            <w:r>
              <w:rPr>
                <w:sz w:val="20"/>
              </w:rPr>
              <w:t xml:space="preserve">2023</w:t>
            </w:r>
          </w:p>
        </w:tc>
        <w:tc>
          <w:tcPr>
            <w:tcW w:w="856" w:type="dxa"/>
          </w:tcPr>
          <w:p>
            <w:pPr>
              <w:pStyle w:val="0"/>
              <w:jc w:val="center"/>
            </w:pPr>
            <w:r>
              <w:rPr>
                <w:sz w:val="20"/>
              </w:rPr>
              <w:t xml:space="preserve">2023</w:t>
            </w:r>
          </w:p>
        </w:tc>
        <w:tc>
          <w:tcPr>
            <w:tcW w:w="856" w:type="dxa"/>
          </w:tcPr>
          <w:p>
            <w:pPr>
              <w:pStyle w:val="0"/>
              <w:jc w:val="center"/>
            </w:pPr>
            <w:r>
              <w:rPr>
                <w:sz w:val="20"/>
              </w:rPr>
              <w:t xml:space="preserve">2024</w:t>
            </w:r>
          </w:p>
        </w:tc>
        <w:tc>
          <w:tcPr>
            <w:tcW w:w="1117" w:type="dxa"/>
          </w:tcPr>
          <w:p>
            <w:pPr>
              <w:pStyle w:val="0"/>
              <w:jc w:val="center"/>
            </w:pPr>
            <w:r>
              <w:rPr>
                <w:sz w:val="20"/>
              </w:rPr>
              <w:t xml:space="preserve">2024 - 2030</w:t>
            </w:r>
          </w:p>
        </w:tc>
        <w:tc>
          <w:tcPr>
            <w:tcW w:w="763" w:type="dxa"/>
          </w:tcPr>
          <w:p>
            <w:pPr>
              <w:pStyle w:val="0"/>
              <w:jc w:val="center"/>
            </w:pPr>
            <w:r>
              <w:rPr>
                <w:sz w:val="20"/>
              </w:rPr>
              <w:t xml:space="preserve">2024 - 2030</w:t>
            </w:r>
          </w:p>
        </w:tc>
      </w:tr>
      <w:tr>
        <w:tc>
          <w:tcPr>
            <w:gridSpan w:val="18"/>
            <w:tcW w:w="17062" w:type="dxa"/>
          </w:tcPr>
          <w:p>
            <w:pPr>
              <w:pStyle w:val="0"/>
              <w:outlineLvl w:val="2"/>
            </w:pPr>
            <w:r>
              <w:rPr>
                <w:sz w:val="20"/>
              </w:rPr>
              <w:t xml:space="preserve">р.п. Кольцово</w:t>
            </w:r>
          </w:p>
        </w:tc>
      </w:tr>
      <w:tr>
        <w:tc>
          <w:tcPr>
            <w:tcW w:w="567" w:type="dxa"/>
          </w:tcPr>
          <w:p>
            <w:pPr>
              <w:pStyle w:val="0"/>
              <w:jc w:val="center"/>
            </w:pPr>
            <w:r>
              <w:rPr>
                <w:sz w:val="20"/>
              </w:rPr>
              <w:t xml:space="preserve">79</w:t>
            </w:r>
          </w:p>
        </w:tc>
        <w:tc>
          <w:tcPr>
            <w:tcW w:w="2211" w:type="dxa"/>
          </w:tcPr>
          <w:p>
            <w:pPr>
              <w:pStyle w:val="0"/>
            </w:pPr>
            <w:r>
              <w:rPr>
                <w:sz w:val="20"/>
              </w:rPr>
              <w:t xml:space="preserve">Микрорайон IX</w:t>
            </w:r>
          </w:p>
        </w:tc>
        <w:tc>
          <w:tcPr>
            <w:tcW w:w="907" w:type="dxa"/>
          </w:tcPr>
          <w:p>
            <w:pPr>
              <w:pStyle w:val="0"/>
              <w:jc w:val="center"/>
            </w:pPr>
            <w:r>
              <w:rPr>
                <w:sz w:val="20"/>
              </w:rPr>
              <w:t xml:space="preserve">17,4</w:t>
            </w:r>
          </w:p>
        </w:tc>
        <w:tc>
          <w:tcPr>
            <w:tcW w:w="907" w:type="dxa"/>
          </w:tcPr>
          <w:p>
            <w:pPr>
              <w:pStyle w:val="0"/>
              <w:jc w:val="center"/>
            </w:pPr>
            <w:r>
              <w:rPr>
                <w:sz w:val="20"/>
              </w:rPr>
              <w:t xml:space="preserve">100,6</w:t>
            </w:r>
          </w:p>
        </w:tc>
        <w:tc>
          <w:tcPr>
            <w:tcW w:w="832" w:type="dxa"/>
          </w:tcPr>
          <w:p>
            <w:pPr>
              <w:pStyle w:val="0"/>
              <w:jc w:val="center"/>
            </w:pPr>
            <w:r>
              <w:rPr>
                <w:sz w:val="20"/>
              </w:rPr>
              <w:t xml:space="preserve">27,791</w:t>
            </w:r>
          </w:p>
        </w:tc>
        <w:tc>
          <w:tcPr>
            <w:tcW w:w="832" w:type="dxa"/>
          </w:tcPr>
          <w:p>
            <w:pPr>
              <w:pStyle w:val="0"/>
              <w:jc w:val="center"/>
            </w:pPr>
            <w:r>
              <w:rPr>
                <w:sz w:val="20"/>
              </w:rPr>
              <w:t xml:space="preserve">27,791</w:t>
            </w:r>
          </w:p>
        </w:tc>
        <w:tc>
          <w:tcPr>
            <w:tcW w:w="832" w:type="dxa"/>
          </w:tcPr>
          <w:p>
            <w:pPr>
              <w:pStyle w:val="0"/>
              <w:jc w:val="center"/>
            </w:pPr>
            <w:r>
              <w:rPr>
                <w:sz w:val="20"/>
              </w:rPr>
              <w:t xml:space="preserve">9,735</w:t>
            </w:r>
          </w:p>
        </w:tc>
        <w:tc>
          <w:tcPr>
            <w:tcW w:w="832" w:type="dxa"/>
          </w:tcPr>
          <w:p>
            <w:pPr>
              <w:pStyle w:val="0"/>
              <w:jc w:val="center"/>
            </w:pPr>
            <w:r>
              <w:rPr>
                <w:sz w:val="20"/>
              </w:rPr>
              <w:t xml:space="preserve">22,196</w:t>
            </w:r>
          </w:p>
        </w:tc>
        <w:tc>
          <w:tcPr>
            <w:tcW w:w="835" w:type="dxa"/>
          </w:tcPr>
          <w:p>
            <w:pPr>
              <w:pStyle w:val="0"/>
              <w:jc w:val="center"/>
            </w:pPr>
            <w:r>
              <w:rPr>
                <w:sz w:val="20"/>
              </w:rPr>
              <w:t xml:space="preserve">5,732</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неразграниченная собственность/аренда ООО Строительная фирма Проспект, ООО "АКД"</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II кв. 2027</w:t>
            </w:r>
          </w:p>
        </w:tc>
        <w:tc>
          <w:tcPr>
            <w:tcW w:w="1117" w:type="dxa"/>
          </w:tcPr>
          <w:p>
            <w:pPr>
              <w:pStyle w:val="0"/>
              <w:jc w:val="center"/>
            </w:pPr>
            <w:r>
              <w:rPr>
                <w:sz w:val="20"/>
              </w:rPr>
              <w:t xml:space="preserve">II кв. 2027</w:t>
            </w:r>
          </w:p>
        </w:tc>
        <w:tc>
          <w:tcPr>
            <w:tcW w:w="763" w:type="dxa"/>
          </w:tcPr>
          <w:p>
            <w:pPr>
              <w:pStyle w:val="0"/>
              <w:jc w:val="center"/>
            </w:pPr>
            <w:r>
              <w:rPr>
                <w:sz w:val="20"/>
              </w:rPr>
              <w:t xml:space="preserve">IV кв. 2027</w:t>
            </w:r>
          </w:p>
        </w:tc>
      </w:tr>
      <w:tr>
        <w:tc>
          <w:tcPr>
            <w:tcW w:w="567" w:type="dxa"/>
          </w:tcPr>
          <w:p>
            <w:pPr>
              <w:pStyle w:val="0"/>
              <w:jc w:val="center"/>
            </w:pPr>
            <w:r>
              <w:rPr>
                <w:sz w:val="20"/>
              </w:rPr>
              <w:t xml:space="preserve">80</w:t>
            </w:r>
          </w:p>
        </w:tc>
        <w:tc>
          <w:tcPr>
            <w:tcW w:w="2211" w:type="dxa"/>
          </w:tcPr>
          <w:p>
            <w:pPr>
              <w:pStyle w:val="0"/>
            </w:pPr>
            <w:r>
              <w:rPr>
                <w:sz w:val="20"/>
              </w:rPr>
              <w:t xml:space="preserve">Микрорайон V</w:t>
            </w:r>
          </w:p>
        </w:tc>
        <w:tc>
          <w:tcPr>
            <w:tcW w:w="907" w:type="dxa"/>
          </w:tcPr>
          <w:p>
            <w:pPr>
              <w:pStyle w:val="0"/>
              <w:jc w:val="center"/>
            </w:pPr>
            <w:r>
              <w:rPr>
                <w:sz w:val="20"/>
              </w:rPr>
              <w:t xml:space="preserve">31,2</w:t>
            </w:r>
          </w:p>
        </w:tc>
        <w:tc>
          <w:tcPr>
            <w:tcW w:w="907" w:type="dxa"/>
          </w:tcPr>
          <w:p>
            <w:pPr>
              <w:pStyle w:val="0"/>
              <w:jc w:val="center"/>
            </w:pPr>
            <w:r>
              <w:rPr>
                <w:sz w:val="20"/>
              </w:rPr>
              <w:t xml:space="preserve">245,2</w:t>
            </w:r>
          </w:p>
        </w:tc>
        <w:tc>
          <w:tcPr>
            <w:tcW w:w="832" w:type="dxa"/>
          </w:tcPr>
          <w:p>
            <w:pPr>
              <w:pStyle w:val="0"/>
              <w:jc w:val="center"/>
            </w:pPr>
            <w:r>
              <w:rPr>
                <w:sz w:val="20"/>
              </w:rPr>
              <w:t xml:space="preserve">6,12</w:t>
            </w:r>
          </w:p>
        </w:tc>
        <w:tc>
          <w:tcPr>
            <w:tcW w:w="832" w:type="dxa"/>
          </w:tcPr>
          <w:p>
            <w:pPr>
              <w:pStyle w:val="0"/>
              <w:jc w:val="center"/>
            </w:pPr>
            <w:r>
              <w:rPr>
                <w:sz w:val="20"/>
              </w:rPr>
              <w:t xml:space="preserve">6,12</w:t>
            </w:r>
          </w:p>
        </w:tc>
        <w:tc>
          <w:tcPr>
            <w:tcW w:w="832" w:type="dxa"/>
          </w:tcPr>
          <w:p>
            <w:pPr>
              <w:pStyle w:val="0"/>
              <w:jc w:val="center"/>
            </w:pPr>
            <w:r>
              <w:rPr>
                <w:sz w:val="20"/>
              </w:rPr>
              <w:t xml:space="preserve">22,997</w:t>
            </w:r>
          </w:p>
        </w:tc>
        <w:tc>
          <w:tcPr>
            <w:tcW w:w="832" w:type="dxa"/>
          </w:tcPr>
          <w:p>
            <w:pPr>
              <w:pStyle w:val="0"/>
              <w:jc w:val="center"/>
            </w:pPr>
            <w:r>
              <w:rPr>
                <w:sz w:val="20"/>
              </w:rPr>
              <w:t xml:space="preserve">75,0</w:t>
            </w:r>
          </w:p>
        </w:tc>
        <w:tc>
          <w:tcPr>
            <w:tcW w:w="835" w:type="dxa"/>
          </w:tcPr>
          <w:p>
            <w:pPr>
              <w:pStyle w:val="0"/>
              <w:jc w:val="center"/>
            </w:pPr>
            <w:r>
              <w:rPr>
                <w:sz w:val="20"/>
              </w:rPr>
              <w:t xml:space="preserve">78,0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неразграниченная собственность/аренда ООО Строительная фирма Проспект</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IV кв. 2025</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I кв. 2026</w:t>
            </w:r>
          </w:p>
        </w:tc>
        <w:tc>
          <w:tcPr>
            <w:tcW w:w="1117" w:type="dxa"/>
          </w:tcPr>
          <w:p>
            <w:pPr>
              <w:pStyle w:val="0"/>
              <w:jc w:val="center"/>
            </w:pPr>
            <w:r>
              <w:rPr>
                <w:sz w:val="20"/>
              </w:rPr>
              <w:t xml:space="preserve">I кв. 2026</w:t>
            </w:r>
          </w:p>
        </w:tc>
        <w:tc>
          <w:tcPr>
            <w:tcW w:w="763" w:type="dxa"/>
          </w:tcPr>
          <w:p>
            <w:pPr>
              <w:pStyle w:val="0"/>
              <w:jc w:val="center"/>
            </w:pPr>
            <w:r>
              <w:rPr>
                <w:sz w:val="20"/>
              </w:rPr>
              <w:t xml:space="preserve">I кв. 2026</w:t>
            </w:r>
          </w:p>
        </w:tc>
      </w:tr>
      <w:tr>
        <w:tc>
          <w:tcPr>
            <w:tcW w:w="567" w:type="dxa"/>
          </w:tcPr>
          <w:p>
            <w:pPr>
              <w:pStyle w:val="0"/>
              <w:jc w:val="center"/>
            </w:pPr>
            <w:r>
              <w:rPr>
                <w:sz w:val="20"/>
              </w:rPr>
              <w:t xml:space="preserve">81</w:t>
            </w:r>
          </w:p>
        </w:tc>
        <w:tc>
          <w:tcPr>
            <w:tcW w:w="2211" w:type="dxa"/>
          </w:tcPr>
          <w:p>
            <w:pPr>
              <w:pStyle w:val="0"/>
            </w:pPr>
            <w:r>
              <w:rPr>
                <w:sz w:val="20"/>
              </w:rPr>
              <w:t xml:space="preserve">Микрорайон Vа</w:t>
            </w:r>
          </w:p>
        </w:tc>
        <w:tc>
          <w:tcPr>
            <w:tcW w:w="907" w:type="dxa"/>
          </w:tcPr>
          <w:p>
            <w:pPr>
              <w:pStyle w:val="0"/>
              <w:jc w:val="center"/>
            </w:pPr>
            <w:r>
              <w:rPr>
                <w:sz w:val="20"/>
              </w:rPr>
              <w:t xml:space="preserve">26,6</w:t>
            </w:r>
          </w:p>
        </w:tc>
        <w:tc>
          <w:tcPr>
            <w:tcW w:w="907" w:type="dxa"/>
          </w:tcPr>
          <w:p>
            <w:pPr>
              <w:pStyle w:val="0"/>
              <w:jc w:val="center"/>
            </w:pPr>
            <w:r>
              <w:rPr>
                <w:sz w:val="20"/>
              </w:rPr>
              <w:t xml:space="preserve">204,0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многоэтажная</w:t>
            </w:r>
          </w:p>
        </w:tc>
        <w:tc>
          <w:tcPr>
            <w:tcW w:w="1134" w:type="dxa"/>
          </w:tcPr>
          <w:p>
            <w:pPr>
              <w:pStyle w:val="0"/>
              <w:jc w:val="center"/>
            </w:pPr>
            <w:r>
              <w:rPr>
                <w:sz w:val="20"/>
              </w:rPr>
              <w:t xml:space="preserve">собственность ООО "АКД"</w:t>
            </w:r>
          </w:p>
        </w:tc>
        <w:tc>
          <w:tcPr>
            <w:tcW w:w="992" w:type="dxa"/>
          </w:tcPr>
          <w:p>
            <w:pPr>
              <w:pStyle w:val="0"/>
              <w:jc w:val="center"/>
            </w:pPr>
            <w:r>
              <w:rPr>
                <w:sz w:val="20"/>
              </w:rPr>
              <w:t xml:space="preserve">-</w:t>
            </w:r>
          </w:p>
        </w:tc>
        <w:tc>
          <w:tcPr>
            <w:tcW w:w="996" w:type="dxa"/>
          </w:tcPr>
          <w:p>
            <w:pPr>
              <w:pStyle w:val="0"/>
              <w:jc w:val="center"/>
            </w:pPr>
            <w:r>
              <w:rPr>
                <w:sz w:val="20"/>
              </w:rPr>
              <w:t xml:space="preserve">-</w:t>
            </w:r>
          </w:p>
        </w:tc>
        <w:tc>
          <w:tcPr>
            <w:tcW w:w="856" w:type="dxa"/>
          </w:tcPr>
          <w:p>
            <w:pPr>
              <w:pStyle w:val="0"/>
              <w:jc w:val="center"/>
            </w:pPr>
            <w:r>
              <w:rPr>
                <w:sz w:val="20"/>
              </w:rPr>
              <w:t xml:space="preserve">-</w:t>
            </w:r>
          </w:p>
        </w:tc>
        <w:tc>
          <w:tcPr>
            <w:tcW w:w="856" w:type="dxa"/>
          </w:tcPr>
          <w:p>
            <w:pPr>
              <w:pStyle w:val="0"/>
              <w:jc w:val="center"/>
            </w:pPr>
            <w:r>
              <w:rPr>
                <w:sz w:val="20"/>
              </w:rPr>
              <w:t xml:space="preserve">-</w:t>
            </w:r>
          </w:p>
        </w:tc>
        <w:tc>
          <w:tcPr>
            <w:tcW w:w="856" w:type="dxa"/>
          </w:tcPr>
          <w:p>
            <w:pPr>
              <w:pStyle w:val="0"/>
              <w:jc w:val="center"/>
            </w:pPr>
            <w:r>
              <w:rPr>
                <w:sz w:val="20"/>
              </w:rPr>
              <w:t xml:space="preserve">-</w:t>
            </w:r>
          </w:p>
        </w:tc>
        <w:tc>
          <w:tcPr>
            <w:tcW w:w="1117" w:type="dxa"/>
          </w:tcPr>
          <w:p>
            <w:pPr>
              <w:pStyle w:val="0"/>
              <w:jc w:val="center"/>
            </w:pPr>
            <w:r>
              <w:rPr>
                <w:sz w:val="20"/>
              </w:rPr>
              <w:t xml:space="preserve">-</w:t>
            </w:r>
          </w:p>
        </w:tc>
        <w:tc>
          <w:tcPr>
            <w:tcW w:w="763" w:type="dxa"/>
          </w:tcPr>
          <w:p>
            <w:pPr>
              <w:pStyle w:val="0"/>
              <w:jc w:val="center"/>
            </w:pPr>
            <w:r>
              <w:rPr>
                <w:sz w:val="20"/>
              </w:rPr>
              <w:t xml:space="preserve">-</w:t>
            </w:r>
          </w:p>
        </w:tc>
      </w:tr>
      <w:tr>
        <w:tc>
          <w:tcPr>
            <w:tcW w:w="567" w:type="dxa"/>
          </w:tcPr>
          <w:p>
            <w:pPr>
              <w:pStyle w:val="0"/>
              <w:jc w:val="center"/>
            </w:pPr>
            <w:r>
              <w:rPr>
                <w:sz w:val="20"/>
              </w:rPr>
              <w:t xml:space="preserve">82</w:t>
            </w:r>
          </w:p>
        </w:tc>
        <w:tc>
          <w:tcPr>
            <w:tcW w:w="2211" w:type="dxa"/>
          </w:tcPr>
          <w:p>
            <w:pPr>
              <w:pStyle w:val="0"/>
            </w:pPr>
            <w:r>
              <w:rPr>
                <w:sz w:val="20"/>
              </w:rPr>
              <w:t xml:space="preserve">Микрорайон X</w:t>
            </w:r>
          </w:p>
        </w:tc>
        <w:tc>
          <w:tcPr>
            <w:tcW w:w="907" w:type="dxa"/>
          </w:tcPr>
          <w:p>
            <w:pPr>
              <w:pStyle w:val="0"/>
              <w:jc w:val="center"/>
            </w:pPr>
            <w:r>
              <w:rPr>
                <w:sz w:val="20"/>
              </w:rPr>
              <w:t xml:space="preserve">12,466</w:t>
            </w:r>
          </w:p>
        </w:tc>
        <w:tc>
          <w:tcPr>
            <w:tcW w:w="907" w:type="dxa"/>
          </w:tcPr>
          <w:p>
            <w:pPr>
              <w:pStyle w:val="0"/>
              <w:jc w:val="center"/>
            </w:pPr>
            <w:r>
              <w:rPr>
                <w:sz w:val="20"/>
              </w:rPr>
              <w:t xml:space="preserve">43,527</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5" w:type="dxa"/>
          </w:tcPr>
          <w:p>
            <w:pPr>
              <w:pStyle w:val="0"/>
              <w:jc w:val="center"/>
            </w:pPr>
            <w:r>
              <w:rPr>
                <w:sz w:val="20"/>
              </w:rPr>
              <w:t xml:space="preserve">0,0</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муниципальная собственность/аренда ООО "Ботаника Девелопмент"</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II кв. 2021</w:t>
            </w:r>
          </w:p>
        </w:tc>
        <w:tc>
          <w:tcPr>
            <w:tcW w:w="856" w:type="dxa"/>
          </w:tcPr>
          <w:p>
            <w:pPr>
              <w:pStyle w:val="0"/>
              <w:jc w:val="center"/>
            </w:pPr>
            <w:r>
              <w:rPr>
                <w:sz w:val="20"/>
              </w:rPr>
              <w:t xml:space="preserve">II кв. 2021</w:t>
            </w:r>
          </w:p>
        </w:tc>
        <w:tc>
          <w:tcPr>
            <w:tcW w:w="856" w:type="dxa"/>
          </w:tcPr>
          <w:p>
            <w:pPr>
              <w:pStyle w:val="0"/>
              <w:jc w:val="center"/>
            </w:pPr>
            <w:r>
              <w:rPr>
                <w:sz w:val="20"/>
              </w:rPr>
              <w:t xml:space="preserve">II кв. 2021</w:t>
            </w:r>
          </w:p>
        </w:tc>
        <w:tc>
          <w:tcPr>
            <w:tcW w:w="856" w:type="dxa"/>
          </w:tcPr>
          <w:p>
            <w:pPr>
              <w:pStyle w:val="0"/>
              <w:jc w:val="center"/>
            </w:pPr>
            <w:r>
              <w:rPr>
                <w:sz w:val="20"/>
              </w:rPr>
              <w:t xml:space="preserve">IV кв. 2023</w:t>
            </w:r>
          </w:p>
        </w:tc>
        <w:tc>
          <w:tcPr>
            <w:tcW w:w="1117" w:type="dxa"/>
          </w:tcPr>
          <w:p>
            <w:pPr>
              <w:pStyle w:val="0"/>
              <w:jc w:val="center"/>
            </w:pPr>
            <w:r>
              <w:rPr>
                <w:sz w:val="20"/>
              </w:rPr>
              <w:t xml:space="preserve">IV кв. 2023</w:t>
            </w:r>
          </w:p>
        </w:tc>
        <w:tc>
          <w:tcPr>
            <w:tcW w:w="763" w:type="dxa"/>
          </w:tcPr>
          <w:p>
            <w:pPr>
              <w:pStyle w:val="0"/>
              <w:jc w:val="center"/>
            </w:pPr>
            <w:r>
              <w:rPr>
                <w:sz w:val="20"/>
              </w:rPr>
              <w:t xml:space="preserve">IV кв. 2023</w:t>
            </w:r>
          </w:p>
        </w:tc>
      </w:tr>
      <w:tr>
        <w:tc>
          <w:tcPr>
            <w:tcW w:w="567" w:type="dxa"/>
          </w:tcPr>
          <w:p>
            <w:pPr>
              <w:pStyle w:val="0"/>
              <w:jc w:val="center"/>
            </w:pPr>
            <w:r>
              <w:rPr>
                <w:sz w:val="20"/>
              </w:rPr>
              <w:t xml:space="preserve">83</w:t>
            </w:r>
          </w:p>
        </w:tc>
        <w:tc>
          <w:tcPr>
            <w:tcW w:w="2211" w:type="dxa"/>
          </w:tcPr>
          <w:p>
            <w:pPr>
              <w:pStyle w:val="0"/>
            </w:pPr>
            <w:r>
              <w:rPr>
                <w:sz w:val="20"/>
              </w:rPr>
              <w:t xml:space="preserve">Микрорайон Новоборский</w:t>
            </w:r>
          </w:p>
        </w:tc>
        <w:tc>
          <w:tcPr>
            <w:tcW w:w="907" w:type="dxa"/>
          </w:tcPr>
          <w:p>
            <w:pPr>
              <w:pStyle w:val="0"/>
              <w:jc w:val="center"/>
            </w:pPr>
            <w:r>
              <w:rPr>
                <w:sz w:val="20"/>
              </w:rPr>
              <w:t xml:space="preserve">36,068</w:t>
            </w:r>
          </w:p>
        </w:tc>
        <w:tc>
          <w:tcPr>
            <w:tcW w:w="907" w:type="dxa"/>
          </w:tcPr>
          <w:p>
            <w:pPr>
              <w:pStyle w:val="0"/>
              <w:jc w:val="center"/>
            </w:pPr>
            <w:r>
              <w:rPr>
                <w:sz w:val="20"/>
              </w:rPr>
              <w:t xml:space="preserve">4,326</w:t>
            </w:r>
          </w:p>
        </w:tc>
        <w:tc>
          <w:tcPr>
            <w:tcW w:w="832" w:type="dxa"/>
          </w:tcPr>
          <w:p>
            <w:pPr>
              <w:pStyle w:val="0"/>
              <w:jc w:val="center"/>
            </w:pPr>
            <w:r>
              <w:rPr>
                <w:sz w:val="20"/>
              </w:rPr>
              <w:t xml:space="preserve">0,0</w:t>
            </w:r>
          </w:p>
        </w:tc>
        <w:tc>
          <w:tcPr>
            <w:tcW w:w="832" w:type="dxa"/>
          </w:tcPr>
          <w:p>
            <w:pPr>
              <w:pStyle w:val="0"/>
              <w:jc w:val="center"/>
            </w:pPr>
            <w:r>
              <w:rPr>
                <w:sz w:val="20"/>
              </w:rPr>
              <w:t xml:space="preserve">0,0</w:t>
            </w:r>
          </w:p>
        </w:tc>
        <w:tc>
          <w:tcPr>
            <w:tcW w:w="832" w:type="dxa"/>
          </w:tcPr>
          <w:p>
            <w:pPr>
              <w:pStyle w:val="0"/>
              <w:jc w:val="center"/>
            </w:pPr>
            <w:r>
              <w:rPr>
                <w:sz w:val="20"/>
              </w:rPr>
              <w:t xml:space="preserve">4,326</w:t>
            </w:r>
          </w:p>
        </w:tc>
        <w:tc>
          <w:tcPr>
            <w:tcW w:w="832" w:type="dxa"/>
          </w:tcPr>
          <w:p>
            <w:pPr>
              <w:pStyle w:val="0"/>
              <w:jc w:val="center"/>
            </w:pPr>
            <w:r>
              <w:rPr>
                <w:sz w:val="20"/>
              </w:rPr>
              <w:t xml:space="preserve">4,326</w:t>
            </w:r>
          </w:p>
        </w:tc>
        <w:tc>
          <w:tcPr>
            <w:tcW w:w="835" w:type="dxa"/>
          </w:tcPr>
          <w:p>
            <w:pPr>
              <w:pStyle w:val="0"/>
              <w:jc w:val="center"/>
            </w:pPr>
            <w:r>
              <w:rPr>
                <w:sz w:val="20"/>
              </w:rPr>
              <w:t xml:space="preserve">0,0</w:t>
            </w:r>
          </w:p>
        </w:tc>
        <w:tc>
          <w:tcPr>
            <w:tcW w:w="737" w:type="dxa"/>
          </w:tcPr>
          <w:p>
            <w:pPr>
              <w:pStyle w:val="0"/>
              <w:jc w:val="center"/>
            </w:pPr>
            <w:r>
              <w:rPr>
                <w:sz w:val="20"/>
              </w:rPr>
              <w:t xml:space="preserve">малоэтажная</w:t>
            </w:r>
          </w:p>
        </w:tc>
        <w:tc>
          <w:tcPr>
            <w:tcW w:w="1134" w:type="dxa"/>
          </w:tcPr>
          <w:p>
            <w:pPr>
              <w:pStyle w:val="0"/>
              <w:jc w:val="center"/>
            </w:pPr>
            <w:r>
              <w:rPr>
                <w:sz w:val="20"/>
              </w:rPr>
              <w:t xml:space="preserve">неразграниченная собственность/аренда ООО "ДАР"</w:t>
            </w:r>
          </w:p>
        </w:tc>
        <w:tc>
          <w:tcPr>
            <w:tcW w:w="992" w:type="dxa"/>
          </w:tcPr>
          <w:p>
            <w:pPr>
              <w:pStyle w:val="0"/>
              <w:jc w:val="center"/>
            </w:pPr>
            <w:r>
              <w:rPr>
                <w:sz w:val="20"/>
              </w:rPr>
              <w:t xml:space="preserve">выполнено</w:t>
            </w:r>
          </w:p>
        </w:tc>
        <w:tc>
          <w:tcPr>
            <w:tcW w:w="99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выполнено</w:t>
            </w:r>
          </w:p>
        </w:tc>
        <w:tc>
          <w:tcPr>
            <w:tcW w:w="856" w:type="dxa"/>
          </w:tcPr>
          <w:p>
            <w:pPr>
              <w:pStyle w:val="0"/>
              <w:jc w:val="center"/>
            </w:pPr>
            <w:r>
              <w:rPr>
                <w:sz w:val="20"/>
              </w:rPr>
              <w:t xml:space="preserve">IV кв. 2024</w:t>
            </w:r>
          </w:p>
        </w:tc>
        <w:tc>
          <w:tcPr>
            <w:tcW w:w="1117" w:type="dxa"/>
          </w:tcPr>
          <w:p>
            <w:pPr>
              <w:pStyle w:val="0"/>
              <w:jc w:val="center"/>
            </w:pPr>
            <w:r>
              <w:rPr>
                <w:sz w:val="20"/>
              </w:rPr>
              <w:t xml:space="preserve">-</w:t>
            </w:r>
          </w:p>
        </w:tc>
        <w:tc>
          <w:tcPr>
            <w:tcW w:w="763" w:type="dxa"/>
          </w:tcPr>
          <w:p>
            <w:pPr>
              <w:pStyle w:val="0"/>
              <w:jc w:val="center"/>
            </w:pPr>
            <w:r>
              <w:rPr>
                <w:sz w:val="20"/>
              </w:rPr>
              <w:t xml:space="preserve">I кв. 2025</w:t>
            </w:r>
          </w:p>
        </w:tc>
      </w:tr>
      <w:tr>
        <w:tblPrEx>
          <w:tblBorders>
            <w:insideH w:val="nil"/>
          </w:tblBorders>
        </w:tblPrEx>
        <w:tc>
          <w:tcPr>
            <w:gridSpan w:val="2"/>
            <w:tcW w:w="2778" w:type="dxa"/>
            <w:tcBorders>
              <w:bottom w:val="nil"/>
            </w:tcBorders>
          </w:tcPr>
          <w:p>
            <w:pPr>
              <w:pStyle w:val="0"/>
            </w:pPr>
            <w:r>
              <w:rPr>
                <w:sz w:val="20"/>
              </w:rPr>
              <w:t xml:space="preserve">Итого</w:t>
            </w:r>
          </w:p>
        </w:tc>
        <w:tc>
          <w:tcPr>
            <w:tcW w:w="907" w:type="dxa"/>
            <w:tcBorders>
              <w:bottom w:val="nil"/>
            </w:tcBorders>
          </w:tcPr>
          <w:p>
            <w:pPr>
              <w:pStyle w:val="0"/>
              <w:jc w:val="center"/>
            </w:pPr>
            <w:r>
              <w:rPr>
                <w:sz w:val="20"/>
              </w:rPr>
              <w:t xml:space="preserve">5744,8</w:t>
            </w:r>
          </w:p>
        </w:tc>
        <w:tc>
          <w:tcPr>
            <w:tcW w:w="907" w:type="dxa"/>
            <w:tcBorders>
              <w:bottom w:val="nil"/>
            </w:tcBorders>
          </w:tcPr>
          <w:p>
            <w:pPr>
              <w:pStyle w:val="0"/>
              <w:jc w:val="center"/>
            </w:pPr>
            <w:r>
              <w:rPr>
                <w:sz w:val="20"/>
              </w:rPr>
              <w:t xml:space="preserve">25299,7</w:t>
            </w:r>
          </w:p>
        </w:tc>
        <w:tc>
          <w:tcPr>
            <w:tcW w:w="832" w:type="dxa"/>
            <w:tcBorders>
              <w:bottom w:val="nil"/>
            </w:tcBorders>
          </w:tcPr>
          <w:p>
            <w:pPr>
              <w:pStyle w:val="0"/>
              <w:jc w:val="center"/>
            </w:pPr>
            <w:r>
              <w:rPr>
                <w:sz w:val="20"/>
              </w:rPr>
              <w:t xml:space="preserve">7815,6</w:t>
            </w:r>
          </w:p>
        </w:tc>
        <w:tc>
          <w:tcPr>
            <w:tcW w:w="832" w:type="dxa"/>
            <w:tcBorders>
              <w:bottom w:val="nil"/>
            </w:tcBorders>
          </w:tcPr>
          <w:p>
            <w:pPr>
              <w:pStyle w:val="0"/>
              <w:jc w:val="center"/>
            </w:pPr>
            <w:r>
              <w:rPr>
                <w:sz w:val="20"/>
              </w:rPr>
              <w:t xml:space="preserve">1870,2</w:t>
            </w:r>
          </w:p>
        </w:tc>
        <w:tc>
          <w:tcPr>
            <w:tcW w:w="832" w:type="dxa"/>
            <w:tcBorders>
              <w:bottom w:val="nil"/>
            </w:tcBorders>
          </w:tcPr>
          <w:p>
            <w:pPr>
              <w:pStyle w:val="0"/>
              <w:jc w:val="center"/>
            </w:pPr>
            <w:r>
              <w:rPr>
                <w:sz w:val="20"/>
              </w:rPr>
              <w:t xml:space="preserve">640,6</w:t>
            </w:r>
          </w:p>
        </w:tc>
        <w:tc>
          <w:tcPr>
            <w:tcW w:w="832" w:type="dxa"/>
            <w:tcBorders>
              <w:bottom w:val="nil"/>
            </w:tcBorders>
          </w:tcPr>
          <w:p>
            <w:pPr>
              <w:pStyle w:val="0"/>
              <w:jc w:val="center"/>
            </w:pPr>
            <w:r>
              <w:rPr>
                <w:sz w:val="20"/>
              </w:rPr>
              <w:t xml:space="preserve">8868,6</w:t>
            </w:r>
          </w:p>
        </w:tc>
        <w:tc>
          <w:tcPr>
            <w:tcW w:w="835" w:type="dxa"/>
            <w:tcBorders>
              <w:bottom w:val="nil"/>
            </w:tcBorders>
          </w:tcPr>
          <w:p>
            <w:pPr>
              <w:pStyle w:val="0"/>
              <w:jc w:val="center"/>
            </w:pPr>
            <w:r>
              <w:rPr>
                <w:sz w:val="20"/>
              </w:rPr>
              <w:t xml:space="preserve">3752,5</w:t>
            </w:r>
          </w:p>
        </w:tc>
        <w:tc>
          <w:tcPr>
            <w:tcW w:w="737" w:type="dxa"/>
            <w:tcBorders>
              <w:bottom w:val="nil"/>
            </w:tcBorders>
          </w:tcPr>
          <w:p>
            <w:pPr>
              <w:pStyle w:val="0"/>
            </w:pPr>
            <w:r>
              <w:rPr>
                <w:sz w:val="20"/>
              </w:rPr>
            </w:r>
          </w:p>
        </w:tc>
        <w:tc>
          <w:tcPr>
            <w:tcW w:w="1134" w:type="dxa"/>
            <w:tcBorders>
              <w:bottom w:val="nil"/>
            </w:tcBorders>
          </w:tcPr>
          <w:p>
            <w:pPr>
              <w:pStyle w:val="0"/>
            </w:pPr>
            <w:r>
              <w:rPr>
                <w:sz w:val="20"/>
              </w:rPr>
            </w:r>
          </w:p>
        </w:tc>
        <w:tc>
          <w:tcPr>
            <w:tcW w:w="992" w:type="dxa"/>
            <w:tcBorders>
              <w:bottom w:val="nil"/>
            </w:tcBorders>
          </w:tcPr>
          <w:p>
            <w:pPr>
              <w:pStyle w:val="0"/>
            </w:pPr>
            <w:r>
              <w:rPr>
                <w:sz w:val="20"/>
              </w:rPr>
            </w:r>
          </w:p>
        </w:tc>
        <w:tc>
          <w:tcPr>
            <w:tcW w:w="996" w:type="dxa"/>
            <w:tcBorders>
              <w:bottom w:val="nil"/>
            </w:tcBorders>
          </w:tcPr>
          <w:p>
            <w:pPr>
              <w:pStyle w:val="0"/>
            </w:pPr>
            <w:r>
              <w:rPr>
                <w:sz w:val="20"/>
              </w:rPr>
            </w:r>
          </w:p>
        </w:tc>
        <w:tc>
          <w:tcPr>
            <w:tcW w:w="856" w:type="dxa"/>
            <w:tcBorders>
              <w:bottom w:val="nil"/>
            </w:tcBorders>
          </w:tcPr>
          <w:p>
            <w:pPr>
              <w:pStyle w:val="0"/>
            </w:pPr>
            <w:r>
              <w:rPr>
                <w:sz w:val="20"/>
              </w:rPr>
            </w:r>
          </w:p>
        </w:tc>
        <w:tc>
          <w:tcPr>
            <w:tcW w:w="856" w:type="dxa"/>
            <w:tcBorders>
              <w:bottom w:val="nil"/>
            </w:tcBorders>
          </w:tcPr>
          <w:p>
            <w:pPr>
              <w:pStyle w:val="0"/>
            </w:pPr>
            <w:r>
              <w:rPr>
                <w:sz w:val="20"/>
              </w:rPr>
            </w:r>
          </w:p>
        </w:tc>
        <w:tc>
          <w:tcPr>
            <w:tcW w:w="856" w:type="dxa"/>
            <w:tcBorders>
              <w:bottom w:val="nil"/>
            </w:tcBorders>
          </w:tcPr>
          <w:p>
            <w:pPr>
              <w:pStyle w:val="0"/>
            </w:pPr>
            <w:r>
              <w:rPr>
                <w:sz w:val="20"/>
              </w:rPr>
            </w:r>
          </w:p>
        </w:tc>
        <w:tc>
          <w:tcPr>
            <w:tcW w:w="1117" w:type="dxa"/>
            <w:tcBorders>
              <w:bottom w:val="nil"/>
            </w:tcBorders>
          </w:tcPr>
          <w:p>
            <w:pPr>
              <w:pStyle w:val="0"/>
            </w:pPr>
            <w:r>
              <w:rPr>
                <w:sz w:val="20"/>
              </w:rPr>
            </w:r>
          </w:p>
        </w:tc>
        <w:tc>
          <w:tcPr>
            <w:tcW w:w="763" w:type="dxa"/>
            <w:tcBorders>
              <w:bottom w:val="nil"/>
            </w:tcBorders>
          </w:tcPr>
          <w:p>
            <w:pPr>
              <w:pStyle w:val="0"/>
            </w:pPr>
            <w:r>
              <w:rPr>
                <w:sz w:val="20"/>
              </w:rPr>
            </w:r>
          </w:p>
        </w:tc>
      </w:tr>
      <w:tr>
        <w:tblPrEx>
          <w:tblBorders>
            <w:insideH w:val="nil"/>
          </w:tblBorders>
        </w:tblPrEx>
        <w:tc>
          <w:tcPr>
            <w:gridSpan w:val="18"/>
            <w:tcW w:w="17062" w:type="dxa"/>
            <w:tcBorders>
              <w:top w:val="nil"/>
            </w:tcBorders>
          </w:tcPr>
          <w:p>
            <w:pPr>
              <w:pStyle w:val="0"/>
              <w:jc w:val="both"/>
            </w:pPr>
            <w:r>
              <w:rPr>
                <w:sz w:val="20"/>
              </w:rPr>
              <w:t xml:space="preserve">(в ред. </w:t>
            </w:r>
            <w:hyperlink w:history="0" r:id="rId828"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29.12.2022 N 652-п)</w:t>
            </w:r>
          </w:p>
        </w:tc>
      </w:tr>
    </w:tbl>
    <w:p>
      <w:pPr>
        <w:sectPr>
          <w:headerReference w:type="default" r:id="rId167"/>
          <w:headerReference w:type="first" r:id="rId167"/>
          <w:footerReference w:type="default" r:id="rId168"/>
          <w:footerReference w:type="first" r:id="rId168"/>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АО "АРЖС НСО" - акционерное общество "Агентство развития жилищного строительства Новосибирской области";</w:t>
      </w:r>
    </w:p>
    <w:p>
      <w:pPr>
        <w:pStyle w:val="0"/>
        <w:spacing w:before="200" w:line-rule="auto"/>
        <w:ind w:firstLine="540"/>
        <w:jc w:val="both"/>
      </w:pPr>
      <w:r>
        <w:rPr>
          <w:sz w:val="20"/>
        </w:rPr>
        <w:t xml:space="preserve">г. - город;</w:t>
      </w:r>
    </w:p>
    <w:p>
      <w:pPr>
        <w:pStyle w:val="0"/>
        <w:spacing w:before="200" w:line-rule="auto"/>
        <w:ind w:firstLine="540"/>
        <w:jc w:val="both"/>
      </w:pPr>
      <w:r>
        <w:rPr>
          <w:sz w:val="20"/>
        </w:rPr>
        <w:t xml:space="preserve">ГК - группа компаний;</w:t>
      </w:r>
    </w:p>
    <w:p>
      <w:pPr>
        <w:pStyle w:val="0"/>
        <w:spacing w:before="200" w:line-rule="auto"/>
        <w:ind w:firstLine="540"/>
        <w:jc w:val="both"/>
      </w:pPr>
      <w:r>
        <w:rPr>
          <w:sz w:val="20"/>
        </w:rPr>
        <w:t xml:space="preserve">ЖСК - жилищно-строительный кооператив;</w:t>
      </w:r>
    </w:p>
    <w:p>
      <w:pPr>
        <w:pStyle w:val="0"/>
        <w:spacing w:before="200" w:line-rule="auto"/>
        <w:ind w:firstLine="540"/>
        <w:jc w:val="both"/>
      </w:pPr>
      <w:r>
        <w:rPr>
          <w:sz w:val="20"/>
        </w:rPr>
        <w:t xml:space="preserve">ЗАО - закрытое акционерное общество;</w:t>
      </w:r>
    </w:p>
    <w:p>
      <w:pPr>
        <w:pStyle w:val="0"/>
        <w:spacing w:before="200" w:line-rule="auto"/>
        <w:ind w:firstLine="540"/>
        <w:jc w:val="both"/>
      </w:pPr>
      <w:r>
        <w:rPr>
          <w:sz w:val="20"/>
        </w:rPr>
        <w:t xml:space="preserve">ИЖС - индивидуальное жилищное строительство;</w:t>
      </w:r>
    </w:p>
    <w:p>
      <w:pPr>
        <w:pStyle w:val="0"/>
        <w:spacing w:before="200" w:line-rule="auto"/>
        <w:ind w:firstLine="540"/>
        <w:jc w:val="both"/>
      </w:pPr>
      <w:r>
        <w:rPr>
          <w:sz w:val="20"/>
        </w:rPr>
        <w:t xml:space="preserve">кв. - квартал;</w:t>
      </w:r>
    </w:p>
    <w:p>
      <w:pPr>
        <w:pStyle w:val="0"/>
        <w:spacing w:before="200" w:line-rule="auto"/>
        <w:ind w:firstLine="540"/>
        <w:jc w:val="both"/>
      </w:pPr>
      <w:r>
        <w:rPr>
          <w:sz w:val="20"/>
        </w:rPr>
        <w:t xml:space="preserve">ОАО - открытое акционерное общество;</w:t>
      </w:r>
    </w:p>
    <w:p>
      <w:pPr>
        <w:pStyle w:val="0"/>
        <w:spacing w:before="200" w:line-rule="auto"/>
        <w:ind w:firstLine="540"/>
        <w:jc w:val="both"/>
      </w:pPr>
      <w:r>
        <w:rPr>
          <w:sz w:val="20"/>
        </w:rPr>
        <w:t xml:space="preserve">ООО - общество с ограниченной ответственностью;</w:t>
      </w:r>
    </w:p>
    <w:p>
      <w:pPr>
        <w:pStyle w:val="0"/>
        <w:spacing w:before="200" w:line-rule="auto"/>
        <w:ind w:firstLine="540"/>
        <w:jc w:val="both"/>
      </w:pPr>
      <w:r>
        <w:rPr>
          <w:sz w:val="20"/>
        </w:rPr>
        <w:t xml:space="preserve">п. - поселок;</w:t>
      </w:r>
    </w:p>
    <w:p>
      <w:pPr>
        <w:pStyle w:val="0"/>
        <w:spacing w:before="200" w:line-rule="auto"/>
        <w:ind w:firstLine="540"/>
        <w:jc w:val="both"/>
      </w:pPr>
      <w:r>
        <w:rPr>
          <w:sz w:val="20"/>
        </w:rPr>
        <w:t xml:space="preserve">р.п. - рабочий поселок;</w:t>
      </w:r>
    </w:p>
    <w:p>
      <w:pPr>
        <w:pStyle w:val="0"/>
        <w:spacing w:before="200" w:line-rule="auto"/>
        <w:ind w:firstLine="540"/>
        <w:jc w:val="both"/>
      </w:pPr>
      <w:r>
        <w:rPr>
          <w:sz w:val="20"/>
        </w:rPr>
        <w:t xml:space="preserve">РЗТ - развитие застроенных территорий;</w:t>
      </w:r>
    </w:p>
    <w:p>
      <w:pPr>
        <w:pStyle w:val="0"/>
        <w:spacing w:before="200" w:line-rule="auto"/>
        <w:ind w:firstLine="540"/>
        <w:jc w:val="both"/>
      </w:pPr>
      <w:r>
        <w:rPr>
          <w:sz w:val="20"/>
        </w:rPr>
        <w:t xml:space="preserve">с. - село;</w:t>
      </w:r>
    </w:p>
    <w:p>
      <w:pPr>
        <w:pStyle w:val="0"/>
        <w:spacing w:before="200" w:line-rule="auto"/>
        <w:ind w:firstLine="540"/>
        <w:jc w:val="both"/>
      </w:pPr>
      <w:r>
        <w:rPr>
          <w:sz w:val="20"/>
        </w:rPr>
        <w:t xml:space="preserve">с/с - сельсовет;</w:t>
      </w:r>
    </w:p>
    <w:p>
      <w:pPr>
        <w:pStyle w:val="0"/>
        <w:spacing w:before="200" w:line-rule="auto"/>
        <w:ind w:firstLine="540"/>
        <w:jc w:val="both"/>
      </w:pPr>
      <w:r>
        <w:rPr>
          <w:sz w:val="20"/>
        </w:rPr>
        <w:t xml:space="preserve">СЗ - специализированный застройщик;</w:t>
      </w:r>
    </w:p>
    <w:p>
      <w:pPr>
        <w:pStyle w:val="0"/>
        <w:spacing w:before="200" w:line-rule="auto"/>
        <w:ind w:firstLine="540"/>
        <w:jc w:val="both"/>
      </w:pPr>
      <w:r>
        <w:rPr>
          <w:sz w:val="20"/>
        </w:rPr>
        <w:t xml:space="preserve">СП ООО "Сибакадемстрой" - строительно-промышленное общество с ограниченной ответственностью "Сибакадемстрой";</w:t>
      </w:r>
    </w:p>
    <w:p>
      <w:pPr>
        <w:pStyle w:val="0"/>
        <w:spacing w:before="200" w:line-rule="auto"/>
        <w:ind w:firstLine="540"/>
        <w:jc w:val="both"/>
      </w:pPr>
      <w:r>
        <w:rPr>
          <w:sz w:val="20"/>
        </w:rPr>
        <w:t xml:space="preserve">ТУ - технические условия;</w:t>
      </w:r>
    </w:p>
    <w:p>
      <w:pPr>
        <w:pStyle w:val="0"/>
        <w:spacing w:before="200" w:line-rule="auto"/>
        <w:ind w:firstLine="540"/>
        <w:jc w:val="both"/>
      </w:pPr>
      <w:r>
        <w:rPr>
          <w:sz w:val="20"/>
        </w:rPr>
        <w:t xml:space="preserve">ул. - улица;</w:t>
      </w:r>
    </w:p>
    <w:p>
      <w:pPr>
        <w:pStyle w:val="0"/>
        <w:spacing w:before="200" w:line-rule="auto"/>
        <w:ind w:firstLine="540"/>
        <w:jc w:val="both"/>
      </w:pPr>
      <w:r>
        <w:rPr>
          <w:sz w:val="20"/>
        </w:rPr>
        <w:t xml:space="preserve">Фонд "РЖС" - Федеральный фонд содействия развитию жилищного строительства.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13</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8891" w:name="P8891"/>
    <w:bookmarkEnd w:id="8891"/>
    <w:p>
      <w:pPr>
        <w:pStyle w:val="2"/>
        <w:jc w:val="center"/>
      </w:pPr>
      <w:r>
        <w:rPr>
          <w:sz w:val="20"/>
        </w:rPr>
        <w:t xml:space="preserve">Информация</w:t>
      </w:r>
    </w:p>
    <w:p>
      <w:pPr>
        <w:pStyle w:val="2"/>
        <w:jc w:val="center"/>
      </w:pPr>
      <w:r>
        <w:rPr>
          <w:sz w:val="20"/>
        </w:rPr>
        <w:t xml:space="preserve">об объектах капитального строительства в рамках федерального</w:t>
      </w:r>
    </w:p>
    <w:p>
      <w:pPr>
        <w:pStyle w:val="2"/>
        <w:jc w:val="center"/>
      </w:pPr>
      <w:r>
        <w:rPr>
          <w:sz w:val="20"/>
        </w:rPr>
        <w:t xml:space="preserve">проекта "Жилье" по реализации мероприятия по стимулированию</w:t>
      </w:r>
    </w:p>
    <w:p>
      <w:pPr>
        <w:pStyle w:val="2"/>
        <w:jc w:val="center"/>
      </w:pPr>
      <w:r>
        <w:rPr>
          <w:sz w:val="20"/>
        </w:rPr>
        <w:t xml:space="preserve">программ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29.12.2022 </w:t>
            </w:r>
            <w:hyperlink w:history="0" r:id="rId829"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color w:val="392c69"/>
              </w:rPr>
              <w:t xml:space="preserve">, от 21.03.2023 </w:t>
            </w:r>
            <w:hyperlink w:history="0" r:id="rId830"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N 100-п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324"/>
        <w:gridCol w:w="794"/>
        <w:gridCol w:w="2437"/>
        <w:gridCol w:w="623"/>
        <w:gridCol w:w="793"/>
        <w:gridCol w:w="850"/>
        <w:gridCol w:w="1303"/>
        <w:gridCol w:w="1303"/>
        <w:gridCol w:w="1303"/>
        <w:gridCol w:w="1303"/>
      </w:tblGrid>
      <w:tr>
        <w:tc>
          <w:tcPr>
            <w:tcW w:w="566" w:type="dxa"/>
            <w:vMerge w:val="restart"/>
          </w:tcPr>
          <w:p>
            <w:pPr>
              <w:pStyle w:val="0"/>
              <w:jc w:val="center"/>
            </w:pPr>
            <w:r>
              <w:rPr>
                <w:sz w:val="20"/>
              </w:rPr>
              <w:t xml:space="preserve">N п/п</w:t>
            </w:r>
          </w:p>
        </w:tc>
        <w:tc>
          <w:tcPr>
            <w:tcW w:w="2324" w:type="dxa"/>
            <w:vMerge w:val="restart"/>
          </w:tcPr>
          <w:p>
            <w:pPr>
              <w:pStyle w:val="0"/>
              <w:jc w:val="center"/>
            </w:pPr>
            <w:r>
              <w:rPr>
                <w:sz w:val="20"/>
              </w:rPr>
              <w:t xml:space="preserve">Наименование проекта жилищного строительства</w:t>
            </w:r>
          </w:p>
        </w:tc>
        <w:tc>
          <w:tcPr>
            <w:tcW w:w="794" w:type="dxa"/>
            <w:vMerge w:val="restart"/>
          </w:tcPr>
          <w:p>
            <w:pPr>
              <w:pStyle w:val="0"/>
              <w:jc w:val="center"/>
            </w:pPr>
            <w:r>
              <w:rPr>
                <w:sz w:val="20"/>
              </w:rPr>
              <w:t xml:space="preserve">Объем ввода жилья (тыс. кв. метров)</w:t>
            </w:r>
          </w:p>
        </w:tc>
        <w:tc>
          <w:tcPr>
            <w:tcW w:w="2437" w:type="dxa"/>
            <w:vMerge w:val="restart"/>
          </w:tcPr>
          <w:p>
            <w:pPr>
              <w:pStyle w:val="0"/>
              <w:jc w:val="center"/>
            </w:pPr>
            <w:r>
              <w:rPr>
                <w:sz w:val="20"/>
              </w:rPr>
              <w:t xml:space="preserve">Наименование объекта капитального строительства/мероприятия</w:t>
            </w:r>
          </w:p>
        </w:tc>
        <w:tc>
          <w:tcPr>
            <w:gridSpan w:val="2"/>
            <w:tcW w:w="1416" w:type="dxa"/>
            <w:vMerge w:val="restart"/>
          </w:tcPr>
          <w:p>
            <w:pPr>
              <w:pStyle w:val="0"/>
              <w:jc w:val="center"/>
            </w:pPr>
            <w:r>
              <w:rPr>
                <w:sz w:val="20"/>
              </w:rPr>
              <w:t xml:space="preserve">Мощность объекта</w:t>
            </w:r>
          </w:p>
        </w:tc>
        <w:tc>
          <w:tcPr>
            <w:tcW w:w="850" w:type="dxa"/>
            <w:vMerge w:val="restart"/>
          </w:tcPr>
          <w:p>
            <w:pPr>
              <w:pStyle w:val="0"/>
              <w:jc w:val="center"/>
            </w:pPr>
            <w:r>
              <w:rPr>
                <w:sz w:val="20"/>
              </w:rPr>
              <w:t xml:space="preserve">Срок строительства объекта</w:t>
            </w:r>
          </w:p>
        </w:tc>
        <w:tc>
          <w:tcPr>
            <w:gridSpan w:val="4"/>
            <w:tcW w:w="5212" w:type="dxa"/>
          </w:tcPr>
          <w:p>
            <w:pPr>
              <w:pStyle w:val="0"/>
              <w:jc w:val="center"/>
            </w:pPr>
            <w:r>
              <w:rPr>
                <w:sz w:val="20"/>
              </w:rPr>
              <w:t xml:space="preserve">Объем денежных средств, предусмотренных на строительство объектов капитального строительства, тыс. рублей</w:t>
            </w:r>
          </w:p>
        </w:tc>
      </w:tr>
      <w:tr>
        <w:tc>
          <w:tcPr>
            <w:vMerge w:val="continue"/>
          </w:tcPr>
          <w:p/>
        </w:tc>
        <w:tc>
          <w:tcPr>
            <w:vMerge w:val="continue"/>
          </w:tcPr>
          <w:p/>
        </w:tc>
        <w:tc>
          <w:tcPr>
            <w:vMerge w:val="continue"/>
          </w:tcPr>
          <w:p/>
        </w:tc>
        <w:tc>
          <w:tcPr>
            <w:vMerge w:val="continue"/>
          </w:tcPr>
          <w:p/>
        </w:tc>
        <w:tc>
          <w:tcPr>
            <w:gridSpan w:val="2"/>
            <w:vMerge w:val="continue"/>
          </w:tcPr>
          <w:p/>
        </w:tc>
        <w:tc>
          <w:tcPr>
            <w:vMerge w:val="continue"/>
          </w:tcPr>
          <w:p/>
        </w:tc>
        <w:tc>
          <w:tcPr>
            <w:tcW w:w="1303" w:type="dxa"/>
            <w:vMerge w:val="restart"/>
          </w:tcPr>
          <w:p>
            <w:pPr>
              <w:pStyle w:val="0"/>
              <w:jc w:val="center"/>
            </w:pPr>
            <w:r>
              <w:rPr>
                <w:sz w:val="20"/>
              </w:rPr>
              <w:t xml:space="preserve">всего</w:t>
            </w:r>
          </w:p>
        </w:tc>
        <w:tc>
          <w:tcPr>
            <w:gridSpan w:val="3"/>
            <w:tcW w:w="3909"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vMerge w:val="continue"/>
          </w:tcPr>
          <w:p/>
        </w:tc>
        <w:tc>
          <w:tcPr>
            <w:tcW w:w="623" w:type="dxa"/>
          </w:tcPr>
          <w:p>
            <w:pPr>
              <w:pStyle w:val="0"/>
              <w:jc w:val="center"/>
            </w:pPr>
            <w:r>
              <w:rPr>
                <w:sz w:val="20"/>
              </w:rPr>
              <w:t xml:space="preserve">ед. изм.</w:t>
            </w:r>
          </w:p>
        </w:tc>
        <w:tc>
          <w:tcPr>
            <w:tcW w:w="793" w:type="dxa"/>
          </w:tcPr>
          <w:p>
            <w:pPr>
              <w:pStyle w:val="0"/>
              <w:jc w:val="center"/>
            </w:pPr>
            <w:r>
              <w:rPr>
                <w:sz w:val="20"/>
              </w:rPr>
              <w:t xml:space="preserve">показатель</w:t>
            </w:r>
          </w:p>
        </w:tc>
        <w:tc>
          <w:tcPr>
            <w:vMerge w:val="continue"/>
          </w:tcPr>
          <w:p/>
        </w:tc>
        <w:tc>
          <w:tcPr>
            <w:vMerge w:val="continue"/>
          </w:tcPr>
          <w:p/>
        </w:tc>
        <w:tc>
          <w:tcPr>
            <w:tcW w:w="1303" w:type="dxa"/>
          </w:tcPr>
          <w:p>
            <w:pPr>
              <w:pStyle w:val="0"/>
              <w:jc w:val="center"/>
            </w:pPr>
            <w:r>
              <w:rPr>
                <w:sz w:val="20"/>
              </w:rPr>
              <w:t xml:space="preserve">федеральный бюджет</w:t>
            </w:r>
          </w:p>
        </w:tc>
        <w:tc>
          <w:tcPr>
            <w:tcW w:w="1303" w:type="dxa"/>
          </w:tcPr>
          <w:p>
            <w:pPr>
              <w:pStyle w:val="0"/>
              <w:jc w:val="center"/>
            </w:pPr>
            <w:r>
              <w:rPr>
                <w:sz w:val="20"/>
              </w:rPr>
              <w:t xml:space="preserve">бюджет субъекта Российской Федерации</w:t>
            </w:r>
          </w:p>
        </w:tc>
        <w:tc>
          <w:tcPr>
            <w:tcW w:w="1303" w:type="dxa"/>
          </w:tcPr>
          <w:p>
            <w:pPr>
              <w:pStyle w:val="0"/>
              <w:jc w:val="center"/>
            </w:pPr>
            <w:r>
              <w:rPr>
                <w:sz w:val="20"/>
              </w:rPr>
              <w:t xml:space="preserve">местный бюджет</w:t>
            </w:r>
          </w:p>
        </w:tc>
      </w:tr>
      <w:tr>
        <w:tc>
          <w:tcPr>
            <w:tcW w:w="566" w:type="dxa"/>
          </w:tcPr>
          <w:p>
            <w:pPr>
              <w:pStyle w:val="0"/>
              <w:jc w:val="center"/>
            </w:pPr>
            <w:r>
              <w:rPr>
                <w:sz w:val="20"/>
              </w:rPr>
              <w:t xml:space="preserve">1</w:t>
            </w:r>
          </w:p>
        </w:tc>
        <w:tc>
          <w:tcPr>
            <w:tcW w:w="2324" w:type="dxa"/>
          </w:tcPr>
          <w:p>
            <w:pPr>
              <w:pStyle w:val="0"/>
              <w:jc w:val="center"/>
            </w:pPr>
            <w:r>
              <w:rPr>
                <w:sz w:val="20"/>
              </w:rPr>
              <w:t xml:space="preserve">2</w:t>
            </w:r>
          </w:p>
        </w:tc>
        <w:tc>
          <w:tcPr>
            <w:tcW w:w="794" w:type="dxa"/>
          </w:tcPr>
          <w:p>
            <w:pPr>
              <w:pStyle w:val="0"/>
              <w:jc w:val="center"/>
            </w:pPr>
            <w:r>
              <w:rPr>
                <w:sz w:val="20"/>
              </w:rPr>
              <w:t xml:space="preserve">3</w:t>
            </w:r>
          </w:p>
        </w:tc>
        <w:tc>
          <w:tcPr>
            <w:tcW w:w="2437" w:type="dxa"/>
          </w:tcPr>
          <w:p>
            <w:pPr>
              <w:pStyle w:val="0"/>
              <w:jc w:val="center"/>
            </w:pPr>
            <w:r>
              <w:rPr>
                <w:sz w:val="20"/>
              </w:rPr>
              <w:t xml:space="preserve">4</w:t>
            </w:r>
          </w:p>
        </w:tc>
        <w:tc>
          <w:tcPr>
            <w:tcW w:w="623" w:type="dxa"/>
          </w:tcPr>
          <w:p>
            <w:pPr>
              <w:pStyle w:val="0"/>
              <w:jc w:val="center"/>
            </w:pPr>
            <w:r>
              <w:rPr>
                <w:sz w:val="20"/>
              </w:rPr>
              <w:t xml:space="preserve">5</w:t>
            </w:r>
          </w:p>
        </w:tc>
        <w:tc>
          <w:tcPr>
            <w:tcW w:w="793" w:type="dxa"/>
          </w:tcPr>
          <w:p>
            <w:pPr>
              <w:pStyle w:val="0"/>
              <w:jc w:val="center"/>
            </w:pPr>
            <w:r>
              <w:rPr>
                <w:sz w:val="20"/>
              </w:rPr>
              <w:t xml:space="preserve">6</w:t>
            </w:r>
          </w:p>
        </w:tc>
        <w:tc>
          <w:tcPr>
            <w:tcW w:w="850" w:type="dxa"/>
          </w:tcPr>
          <w:p>
            <w:pPr>
              <w:pStyle w:val="0"/>
              <w:jc w:val="center"/>
            </w:pPr>
            <w:r>
              <w:rPr>
                <w:sz w:val="20"/>
              </w:rPr>
              <w:t xml:space="preserve">7</w:t>
            </w:r>
          </w:p>
        </w:tc>
        <w:tc>
          <w:tcPr>
            <w:tcW w:w="1303" w:type="dxa"/>
          </w:tcPr>
          <w:p>
            <w:pPr>
              <w:pStyle w:val="0"/>
              <w:jc w:val="center"/>
            </w:pPr>
            <w:r>
              <w:rPr>
                <w:sz w:val="20"/>
              </w:rPr>
              <w:t xml:space="preserve">8</w:t>
            </w:r>
          </w:p>
        </w:tc>
        <w:tc>
          <w:tcPr>
            <w:tcW w:w="1303" w:type="dxa"/>
          </w:tcPr>
          <w:p>
            <w:pPr>
              <w:pStyle w:val="0"/>
              <w:jc w:val="center"/>
            </w:pPr>
            <w:r>
              <w:rPr>
                <w:sz w:val="20"/>
              </w:rPr>
              <w:t xml:space="preserve">9</w:t>
            </w:r>
          </w:p>
        </w:tc>
        <w:tc>
          <w:tcPr>
            <w:tcW w:w="1303" w:type="dxa"/>
          </w:tcPr>
          <w:p>
            <w:pPr>
              <w:pStyle w:val="0"/>
              <w:jc w:val="center"/>
            </w:pPr>
            <w:r>
              <w:rPr>
                <w:sz w:val="20"/>
              </w:rPr>
              <w:t xml:space="preserve">10</w:t>
            </w:r>
          </w:p>
        </w:tc>
        <w:tc>
          <w:tcPr>
            <w:tcW w:w="1303" w:type="dxa"/>
          </w:tcPr>
          <w:p>
            <w:pPr>
              <w:pStyle w:val="0"/>
              <w:jc w:val="center"/>
            </w:pPr>
            <w:r>
              <w:rPr>
                <w:sz w:val="20"/>
              </w:rPr>
              <w:t xml:space="preserve">11</w:t>
            </w:r>
          </w:p>
        </w:tc>
      </w:tr>
      <w:tr>
        <w:tc>
          <w:tcPr>
            <w:gridSpan w:val="11"/>
            <w:tcW w:w="13599" w:type="dxa"/>
          </w:tcPr>
          <w:p>
            <w:pPr>
              <w:pStyle w:val="0"/>
              <w:outlineLvl w:val="2"/>
              <w:jc w:val="center"/>
            </w:pPr>
            <w:r>
              <w:rPr>
                <w:sz w:val="20"/>
              </w:rPr>
              <w:t xml:space="preserve">2019 год</w:t>
            </w:r>
          </w:p>
        </w:tc>
      </w:tr>
      <w:tr>
        <w:tc>
          <w:tcPr>
            <w:tcW w:w="566" w:type="dxa"/>
          </w:tcPr>
          <w:p>
            <w:pPr>
              <w:pStyle w:val="0"/>
              <w:jc w:val="center"/>
            </w:pPr>
            <w:r>
              <w:rPr>
                <w:sz w:val="20"/>
              </w:rPr>
              <w:t xml:space="preserve">1</w:t>
            </w:r>
          </w:p>
        </w:tc>
        <w:tc>
          <w:tcPr>
            <w:tcW w:w="2324" w:type="dxa"/>
          </w:tcPr>
          <w:p>
            <w:pPr>
              <w:pStyle w:val="0"/>
            </w:pPr>
            <w:r>
              <w:rPr>
                <w:sz w:val="20"/>
              </w:rPr>
              <w:t xml:space="preserve">Микрорайон Южный, г. Бердск</w:t>
            </w:r>
          </w:p>
        </w:tc>
        <w:tc>
          <w:tcPr>
            <w:tcW w:w="794" w:type="dxa"/>
          </w:tcPr>
          <w:p>
            <w:pPr>
              <w:pStyle w:val="0"/>
              <w:jc w:val="center"/>
            </w:pPr>
            <w:r>
              <w:rPr>
                <w:sz w:val="20"/>
              </w:rPr>
              <w:t xml:space="preserve">30,0</w:t>
            </w:r>
          </w:p>
        </w:tc>
        <w:tc>
          <w:tcPr>
            <w:tcW w:w="2437" w:type="dxa"/>
          </w:tcPr>
          <w:p>
            <w:pPr>
              <w:pStyle w:val="0"/>
            </w:pPr>
            <w:r>
              <w:rPr>
                <w:sz w:val="20"/>
              </w:rPr>
              <w:t xml:space="preserve">Разработка типовой проектной документации по объектам образования. Школа в микрорайоне Южном, г. Бердск</w:t>
            </w:r>
          </w:p>
        </w:tc>
        <w:tc>
          <w:tcPr>
            <w:tcW w:w="623" w:type="dxa"/>
          </w:tcPr>
          <w:p>
            <w:pPr>
              <w:pStyle w:val="0"/>
              <w:jc w:val="center"/>
            </w:pPr>
            <w:r>
              <w:rPr>
                <w:sz w:val="20"/>
              </w:rPr>
              <w:t xml:space="preserve">мест</w:t>
            </w:r>
          </w:p>
        </w:tc>
        <w:tc>
          <w:tcPr>
            <w:tcW w:w="793" w:type="dxa"/>
          </w:tcPr>
          <w:p>
            <w:pPr>
              <w:pStyle w:val="0"/>
              <w:jc w:val="center"/>
            </w:pPr>
            <w:r>
              <w:rPr>
                <w:sz w:val="20"/>
              </w:rPr>
              <w:t xml:space="preserve">1100</w:t>
            </w:r>
          </w:p>
        </w:tc>
        <w:tc>
          <w:tcPr>
            <w:tcW w:w="850" w:type="dxa"/>
          </w:tcPr>
          <w:p>
            <w:pPr>
              <w:pStyle w:val="0"/>
              <w:jc w:val="center"/>
            </w:pPr>
            <w:r>
              <w:rPr>
                <w:sz w:val="20"/>
              </w:rPr>
              <w:t xml:space="preserve">2019 - 2020</w:t>
            </w:r>
          </w:p>
        </w:tc>
        <w:tc>
          <w:tcPr>
            <w:tcW w:w="1303" w:type="dxa"/>
          </w:tcPr>
          <w:p>
            <w:pPr>
              <w:pStyle w:val="0"/>
              <w:jc w:val="center"/>
            </w:pPr>
            <w:r>
              <w:rPr>
                <w:sz w:val="20"/>
              </w:rPr>
              <w:t xml:space="preserve">222 857,4</w:t>
            </w:r>
          </w:p>
        </w:tc>
        <w:tc>
          <w:tcPr>
            <w:tcW w:w="1303" w:type="dxa"/>
          </w:tcPr>
          <w:p>
            <w:pPr>
              <w:pStyle w:val="0"/>
              <w:jc w:val="center"/>
            </w:pPr>
            <w:r>
              <w:rPr>
                <w:sz w:val="20"/>
              </w:rPr>
              <w:t xml:space="preserve">156 000,0</w:t>
            </w:r>
          </w:p>
        </w:tc>
        <w:tc>
          <w:tcPr>
            <w:tcW w:w="1303" w:type="dxa"/>
          </w:tcPr>
          <w:p>
            <w:pPr>
              <w:pStyle w:val="0"/>
              <w:jc w:val="center"/>
            </w:pPr>
            <w:r>
              <w:rPr>
                <w:sz w:val="20"/>
              </w:rPr>
              <w:t xml:space="preserve">66 857,4</w:t>
            </w:r>
          </w:p>
        </w:tc>
        <w:tc>
          <w:tcPr>
            <w:tcW w:w="1303" w:type="dxa"/>
          </w:tcPr>
          <w:p>
            <w:pPr>
              <w:pStyle w:val="0"/>
              <w:jc w:val="center"/>
            </w:pPr>
            <w:r>
              <w:rPr>
                <w:sz w:val="20"/>
              </w:rPr>
              <w:t xml:space="preserve">0,0</w:t>
            </w:r>
          </w:p>
        </w:tc>
      </w:tr>
      <w:tr>
        <w:tc>
          <w:tcPr>
            <w:tcW w:w="566" w:type="dxa"/>
          </w:tcPr>
          <w:p>
            <w:pPr>
              <w:pStyle w:val="0"/>
              <w:jc w:val="center"/>
            </w:pPr>
            <w:r>
              <w:rPr>
                <w:sz w:val="20"/>
              </w:rPr>
              <w:t xml:space="preserve">2</w:t>
            </w:r>
          </w:p>
        </w:tc>
        <w:tc>
          <w:tcPr>
            <w:tcW w:w="2324" w:type="dxa"/>
          </w:tcPr>
          <w:p>
            <w:pPr>
              <w:pStyle w:val="0"/>
            </w:pPr>
            <w:r>
              <w:rPr>
                <w:sz w:val="20"/>
              </w:rPr>
              <w:t xml:space="preserve">Жилой микрорайон по 1-му Мочищенскому шоссе г. Новосибирска</w:t>
            </w:r>
          </w:p>
        </w:tc>
        <w:tc>
          <w:tcPr>
            <w:tcW w:w="794" w:type="dxa"/>
          </w:tcPr>
          <w:p>
            <w:pPr>
              <w:pStyle w:val="0"/>
              <w:jc w:val="center"/>
            </w:pPr>
            <w:r>
              <w:rPr>
                <w:sz w:val="20"/>
              </w:rPr>
              <w:t xml:space="preserve">25,0</w:t>
            </w:r>
          </w:p>
        </w:tc>
        <w:tc>
          <w:tcPr>
            <w:tcW w:w="2437" w:type="dxa"/>
          </w:tcPr>
          <w:p>
            <w:pPr>
              <w:pStyle w:val="0"/>
            </w:pPr>
            <w:r>
              <w:rPr>
                <w:sz w:val="20"/>
              </w:rPr>
              <w:t xml:space="preserve">Детский сад по ул. Охотской в Заельцовском районе</w:t>
            </w:r>
          </w:p>
        </w:tc>
        <w:tc>
          <w:tcPr>
            <w:tcW w:w="623" w:type="dxa"/>
          </w:tcPr>
          <w:p>
            <w:pPr>
              <w:pStyle w:val="0"/>
              <w:jc w:val="center"/>
            </w:pPr>
            <w:r>
              <w:rPr>
                <w:sz w:val="20"/>
              </w:rPr>
              <w:t xml:space="preserve">мест</w:t>
            </w:r>
          </w:p>
        </w:tc>
        <w:tc>
          <w:tcPr>
            <w:tcW w:w="793" w:type="dxa"/>
          </w:tcPr>
          <w:p>
            <w:pPr>
              <w:pStyle w:val="0"/>
              <w:jc w:val="center"/>
            </w:pPr>
            <w:r>
              <w:rPr>
                <w:sz w:val="20"/>
              </w:rPr>
              <w:t xml:space="preserve">200</w:t>
            </w:r>
          </w:p>
        </w:tc>
        <w:tc>
          <w:tcPr>
            <w:tcW w:w="850" w:type="dxa"/>
          </w:tcPr>
          <w:p>
            <w:pPr>
              <w:pStyle w:val="0"/>
              <w:jc w:val="center"/>
            </w:pPr>
            <w:r>
              <w:rPr>
                <w:sz w:val="20"/>
              </w:rPr>
              <w:t xml:space="preserve">2019</w:t>
            </w:r>
          </w:p>
        </w:tc>
        <w:tc>
          <w:tcPr>
            <w:tcW w:w="1303" w:type="dxa"/>
          </w:tcPr>
          <w:p>
            <w:pPr>
              <w:pStyle w:val="0"/>
              <w:jc w:val="center"/>
            </w:pPr>
            <w:r>
              <w:rPr>
                <w:sz w:val="20"/>
              </w:rPr>
              <w:t xml:space="preserve">159 596,7</w:t>
            </w:r>
          </w:p>
        </w:tc>
        <w:tc>
          <w:tcPr>
            <w:tcW w:w="1303" w:type="dxa"/>
          </w:tcPr>
          <w:p>
            <w:pPr>
              <w:pStyle w:val="0"/>
              <w:jc w:val="center"/>
            </w:pPr>
            <w:r>
              <w:rPr>
                <w:sz w:val="20"/>
              </w:rPr>
              <w:t xml:space="preserve">111 717,7</w:t>
            </w:r>
          </w:p>
        </w:tc>
        <w:tc>
          <w:tcPr>
            <w:tcW w:w="1303" w:type="dxa"/>
          </w:tcPr>
          <w:p>
            <w:pPr>
              <w:pStyle w:val="0"/>
              <w:jc w:val="center"/>
            </w:pPr>
            <w:r>
              <w:rPr>
                <w:sz w:val="20"/>
              </w:rPr>
              <w:t xml:space="preserve">47 879,0</w:t>
            </w:r>
          </w:p>
        </w:tc>
        <w:tc>
          <w:tcPr>
            <w:tcW w:w="1303" w:type="dxa"/>
          </w:tcPr>
          <w:p>
            <w:pPr>
              <w:pStyle w:val="0"/>
              <w:jc w:val="center"/>
            </w:pPr>
            <w:r>
              <w:rPr>
                <w:sz w:val="20"/>
              </w:rPr>
              <w:t xml:space="preserve">0,0</w:t>
            </w:r>
          </w:p>
        </w:tc>
      </w:tr>
      <w:tr>
        <w:tc>
          <w:tcPr>
            <w:tcW w:w="566" w:type="dxa"/>
          </w:tcPr>
          <w:p>
            <w:pPr>
              <w:pStyle w:val="0"/>
              <w:jc w:val="center"/>
            </w:pPr>
            <w:r>
              <w:rPr>
                <w:sz w:val="20"/>
              </w:rPr>
              <w:t xml:space="preserve">3</w:t>
            </w:r>
          </w:p>
        </w:tc>
        <w:tc>
          <w:tcPr>
            <w:tcW w:w="2324" w:type="dxa"/>
          </w:tcPr>
          <w:p>
            <w:pPr>
              <w:pStyle w:val="0"/>
            </w:pPr>
            <w:r>
              <w:rPr>
                <w:sz w:val="20"/>
              </w:rPr>
              <w:t xml:space="preserve">Р.п. Краснообск и п. Элитный Мичуринского сельсовета Новосибирского района</w:t>
            </w:r>
          </w:p>
        </w:tc>
        <w:tc>
          <w:tcPr>
            <w:tcW w:w="794" w:type="dxa"/>
          </w:tcPr>
          <w:p>
            <w:pPr>
              <w:pStyle w:val="0"/>
              <w:jc w:val="center"/>
            </w:pPr>
            <w:r>
              <w:rPr>
                <w:sz w:val="20"/>
              </w:rPr>
              <w:t xml:space="preserve">85,0</w:t>
            </w:r>
          </w:p>
        </w:tc>
        <w:tc>
          <w:tcPr>
            <w:tcW w:w="2437" w:type="dxa"/>
          </w:tcPr>
          <w:p>
            <w:pPr>
              <w:pStyle w:val="0"/>
            </w:pPr>
            <w:r>
              <w:rPr>
                <w:sz w:val="20"/>
              </w:rPr>
              <w:t xml:space="preserve">Школа в р.п. Краснообске</w:t>
            </w:r>
          </w:p>
        </w:tc>
        <w:tc>
          <w:tcPr>
            <w:tcW w:w="623" w:type="dxa"/>
          </w:tcPr>
          <w:p>
            <w:pPr>
              <w:pStyle w:val="0"/>
              <w:jc w:val="center"/>
            </w:pPr>
            <w:r>
              <w:rPr>
                <w:sz w:val="20"/>
              </w:rPr>
              <w:t xml:space="preserve">мест</w:t>
            </w:r>
          </w:p>
        </w:tc>
        <w:tc>
          <w:tcPr>
            <w:tcW w:w="793" w:type="dxa"/>
          </w:tcPr>
          <w:p>
            <w:pPr>
              <w:pStyle w:val="0"/>
              <w:jc w:val="center"/>
            </w:pPr>
            <w:r>
              <w:rPr>
                <w:sz w:val="20"/>
              </w:rPr>
              <w:t xml:space="preserve">1100</w:t>
            </w:r>
          </w:p>
        </w:tc>
        <w:tc>
          <w:tcPr>
            <w:tcW w:w="850" w:type="dxa"/>
          </w:tcPr>
          <w:p>
            <w:pPr>
              <w:pStyle w:val="0"/>
              <w:jc w:val="center"/>
            </w:pPr>
            <w:r>
              <w:rPr>
                <w:sz w:val="20"/>
              </w:rPr>
              <w:t xml:space="preserve">2019 - 2020</w:t>
            </w:r>
          </w:p>
        </w:tc>
        <w:tc>
          <w:tcPr>
            <w:tcW w:w="1303" w:type="dxa"/>
          </w:tcPr>
          <w:p>
            <w:pPr>
              <w:pStyle w:val="0"/>
              <w:jc w:val="center"/>
            </w:pPr>
            <w:r>
              <w:rPr>
                <w:sz w:val="20"/>
              </w:rPr>
              <w:t xml:space="preserve">636 562,4</w:t>
            </w:r>
          </w:p>
        </w:tc>
        <w:tc>
          <w:tcPr>
            <w:tcW w:w="1303" w:type="dxa"/>
          </w:tcPr>
          <w:p>
            <w:pPr>
              <w:pStyle w:val="0"/>
              <w:jc w:val="center"/>
            </w:pPr>
            <w:r>
              <w:rPr>
                <w:sz w:val="20"/>
              </w:rPr>
              <w:t xml:space="preserve">445 593,7</w:t>
            </w:r>
          </w:p>
        </w:tc>
        <w:tc>
          <w:tcPr>
            <w:tcW w:w="1303" w:type="dxa"/>
          </w:tcPr>
          <w:p>
            <w:pPr>
              <w:pStyle w:val="0"/>
              <w:jc w:val="center"/>
            </w:pPr>
            <w:r>
              <w:rPr>
                <w:sz w:val="20"/>
              </w:rPr>
              <w:t xml:space="preserve">190 968,7</w:t>
            </w:r>
          </w:p>
        </w:tc>
        <w:tc>
          <w:tcPr>
            <w:tcW w:w="1303" w:type="dxa"/>
          </w:tcPr>
          <w:p>
            <w:pPr>
              <w:pStyle w:val="0"/>
              <w:jc w:val="center"/>
            </w:pPr>
            <w:r>
              <w:rPr>
                <w:sz w:val="20"/>
              </w:rPr>
              <w:t xml:space="preserve">0,0</w:t>
            </w:r>
          </w:p>
        </w:tc>
      </w:tr>
      <w:tr>
        <w:tc>
          <w:tcPr>
            <w:tcW w:w="566" w:type="dxa"/>
          </w:tcPr>
          <w:p>
            <w:pPr>
              <w:pStyle w:val="0"/>
              <w:jc w:val="center"/>
            </w:pPr>
            <w:r>
              <w:rPr>
                <w:sz w:val="20"/>
              </w:rPr>
              <w:t xml:space="preserve">4</w:t>
            </w:r>
          </w:p>
        </w:tc>
        <w:tc>
          <w:tcPr>
            <w:tcW w:w="2324" w:type="dxa"/>
          </w:tcPr>
          <w:p>
            <w:pPr>
              <w:pStyle w:val="0"/>
            </w:pPr>
            <w:r>
              <w:rPr>
                <w:sz w:val="20"/>
              </w:rPr>
              <w:t xml:space="preserve">Жилой микрорайон Родники г. Новосибирска и Станционного сельсовета Новосибирского района</w:t>
            </w:r>
          </w:p>
        </w:tc>
        <w:tc>
          <w:tcPr>
            <w:tcW w:w="794" w:type="dxa"/>
          </w:tcPr>
          <w:p>
            <w:pPr>
              <w:pStyle w:val="0"/>
              <w:jc w:val="center"/>
            </w:pPr>
            <w:r>
              <w:rPr>
                <w:sz w:val="20"/>
              </w:rPr>
              <w:t xml:space="preserve">60,0</w:t>
            </w:r>
          </w:p>
        </w:tc>
        <w:tc>
          <w:tcPr>
            <w:tcW w:w="2437" w:type="dxa"/>
          </w:tcPr>
          <w:p>
            <w:pPr>
              <w:pStyle w:val="0"/>
            </w:pPr>
            <w:r>
              <w:rPr>
                <w:sz w:val="20"/>
              </w:rPr>
              <w:t xml:space="preserve">Школа по ул. Тюленина в Калининском районе</w:t>
            </w:r>
          </w:p>
        </w:tc>
        <w:tc>
          <w:tcPr>
            <w:tcW w:w="623" w:type="dxa"/>
          </w:tcPr>
          <w:p>
            <w:pPr>
              <w:pStyle w:val="0"/>
              <w:jc w:val="center"/>
            </w:pPr>
            <w:r>
              <w:rPr>
                <w:sz w:val="20"/>
              </w:rPr>
              <w:t xml:space="preserve">мест</w:t>
            </w:r>
          </w:p>
        </w:tc>
        <w:tc>
          <w:tcPr>
            <w:tcW w:w="793" w:type="dxa"/>
          </w:tcPr>
          <w:p>
            <w:pPr>
              <w:pStyle w:val="0"/>
              <w:jc w:val="center"/>
            </w:pPr>
            <w:r>
              <w:rPr>
                <w:sz w:val="20"/>
              </w:rPr>
              <w:t xml:space="preserve">1100</w:t>
            </w:r>
          </w:p>
        </w:tc>
        <w:tc>
          <w:tcPr>
            <w:tcW w:w="850" w:type="dxa"/>
          </w:tcPr>
          <w:p>
            <w:pPr>
              <w:pStyle w:val="0"/>
              <w:jc w:val="center"/>
            </w:pPr>
            <w:r>
              <w:rPr>
                <w:sz w:val="20"/>
              </w:rPr>
              <w:t xml:space="preserve">2019 - 2020</w:t>
            </w:r>
          </w:p>
        </w:tc>
        <w:tc>
          <w:tcPr>
            <w:tcW w:w="1303" w:type="dxa"/>
          </w:tcPr>
          <w:p>
            <w:pPr>
              <w:pStyle w:val="0"/>
              <w:jc w:val="center"/>
            </w:pPr>
            <w:r>
              <w:rPr>
                <w:sz w:val="20"/>
              </w:rPr>
              <w:t xml:space="preserve">429 000,0</w:t>
            </w:r>
          </w:p>
        </w:tc>
        <w:tc>
          <w:tcPr>
            <w:tcW w:w="1303" w:type="dxa"/>
          </w:tcPr>
          <w:p>
            <w:pPr>
              <w:pStyle w:val="0"/>
              <w:jc w:val="center"/>
            </w:pPr>
            <w:r>
              <w:rPr>
                <w:sz w:val="20"/>
              </w:rPr>
              <w:t xml:space="preserve">300 000,0</w:t>
            </w:r>
          </w:p>
        </w:tc>
        <w:tc>
          <w:tcPr>
            <w:tcW w:w="1303" w:type="dxa"/>
          </w:tcPr>
          <w:p>
            <w:pPr>
              <w:pStyle w:val="0"/>
              <w:jc w:val="center"/>
            </w:pPr>
            <w:r>
              <w:rPr>
                <w:sz w:val="20"/>
              </w:rPr>
              <w:t xml:space="preserve">75 792,2</w:t>
            </w:r>
          </w:p>
        </w:tc>
        <w:tc>
          <w:tcPr>
            <w:tcW w:w="1303" w:type="dxa"/>
          </w:tcPr>
          <w:p>
            <w:pPr>
              <w:pStyle w:val="0"/>
              <w:jc w:val="center"/>
            </w:pPr>
            <w:r>
              <w:rPr>
                <w:sz w:val="20"/>
              </w:rPr>
              <w:t xml:space="preserve">53 207,8</w:t>
            </w:r>
          </w:p>
        </w:tc>
      </w:tr>
      <w:tr>
        <w:tc>
          <w:tcPr>
            <w:tcW w:w="566" w:type="dxa"/>
          </w:tcPr>
          <w:p>
            <w:pPr>
              <w:pStyle w:val="0"/>
            </w:pPr>
            <w:r>
              <w:rPr>
                <w:sz w:val="20"/>
              </w:rPr>
            </w:r>
          </w:p>
        </w:tc>
        <w:tc>
          <w:tcPr>
            <w:tcW w:w="2324" w:type="dxa"/>
          </w:tcPr>
          <w:p>
            <w:pPr>
              <w:pStyle w:val="0"/>
            </w:pPr>
            <w:r>
              <w:rPr>
                <w:sz w:val="20"/>
              </w:rPr>
              <w:t xml:space="preserve">Всего</w:t>
            </w:r>
          </w:p>
        </w:tc>
        <w:tc>
          <w:tcPr>
            <w:tcW w:w="794" w:type="dxa"/>
          </w:tcPr>
          <w:p>
            <w:pPr>
              <w:pStyle w:val="0"/>
              <w:jc w:val="center"/>
            </w:pPr>
            <w:r>
              <w:rPr>
                <w:sz w:val="20"/>
              </w:rPr>
              <w:t xml:space="preserve">200,0</w:t>
            </w:r>
          </w:p>
        </w:tc>
        <w:tc>
          <w:tcPr>
            <w:tcW w:w="2437" w:type="dxa"/>
          </w:tcPr>
          <w:p>
            <w:pPr>
              <w:pStyle w:val="0"/>
            </w:pPr>
            <w:r>
              <w:rPr>
                <w:sz w:val="20"/>
              </w:rPr>
            </w:r>
          </w:p>
        </w:tc>
        <w:tc>
          <w:tcPr>
            <w:tcW w:w="623" w:type="dxa"/>
          </w:tcPr>
          <w:p>
            <w:pPr>
              <w:pStyle w:val="0"/>
            </w:pPr>
            <w:r>
              <w:rPr>
                <w:sz w:val="20"/>
              </w:rPr>
            </w:r>
          </w:p>
        </w:tc>
        <w:tc>
          <w:tcPr>
            <w:tcW w:w="793" w:type="dxa"/>
          </w:tcPr>
          <w:p>
            <w:pPr>
              <w:pStyle w:val="0"/>
            </w:pPr>
            <w:r>
              <w:rPr>
                <w:sz w:val="20"/>
              </w:rPr>
            </w:r>
          </w:p>
        </w:tc>
        <w:tc>
          <w:tcPr>
            <w:tcW w:w="850" w:type="dxa"/>
          </w:tcPr>
          <w:p>
            <w:pPr>
              <w:pStyle w:val="0"/>
            </w:pPr>
            <w:r>
              <w:rPr>
                <w:sz w:val="20"/>
              </w:rPr>
            </w:r>
          </w:p>
        </w:tc>
        <w:tc>
          <w:tcPr>
            <w:tcW w:w="1303" w:type="dxa"/>
          </w:tcPr>
          <w:p>
            <w:pPr>
              <w:pStyle w:val="0"/>
              <w:jc w:val="center"/>
            </w:pPr>
            <w:r>
              <w:rPr>
                <w:sz w:val="20"/>
              </w:rPr>
              <w:t xml:space="preserve">1 448 016,5</w:t>
            </w:r>
          </w:p>
        </w:tc>
        <w:tc>
          <w:tcPr>
            <w:tcW w:w="1303" w:type="dxa"/>
          </w:tcPr>
          <w:p>
            <w:pPr>
              <w:pStyle w:val="0"/>
              <w:jc w:val="center"/>
            </w:pPr>
            <w:r>
              <w:rPr>
                <w:sz w:val="20"/>
              </w:rPr>
              <w:t xml:space="preserve">1 013 311,4</w:t>
            </w:r>
          </w:p>
        </w:tc>
        <w:tc>
          <w:tcPr>
            <w:tcW w:w="1303" w:type="dxa"/>
          </w:tcPr>
          <w:p>
            <w:pPr>
              <w:pStyle w:val="0"/>
              <w:jc w:val="center"/>
            </w:pPr>
            <w:r>
              <w:rPr>
                <w:sz w:val="20"/>
              </w:rPr>
              <w:t xml:space="preserve">381 497,3</w:t>
            </w:r>
          </w:p>
        </w:tc>
        <w:tc>
          <w:tcPr>
            <w:tcW w:w="1303" w:type="dxa"/>
          </w:tcPr>
          <w:p>
            <w:pPr>
              <w:pStyle w:val="0"/>
              <w:jc w:val="center"/>
            </w:pPr>
            <w:r>
              <w:rPr>
                <w:sz w:val="20"/>
              </w:rPr>
              <w:t xml:space="preserve">53 207,8</w:t>
            </w:r>
          </w:p>
        </w:tc>
      </w:tr>
      <w:tr>
        <w:tc>
          <w:tcPr>
            <w:gridSpan w:val="11"/>
            <w:tcW w:w="13599" w:type="dxa"/>
          </w:tcPr>
          <w:p>
            <w:pPr>
              <w:pStyle w:val="0"/>
              <w:outlineLvl w:val="2"/>
              <w:jc w:val="center"/>
            </w:pPr>
            <w:r>
              <w:rPr>
                <w:sz w:val="20"/>
              </w:rPr>
              <w:t xml:space="preserve">2020 год</w:t>
            </w:r>
          </w:p>
        </w:tc>
      </w:tr>
      <w:tr>
        <w:tc>
          <w:tcPr>
            <w:tcW w:w="566" w:type="dxa"/>
          </w:tcPr>
          <w:p>
            <w:pPr>
              <w:pStyle w:val="0"/>
              <w:jc w:val="center"/>
            </w:pPr>
            <w:r>
              <w:rPr>
                <w:sz w:val="20"/>
              </w:rPr>
              <w:t xml:space="preserve">1</w:t>
            </w:r>
          </w:p>
        </w:tc>
        <w:tc>
          <w:tcPr>
            <w:tcW w:w="2324" w:type="dxa"/>
          </w:tcPr>
          <w:p>
            <w:pPr>
              <w:pStyle w:val="0"/>
            </w:pPr>
            <w:r>
              <w:rPr>
                <w:sz w:val="20"/>
              </w:rPr>
              <w:t xml:space="preserve">Жилой микрорайон Береговой</w:t>
            </w:r>
          </w:p>
        </w:tc>
        <w:tc>
          <w:tcPr>
            <w:tcW w:w="794" w:type="dxa"/>
          </w:tcPr>
          <w:p>
            <w:pPr>
              <w:pStyle w:val="0"/>
              <w:jc w:val="center"/>
            </w:pPr>
            <w:r>
              <w:rPr>
                <w:sz w:val="20"/>
              </w:rPr>
              <w:t xml:space="preserve">35,1</w:t>
            </w:r>
          </w:p>
        </w:tc>
        <w:tc>
          <w:tcPr>
            <w:tcW w:w="2437" w:type="dxa"/>
          </w:tcPr>
          <w:p>
            <w:pPr>
              <w:pStyle w:val="0"/>
            </w:pPr>
            <w:r>
              <w:rPr>
                <w:sz w:val="20"/>
              </w:rPr>
              <w:t xml:space="preserve">Школа по ул. Большевистской в Октябрьском районе г. Новосибирска</w:t>
            </w:r>
          </w:p>
        </w:tc>
        <w:tc>
          <w:tcPr>
            <w:tcW w:w="623" w:type="dxa"/>
          </w:tcPr>
          <w:p>
            <w:pPr>
              <w:pStyle w:val="0"/>
              <w:jc w:val="center"/>
            </w:pPr>
            <w:r>
              <w:rPr>
                <w:sz w:val="20"/>
              </w:rPr>
              <w:t xml:space="preserve">мест</w:t>
            </w:r>
          </w:p>
        </w:tc>
        <w:tc>
          <w:tcPr>
            <w:tcW w:w="793" w:type="dxa"/>
          </w:tcPr>
          <w:p>
            <w:pPr>
              <w:pStyle w:val="0"/>
              <w:jc w:val="center"/>
            </w:pPr>
            <w:r>
              <w:rPr>
                <w:sz w:val="20"/>
              </w:rPr>
              <w:t xml:space="preserve">825</w:t>
            </w:r>
          </w:p>
        </w:tc>
        <w:tc>
          <w:tcPr>
            <w:tcW w:w="850" w:type="dxa"/>
          </w:tcPr>
          <w:p>
            <w:pPr>
              <w:pStyle w:val="0"/>
              <w:jc w:val="center"/>
            </w:pPr>
            <w:r>
              <w:rPr>
                <w:sz w:val="20"/>
              </w:rPr>
              <w:t xml:space="preserve">2020 - 2021</w:t>
            </w:r>
          </w:p>
        </w:tc>
        <w:tc>
          <w:tcPr>
            <w:tcW w:w="1303" w:type="dxa"/>
          </w:tcPr>
          <w:p>
            <w:pPr>
              <w:pStyle w:val="0"/>
              <w:jc w:val="center"/>
            </w:pPr>
            <w:r>
              <w:rPr>
                <w:sz w:val="20"/>
              </w:rPr>
              <w:t xml:space="preserve">250 000,0</w:t>
            </w:r>
          </w:p>
        </w:tc>
        <w:tc>
          <w:tcPr>
            <w:tcW w:w="1303" w:type="dxa"/>
          </w:tcPr>
          <w:p>
            <w:pPr>
              <w:pStyle w:val="0"/>
              <w:jc w:val="center"/>
            </w:pPr>
            <w:r>
              <w:rPr>
                <w:sz w:val="20"/>
              </w:rPr>
              <w:t xml:space="preserve">175 000,0</w:t>
            </w:r>
          </w:p>
        </w:tc>
        <w:tc>
          <w:tcPr>
            <w:tcW w:w="1303" w:type="dxa"/>
          </w:tcPr>
          <w:p>
            <w:pPr>
              <w:pStyle w:val="0"/>
              <w:jc w:val="center"/>
            </w:pPr>
            <w:r>
              <w:rPr>
                <w:sz w:val="20"/>
              </w:rPr>
              <w:t xml:space="preserve">75 000,0</w:t>
            </w:r>
          </w:p>
        </w:tc>
        <w:tc>
          <w:tcPr>
            <w:tcW w:w="1303" w:type="dxa"/>
          </w:tcPr>
          <w:p>
            <w:pPr>
              <w:pStyle w:val="0"/>
              <w:jc w:val="center"/>
            </w:pPr>
            <w:r>
              <w:rPr>
                <w:sz w:val="20"/>
              </w:rPr>
              <w:t xml:space="preserve">0,0</w:t>
            </w:r>
          </w:p>
        </w:tc>
      </w:tr>
      <w:tr>
        <w:tc>
          <w:tcPr>
            <w:tcW w:w="566" w:type="dxa"/>
          </w:tcPr>
          <w:p>
            <w:pPr>
              <w:pStyle w:val="0"/>
              <w:jc w:val="center"/>
            </w:pPr>
            <w:r>
              <w:rPr>
                <w:sz w:val="20"/>
              </w:rPr>
              <w:t xml:space="preserve">2</w:t>
            </w:r>
          </w:p>
        </w:tc>
        <w:tc>
          <w:tcPr>
            <w:tcW w:w="2324" w:type="dxa"/>
            <w:vMerge w:val="restart"/>
          </w:tcPr>
          <w:p>
            <w:pPr>
              <w:pStyle w:val="0"/>
            </w:pPr>
            <w:r>
              <w:rPr>
                <w:sz w:val="20"/>
              </w:rPr>
              <w:t xml:space="preserve">Жилой микрорайон Родники г. Новосибирска, п. Клюквенный и Станционный сельсовет Новосибирского района</w:t>
            </w:r>
          </w:p>
        </w:tc>
        <w:tc>
          <w:tcPr>
            <w:tcW w:w="794" w:type="dxa"/>
            <w:vMerge w:val="restart"/>
          </w:tcPr>
          <w:p>
            <w:pPr>
              <w:pStyle w:val="0"/>
              <w:jc w:val="center"/>
            </w:pPr>
            <w:r>
              <w:rPr>
                <w:sz w:val="20"/>
              </w:rPr>
              <w:t xml:space="preserve">135,6</w:t>
            </w:r>
          </w:p>
        </w:tc>
        <w:tc>
          <w:tcPr>
            <w:tcW w:w="2437" w:type="dxa"/>
          </w:tcPr>
          <w:p>
            <w:pPr>
              <w:pStyle w:val="0"/>
            </w:pPr>
            <w:r>
              <w:rPr>
                <w:sz w:val="20"/>
              </w:rPr>
              <w:t xml:space="preserve">Школа по ул. Тюленина в Калининском районе г. Новосибирска</w:t>
            </w:r>
          </w:p>
        </w:tc>
        <w:tc>
          <w:tcPr>
            <w:tcW w:w="623" w:type="dxa"/>
          </w:tcPr>
          <w:p>
            <w:pPr>
              <w:pStyle w:val="0"/>
              <w:jc w:val="center"/>
            </w:pPr>
            <w:r>
              <w:rPr>
                <w:sz w:val="20"/>
              </w:rPr>
              <w:t xml:space="preserve">мест</w:t>
            </w:r>
          </w:p>
        </w:tc>
        <w:tc>
          <w:tcPr>
            <w:tcW w:w="793" w:type="dxa"/>
          </w:tcPr>
          <w:p>
            <w:pPr>
              <w:pStyle w:val="0"/>
              <w:jc w:val="center"/>
            </w:pPr>
            <w:r>
              <w:rPr>
                <w:sz w:val="20"/>
              </w:rPr>
              <w:t xml:space="preserve">1100</w:t>
            </w:r>
          </w:p>
        </w:tc>
        <w:tc>
          <w:tcPr>
            <w:tcW w:w="850" w:type="dxa"/>
          </w:tcPr>
          <w:p>
            <w:pPr>
              <w:pStyle w:val="0"/>
              <w:jc w:val="center"/>
            </w:pPr>
            <w:r>
              <w:rPr>
                <w:sz w:val="20"/>
              </w:rPr>
              <w:t xml:space="preserve">2019 - 2020</w:t>
            </w:r>
          </w:p>
        </w:tc>
        <w:tc>
          <w:tcPr>
            <w:tcW w:w="1303" w:type="dxa"/>
          </w:tcPr>
          <w:p>
            <w:pPr>
              <w:pStyle w:val="0"/>
              <w:jc w:val="center"/>
            </w:pPr>
            <w:r>
              <w:rPr>
                <w:sz w:val="20"/>
              </w:rPr>
              <w:t xml:space="preserve">200 000,0</w:t>
            </w:r>
          </w:p>
        </w:tc>
        <w:tc>
          <w:tcPr>
            <w:tcW w:w="1303" w:type="dxa"/>
          </w:tcPr>
          <w:p>
            <w:pPr>
              <w:pStyle w:val="0"/>
              <w:jc w:val="center"/>
            </w:pPr>
            <w:r>
              <w:rPr>
                <w:sz w:val="20"/>
              </w:rPr>
              <w:t xml:space="preserve">140 000,0</w:t>
            </w:r>
          </w:p>
        </w:tc>
        <w:tc>
          <w:tcPr>
            <w:tcW w:w="1303" w:type="dxa"/>
          </w:tcPr>
          <w:p>
            <w:pPr>
              <w:pStyle w:val="0"/>
              <w:jc w:val="center"/>
            </w:pPr>
            <w:r>
              <w:rPr>
                <w:sz w:val="20"/>
              </w:rPr>
              <w:t xml:space="preserve">30 000,0</w:t>
            </w:r>
          </w:p>
        </w:tc>
        <w:tc>
          <w:tcPr>
            <w:tcW w:w="1303" w:type="dxa"/>
          </w:tcPr>
          <w:p>
            <w:pPr>
              <w:pStyle w:val="0"/>
              <w:jc w:val="center"/>
            </w:pPr>
            <w:r>
              <w:rPr>
                <w:sz w:val="20"/>
              </w:rPr>
              <w:t xml:space="preserve">30 000,0</w:t>
            </w:r>
          </w:p>
        </w:tc>
      </w:tr>
      <w:tr>
        <w:tc>
          <w:tcPr>
            <w:tcW w:w="566" w:type="dxa"/>
          </w:tcPr>
          <w:p>
            <w:pPr>
              <w:pStyle w:val="0"/>
              <w:jc w:val="center"/>
            </w:pPr>
            <w:r>
              <w:rPr>
                <w:sz w:val="20"/>
              </w:rPr>
              <w:t xml:space="preserve">3</w:t>
            </w:r>
          </w:p>
        </w:tc>
        <w:tc>
          <w:tcPr>
            <w:vMerge w:val="continue"/>
          </w:tcPr>
          <w:p/>
        </w:tc>
        <w:tc>
          <w:tcPr>
            <w:vMerge w:val="continue"/>
          </w:tcPr>
          <w:p/>
        </w:tc>
        <w:tc>
          <w:tcPr>
            <w:tcW w:w="2437" w:type="dxa"/>
          </w:tcPr>
          <w:p>
            <w:pPr>
              <w:pStyle w:val="0"/>
            </w:pPr>
            <w:r>
              <w:rPr>
                <w:sz w:val="20"/>
              </w:rPr>
              <w:t xml:space="preserve">Здание школы по ул. Михаила Немыткина в г. Новосибирске</w:t>
            </w:r>
          </w:p>
        </w:tc>
        <w:tc>
          <w:tcPr>
            <w:tcW w:w="623" w:type="dxa"/>
          </w:tcPr>
          <w:p>
            <w:pPr>
              <w:pStyle w:val="0"/>
              <w:jc w:val="center"/>
            </w:pPr>
            <w:r>
              <w:rPr>
                <w:sz w:val="20"/>
              </w:rPr>
              <w:t xml:space="preserve">мест</w:t>
            </w:r>
          </w:p>
        </w:tc>
        <w:tc>
          <w:tcPr>
            <w:tcW w:w="793" w:type="dxa"/>
          </w:tcPr>
          <w:p>
            <w:pPr>
              <w:pStyle w:val="0"/>
              <w:jc w:val="center"/>
            </w:pPr>
            <w:r>
              <w:rPr>
                <w:sz w:val="20"/>
              </w:rPr>
              <w:t xml:space="preserve">1100</w:t>
            </w:r>
          </w:p>
        </w:tc>
        <w:tc>
          <w:tcPr>
            <w:tcW w:w="850" w:type="dxa"/>
          </w:tcPr>
          <w:p>
            <w:pPr>
              <w:pStyle w:val="0"/>
              <w:jc w:val="center"/>
            </w:pPr>
            <w:r>
              <w:rPr>
                <w:sz w:val="20"/>
              </w:rPr>
              <w:t xml:space="preserve">2020 - 2021</w:t>
            </w:r>
          </w:p>
        </w:tc>
        <w:tc>
          <w:tcPr>
            <w:tcW w:w="1303" w:type="dxa"/>
          </w:tcPr>
          <w:p>
            <w:pPr>
              <w:pStyle w:val="0"/>
              <w:jc w:val="center"/>
            </w:pPr>
            <w:r>
              <w:rPr>
                <w:sz w:val="20"/>
              </w:rPr>
              <w:t xml:space="preserve">642 857,1</w:t>
            </w:r>
          </w:p>
        </w:tc>
        <w:tc>
          <w:tcPr>
            <w:tcW w:w="1303" w:type="dxa"/>
          </w:tcPr>
          <w:p>
            <w:pPr>
              <w:pStyle w:val="0"/>
              <w:jc w:val="center"/>
            </w:pPr>
            <w:r>
              <w:rPr>
                <w:sz w:val="20"/>
              </w:rPr>
              <w:t xml:space="preserve">450 000,0</w:t>
            </w:r>
          </w:p>
        </w:tc>
        <w:tc>
          <w:tcPr>
            <w:tcW w:w="1303" w:type="dxa"/>
          </w:tcPr>
          <w:p>
            <w:pPr>
              <w:pStyle w:val="0"/>
              <w:jc w:val="center"/>
            </w:pPr>
            <w:r>
              <w:rPr>
                <w:sz w:val="20"/>
              </w:rPr>
              <w:t xml:space="preserve">192 857,1</w:t>
            </w:r>
          </w:p>
        </w:tc>
        <w:tc>
          <w:tcPr>
            <w:tcW w:w="1303" w:type="dxa"/>
          </w:tcPr>
          <w:p>
            <w:pPr>
              <w:pStyle w:val="0"/>
              <w:jc w:val="center"/>
            </w:pPr>
            <w:r>
              <w:rPr>
                <w:sz w:val="20"/>
              </w:rPr>
              <w:t xml:space="preserve">0,0</w:t>
            </w:r>
          </w:p>
        </w:tc>
      </w:tr>
      <w:tr>
        <w:tc>
          <w:tcPr>
            <w:tcW w:w="566" w:type="dxa"/>
          </w:tcPr>
          <w:p>
            <w:pPr>
              <w:pStyle w:val="0"/>
              <w:jc w:val="center"/>
            </w:pPr>
            <w:r>
              <w:rPr>
                <w:sz w:val="20"/>
              </w:rPr>
              <w:t xml:space="preserve">4</w:t>
            </w:r>
          </w:p>
        </w:tc>
        <w:tc>
          <w:tcPr>
            <w:vMerge w:val="continue"/>
          </w:tcPr>
          <w:p/>
        </w:tc>
        <w:tc>
          <w:tcPr>
            <w:vMerge w:val="continue"/>
          </w:tcPr>
          <w:p/>
        </w:tc>
        <w:tc>
          <w:tcPr>
            <w:tcW w:w="2437" w:type="dxa"/>
          </w:tcPr>
          <w:p>
            <w:pPr>
              <w:pStyle w:val="0"/>
            </w:pPr>
            <w:r>
              <w:rPr>
                <w:sz w:val="20"/>
              </w:rPr>
              <w:t xml:space="preserve">Детский сад на 160 мест по ул. Краузе в Калининском районе г. Новосибирска</w:t>
            </w:r>
          </w:p>
        </w:tc>
        <w:tc>
          <w:tcPr>
            <w:tcW w:w="623" w:type="dxa"/>
          </w:tcPr>
          <w:p>
            <w:pPr>
              <w:pStyle w:val="0"/>
              <w:jc w:val="center"/>
            </w:pPr>
            <w:r>
              <w:rPr>
                <w:sz w:val="20"/>
              </w:rPr>
              <w:t xml:space="preserve">мест</w:t>
            </w:r>
          </w:p>
        </w:tc>
        <w:tc>
          <w:tcPr>
            <w:tcW w:w="793" w:type="dxa"/>
          </w:tcPr>
          <w:p>
            <w:pPr>
              <w:pStyle w:val="0"/>
              <w:jc w:val="center"/>
            </w:pPr>
            <w:r>
              <w:rPr>
                <w:sz w:val="20"/>
              </w:rPr>
              <w:t xml:space="preserve">160</w:t>
            </w:r>
          </w:p>
        </w:tc>
        <w:tc>
          <w:tcPr>
            <w:tcW w:w="850" w:type="dxa"/>
          </w:tcPr>
          <w:p>
            <w:pPr>
              <w:pStyle w:val="0"/>
              <w:jc w:val="center"/>
            </w:pPr>
            <w:r>
              <w:rPr>
                <w:sz w:val="20"/>
              </w:rPr>
              <w:t xml:space="preserve">2020</w:t>
            </w:r>
          </w:p>
        </w:tc>
        <w:tc>
          <w:tcPr>
            <w:tcW w:w="1303" w:type="dxa"/>
          </w:tcPr>
          <w:p>
            <w:pPr>
              <w:pStyle w:val="0"/>
              <w:jc w:val="center"/>
            </w:pPr>
            <w:r>
              <w:rPr>
                <w:sz w:val="20"/>
              </w:rPr>
              <w:t xml:space="preserve">144 854,4</w:t>
            </w:r>
          </w:p>
        </w:tc>
        <w:tc>
          <w:tcPr>
            <w:tcW w:w="1303" w:type="dxa"/>
          </w:tcPr>
          <w:p>
            <w:pPr>
              <w:pStyle w:val="0"/>
              <w:jc w:val="center"/>
            </w:pPr>
            <w:r>
              <w:rPr>
                <w:sz w:val="20"/>
              </w:rPr>
              <w:t xml:space="preserve">101 398,1</w:t>
            </w:r>
          </w:p>
        </w:tc>
        <w:tc>
          <w:tcPr>
            <w:tcW w:w="1303" w:type="dxa"/>
          </w:tcPr>
          <w:p>
            <w:pPr>
              <w:pStyle w:val="0"/>
              <w:jc w:val="center"/>
            </w:pPr>
            <w:r>
              <w:rPr>
                <w:sz w:val="20"/>
              </w:rPr>
              <w:t xml:space="preserve">43 456,3</w:t>
            </w:r>
          </w:p>
        </w:tc>
        <w:tc>
          <w:tcPr>
            <w:tcW w:w="1303" w:type="dxa"/>
          </w:tcPr>
          <w:p>
            <w:pPr>
              <w:pStyle w:val="0"/>
              <w:jc w:val="center"/>
            </w:pPr>
            <w:r>
              <w:rPr>
                <w:sz w:val="20"/>
              </w:rPr>
              <w:t xml:space="preserve">0,0</w:t>
            </w:r>
          </w:p>
        </w:tc>
      </w:tr>
      <w:tr>
        <w:tc>
          <w:tcPr>
            <w:tcW w:w="566" w:type="dxa"/>
          </w:tcPr>
          <w:p>
            <w:pPr>
              <w:pStyle w:val="0"/>
              <w:jc w:val="center"/>
            </w:pPr>
            <w:r>
              <w:rPr>
                <w:sz w:val="20"/>
              </w:rPr>
              <w:t xml:space="preserve">5</w:t>
            </w:r>
          </w:p>
        </w:tc>
        <w:tc>
          <w:tcPr>
            <w:tcW w:w="2324" w:type="dxa"/>
          </w:tcPr>
          <w:p>
            <w:pPr>
              <w:pStyle w:val="0"/>
            </w:pPr>
            <w:r>
              <w:rPr>
                <w:sz w:val="20"/>
              </w:rPr>
              <w:t xml:space="preserve">Площадка "Пригородная" Новосибирского района</w:t>
            </w:r>
          </w:p>
          <w:p>
            <w:pPr>
              <w:pStyle w:val="0"/>
            </w:pPr>
            <w:r>
              <w:rPr>
                <w:sz w:val="20"/>
              </w:rPr>
              <w:t xml:space="preserve">(с. Верх-Тула,</w:t>
            </w:r>
          </w:p>
          <w:p>
            <w:pPr>
              <w:pStyle w:val="0"/>
            </w:pPr>
            <w:r>
              <w:rPr>
                <w:sz w:val="20"/>
              </w:rPr>
              <w:t xml:space="preserve">с. Толмачево,</w:t>
            </w:r>
          </w:p>
          <w:p>
            <w:pPr>
              <w:pStyle w:val="0"/>
            </w:pPr>
            <w:r>
              <w:rPr>
                <w:sz w:val="20"/>
              </w:rPr>
              <w:t xml:space="preserve">п. Тулинский,</w:t>
            </w:r>
          </w:p>
          <w:p>
            <w:pPr>
              <w:pStyle w:val="0"/>
            </w:pPr>
            <w:r>
              <w:rPr>
                <w:sz w:val="20"/>
              </w:rPr>
              <w:t xml:space="preserve">п. Элитный)</w:t>
            </w:r>
          </w:p>
        </w:tc>
        <w:tc>
          <w:tcPr>
            <w:tcW w:w="794" w:type="dxa"/>
          </w:tcPr>
          <w:p>
            <w:pPr>
              <w:pStyle w:val="0"/>
              <w:jc w:val="center"/>
            </w:pPr>
            <w:r>
              <w:rPr>
                <w:sz w:val="20"/>
              </w:rPr>
              <w:t xml:space="preserve">55,0</w:t>
            </w:r>
          </w:p>
        </w:tc>
        <w:tc>
          <w:tcPr>
            <w:tcW w:w="2437" w:type="dxa"/>
          </w:tcPr>
          <w:p>
            <w:pPr>
              <w:pStyle w:val="0"/>
            </w:pPr>
            <w:r>
              <w:rPr>
                <w:sz w:val="20"/>
              </w:rPr>
              <w:t xml:space="preserve">Школа в с. Верх-Тула</w:t>
            </w:r>
          </w:p>
        </w:tc>
        <w:tc>
          <w:tcPr>
            <w:tcW w:w="623" w:type="dxa"/>
          </w:tcPr>
          <w:p>
            <w:pPr>
              <w:pStyle w:val="0"/>
              <w:jc w:val="center"/>
            </w:pPr>
            <w:r>
              <w:rPr>
                <w:sz w:val="20"/>
              </w:rPr>
              <w:t xml:space="preserve">мест</w:t>
            </w:r>
          </w:p>
        </w:tc>
        <w:tc>
          <w:tcPr>
            <w:tcW w:w="793" w:type="dxa"/>
          </w:tcPr>
          <w:p>
            <w:pPr>
              <w:pStyle w:val="0"/>
              <w:jc w:val="center"/>
            </w:pPr>
            <w:r>
              <w:rPr>
                <w:sz w:val="20"/>
              </w:rPr>
              <w:t xml:space="preserve">1100</w:t>
            </w:r>
          </w:p>
        </w:tc>
        <w:tc>
          <w:tcPr>
            <w:tcW w:w="850" w:type="dxa"/>
          </w:tcPr>
          <w:p>
            <w:pPr>
              <w:pStyle w:val="0"/>
              <w:jc w:val="center"/>
            </w:pPr>
            <w:r>
              <w:rPr>
                <w:sz w:val="20"/>
              </w:rPr>
              <w:t xml:space="preserve">2020 - 2021</w:t>
            </w:r>
          </w:p>
        </w:tc>
        <w:tc>
          <w:tcPr>
            <w:tcW w:w="1303" w:type="dxa"/>
          </w:tcPr>
          <w:p>
            <w:pPr>
              <w:pStyle w:val="0"/>
              <w:jc w:val="center"/>
            </w:pPr>
            <w:r>
              <w:rPr>
                <w:sz w:val="20"/>
              </w:rPr>
              <w:t xml:space="preserve">437 500,0</w:t>
            </w:r>
          </w:p>
        </w:tc>
        <w:tc>
          <w:tcPr>
            <w:tcW w:w="1303" w:type="dxa"/>
          </w:tcPr>
          <w:p>
            <w:pPr>
              <w:pStyle w:val="0"/>
              <w:jc w:val="center"/>
            </w:pPr>
            <w:r>
              <w:rPr>
                <w:sz w:val="20"/>
              </w:rPr>
              <w:t xml:space="preserve">420 000,0</w:t>
            </w:r>
          </w:p>
        </w:tc>
        <w:tc>
          <w:tcPr>
            <w:tcW w:w="1303" w:type="dxa"/>
          </w:tcPr>
          <w:p>
            <w:pPr>
              <w:pStyle w:val="0"/>
              <w:jc w:val="center"/>
            </w:pPr>
            <w:r>
              <w:rPr>
                <w:sz w:val="20"/>
              </w:rPr>
              <w:t xml:space="preserve">17 500,0</w:t>
            </w:r>
          </w:p>
        </w:tc>
        <w:tc>
          <w:tcPr>
            <w:tcW w:w="1303" w:type="dxa"/>
          </w:tcPr>
          <w:p>
            <w:pPr>
              <w:pStyle w:val="0"/>
              <w:jc w:val="center"/>
            </w:pPr>
            <w:r>
              <w:rPr>
                <w:sz w:val="20"/>
              </w:rPr>
              <w:t xml:space="preserve">0,0</w:t>
            </w:r>
          </w:p>
        </w:tc>
      </w:tr>
      <w:tr>
        <w:tc>
          <w:tcPr>
            <w:tcW w:w="566" w:type="dxa"/>
          </w:tcPr>
          <w:p>
            <w:pPr>
              <w:pStyle w:val="0"/>
              <w:jc w:val="center"/>
            </w:pPr>
            <w:r>
              <w:rPr>
                <w:sz w:val="20"/>
              </w:rPr>
              <w:t xml:space="preserve">6</w:t>
            </w:r>
          </w:p>
        </w:tc>
        <w:tc>
          <w:tcPr>
            <w:tcW w:w="2324" w:type="dxa"/>
          </w:tcPr>
          <w:p>
            <w:pPr>
              <w:pStyle w:val="0"/>
            </w:pPr>
            <w:r>
              <w:rPr>
                <w:sz w:val="20"/>
              </w:rPr>
              <w:t xml:space="preserve">Жилой микрорайон "Чистая Слобода" по ул. Титова, жилой микрорайон "Ереснинский" г. Новосибирска</w:t>
            </w:r>
          </w:p>
        </w:tc>
        <w:tc>
          <w:tcPr>
            <w:tcW w:w="794" w:type="dxa"/>
          </w:tcPr>
          <w:p>
            <w:pPr>
              <w:pStyle w:val="0"/>
              <w:jc w:val="center"/>
            </w:pPr>
            <w:r>
              <w:rPr>
                <w:sz w:val="20"/>
              </w:rPr>
              <w:t xml:space="preserve">49,2</w:t>
            </w:r>
          </w:p>
        </w:tc>
        <w:tc>
          <w:tcPr>
            <w:tcW w:w="2437" w:type="dxa"/>
          </w:tcPr>
          <w:p>
            <w:pPr>
              <w:pStyle w:val="0"/>
            </w:pPr>
            <w:r>
              <w:rPr>
                <w:sz w:val="20"/>
              </w:rPr>
              <w:t xml:space="preserve">Строительство автомобильной дороги общего пользования по ул. Титова в Ленинском районе г. Новосибирска от ул. Бийская до ул. Дукача</w:t>
            </w:r>
          </w:p>
        </w:tc>
        <w:tc>
          <w:tcPr>
            <w:tcW w:w="623" w:type="dxa"/>
          </w:tcPr>
          <w:p>
            <w:pPr>
              <w:pStyle w:val="0"/>
              <w:jc w:val="center"/>
            </w:pPr>
            <w:r>
              <w:rPr>
                <w:sz w:val="20"/>
              </w:rPr>
              <w:t xml:space="preserve">км</w:t>
            </w:r>
          </w:p>
        </w:tc>
        <w:tc>
          <w:tcPr>
            <w:tcW w:w="793" w:type="dxa"/>
          </w:tcPr>
          <w:p>
            <w:pPr>
              <w:pStyle w:val="0"/>
              <w:jc w:val="center"/>
            </w:pPr>
            <w:r>
              <w:rPr>
                <w:sz w:val="20"/>
              </w:rPr>
              <w:t xml:space="preserve">2,22</w:t>
            </w:r>
          </w:p>
        </w:tc>
        <w:tc>
          <w:tcPr>
            <w:tcW w:w="850" w:type="dxa"/>
          </w:tcPr>
          <w:p>
            <w:pPr>
              <w:pStyle w:val="0"/>
              <w:jc w:val="center"/>
            </w:pPr>
            <w:r>
              <w:rPr>
                <w:sz w:val="20"/>
              </w:rPr>
              <w:t xml:space="preserve">2019 - 2021</w:t>
            </w:r>
          </w:p>
        </w:tc>
        <w:tc>
          <w:tcPr>
            <w:tcW w:w="1303" w:type="dxa"/>
          </w:tcPr>
          <w:p>
            <w:pPr>
              <w:pStyle w:val="0"/>
              <w:jc w:val="center"/>
            </w:pPr>
            <w:r>
              <w:rPr>
                <w:sz w:val="20"/>
              </w:rPr>
              <w:t xml:space="preserve">133 331,6</w:t>
            </w:r>
          </w:p>
        </w:tc>
        <w:tc>
          <w:tcPr>
            <w:tcW w:w="1303" w:type="dxa"/>
          </w:tcPr>
          <w:p>
            <w:pPr>
              <w:pStyle w:val="0"/>
              <w:jc w:val="center"/>
            </w:pPr>
            <w:r>
              <w:rPr>
                <w:sz w:val="20"/>
              </w:rPr>
              <w:t xml:space="preserve">119 831,6</w:t>
            </w:r>
          </w:p>
        </w:tc>
        <w:tc>
          <w:tcPr>
            <w:tcW w:w="1303" w:type="dxa"/>
          </w:tcPr>
          <w:p>
            <w:pPr>
              <w:pStyle w:val="0"/>
              <w:jc w:val="center"/>
            </w:pPr>
            <w:r>
              <w:rPr>
                <w:sz w:val="20"/>
              </w:rPr>
              <w:t xml:space="preserve">0,0</w:t>
            </w:r>
          </w:p>
        </w:tc>
        <w:tc>
          <w:tcPr>
            <w:tcW w:w="1303" w:type="dxa"/>
          </w:tcPr>
          <w:p>
            <w:pPr>
              <w:pStyle w:val="0"/>
              <w:jc w:val="center"/>
            </w:pPr>
            <w:r>
              <w:rPr>
                <w:sz w:val="20"/>
              </w:rPr>
              <w:t xml:space="preserve">13 500,0</w:t>
            </w:r>
          </w:p>
        </w:tc>
      </w:tr>
      <w:tr>
        <w:tc>
          <w:tcPr>
            <w:tcW w:w="566" w:type="dxa"/>
          </w:tcPr>
          <w:p>
            <w:pPr>
              <w:pStyle w:val="0"/>
              <w:jc w:val="center"/>
            </w:pPr>
            <w:r>
              <w:rPr>
                <w:sz w:val="20"/>
              </w:rPr>
              <w:t xml:space="preserve">7</w:t>
            </w:r>
          </w:p>
        </w:tc>
        <w:tc>
          <w:tcPr>
            <w:tcW w:w="2324" w:type="dxa"/>
          </w:tcPr>
          <w:p>
            <w:pPr>
              <w:pStyle w:val="0"/>
            </w:pPr>
            <w:r>
              <w:rPr>
                <w:sz w:val="20"/>
              </w:rPr>
              <w:t xml:space="preserve">Жилой микрорайон Южно-Чемской (Просторный) по ул. Бронной, Виктора Шевелева, Александра Чистякова, Николая Сотникова, Дмитрия Шмонина</w:t>
            </w:r>
          </w:p>
        </w:tc>
        <w:tc>
          <w:tcPr>
            <w:tcW w:w="794" w:type="dxa"/>
          </w:tcPr>
          <w:p>
            <w:pPr>
              <w:pStyle w:val="0"/>
              <w:jc w:val="center"/>
            </w:pPr>
            <w:r>
              <w:rPr>
                <w:sz w:val="20"/>
              </w:rPr>
              <w:t xml:space="preserve">65,0</w:t>
            </w:r>
          </w:p>
        </w:tc>
        <w:tc>
          <w:tcPr>
            <w:tcW w:w="2437" w:type="dxa"/>
          </w:tcPr>
          <w:p>
            <w:pPr>
              <w:pStyle w:val="0"/>
            </w:pPr>
            <w:r>
              <w:rPr>
                <w:sz w:val="20"/>
              </w:rPr>
              <w:t xml:space="preserve">Строительство по ул. Петухова от железнодорожного переезда до земельного участка ООО "Дискус-Строй" в Кировском районе г. Новосибирска</w:t>
            </w:r>
          </w:p>
        </w:tc>
        <w:tc>
          <w:tcPr>
            <w:tcW w:w="623" w:type="dxa"/>
          </w:tcPr>
          <w:p>
            <w:pPr>
              <w:pStyle w:val="0"/>
              <w:jc w:val="center"/>
            </w:pPr>
            <w:r>
              <w:rPr>
                <w:sz w:val="20"/>
              </w:rPr>
              <w:t xml:space="preserve">км</w:t>
            </w:r>
          </w:p>
        </w:tc>
        <w:tc>
          <w:tcPr>
            <w:tcW w:w="793" w:type="dxa"/>
          </w:tcPr>
          <w:p>
            <w:pPr>
              <w:pStyle w:val="0"/>
              <w:jc w:val="center"/>
            </w:pPr>
            <w:r>
              <w:rPr>
                <w:sz w:val="20"/>
              </w:rPr>
              <w:t xml:space="preserve">1,71</w:t>
            </w:r>
          </w:p>
        </w:tc>
        <w:tc>
          <w:tcPr>
            <w:tcW w:w="850" w:type="dxa"/>
          </w:tcPr>
          <w:p>
            <w:pPr>
              <w:pStyle w:val="0"/>
              <w:jc w:val="center"/>
            </w:pPr>
            <w:r>
              <w:rPr>
                <w:sz w:val="20"/>
              </w:rPr>
              <w:t xml:space="preserve">2019 - 2021</w:t>
            </w:r>
          </w:p>
        </w:tc>
        <w:tc>
          <w:tcPr>
            <w:tcW w:w="1303" w:type="dxa"/>
          </w:tcPr>
          <w:p>
            <w:pPr>
              <w:pStyle w:val="0"/>
              <w:jc w:val="center"/>
            </w:pPr>
            <w:r>
              <w:rPr>
                <w:sz w:val="20"/>
              </w:rPr>
              <w:t xml:space="preserve">265 167,2</w:t>
            </w:r>
          </w:p>
        </w:tc>
        <w:tc>
          <w:tcPr>
            <w:tcW w:w="1303" w:type="dxa"/>
          </w:tcPr>
          <w:p>
            <w:pPr>
              <w:pStyle w:val="0"/>
              <w:jc w:val="center"/>
            </w:pPr>
            <w:r>
              <w:rPr>
                <w:sz w:val="20"/>
              </w:rPr>
              <w:t xml:space="preserve">176 767,2</w:t>
            </w:r>
          </w:p>
        </w:tc>
        <w:tc>
          <w:tcPr>
            <w:tcW w:w="1303" w:type="dxa"/>
          </w:tcPr>
          <w:p>
            <w:pPr>
              <w:pStyle w:val="0"/>
              <w:jc w:val="center"/>
            </w:pPr>
            <w:r>
              <w:rPr>
                <w:sz w:val="20"/>
              </w:rPr>
              <w:t xml:space="preserve">65 000,0</w:t>
            </w:r>
          </w:p>
        </w:tc>
        <w:tc>
          <w:tcPr>
            <w:tcW w:w="1303" w:type="dxa"/>
          </w:tcPr>
          <w:p>
            <w:pPr>
              <w:pStyle w:val="0"/>
              <w:jc w:val="center"/>
            </w:pPr>
            <w:r>
              <w:rPr>
                <w:sz w:val="20"/>
              </w:rPr>
              <w:t xml:space="preserve">23 400,0</w:t>
            </w:r>
          </w:p>
        </w:tc>
      </w:tr>
      <w:tr>
        <w:tc>
          <w:tcPr>
            <w:tcW w:w="566" w:type="dxa"/>
          </w:tcPr>
          <w:p>
            <w:pPr>
              <w:pStyle w:val="0"/>
            </w:pPr>
            <w:r>
              <w:rPr>
                <w:sz w:val="20"/>
              </w:rPr>
            </w:r>
          </w:p>
        </w:tc>
        <w:tc>
          <w:tcPr>
            <w:tcW w:w="2324" w:type="dxa"/>
          </w:tcPr>
          <w:p>
            <w:pPr>
              <w:pStyle w:val="0"/>
            </w:pPr>
            <w:r>
              <w:rPr>
                <w:sz w:val="20"/>
              </w:rPr>
              <w:t xml:space="preserve">Всего</w:t>
            </w:r>
          </w:p>
        </w:tc>
        <w:tc>
          <w:tcPr>
            <w:tcW w:w="794" w:type="dxa"/>
          </w:tcPr>
          <w:p>
            <w:pPr>
              <w:pStyle w:val="0"/>
              <w:jc w:val="center"/>
            </w:pPr>
            <w:r>
              <w:rPr>
                <w:sz w:val="20"/>
              </w:rPr>
              <w:t xml:space="preserve">339,9</w:t>
            </w:r>
          </w:p>
        </w:tc>
        <w:tc>
          <w:tcPr>
            <w:tcW w:w="2437" w:type="dxa"/>
          </w:tcPr>
          <w:p>
            <w:pPr>
              <w:pStyle w:val="0"/>
            </w:pPr>
            <w:r>
              <w:rPr>
                <w:sz w:val="20"/>
              </w:rPr>
            </w:r>
          </w:p>
        </w:tc>
        <w:tc>
          <w:tcPr>
            <w:tcW w:w="623" w:type="dxa"/>
          </w:tcPr>
          <w:p>
            <w:pPr>
              <w:pStyle w:val="0"/>
            </w:pPr>
            <w:r>
              <w:rPr>
                <w:sz w:val="20"/>
              </w:rPr>
            </w:r>
          </w:p>
        </w:tc>
        <w:tc>
          <w:tcPr>
            <w:tcW w:w="793" w:type="dxa"/>
          </w:tcPr>
          <w:p>
            <w:pPr>
              <w:pStyle w:val="0"/>
            </w:pPr>
            <w:r>
              <w:rPr>
                <w:sz w:val="20"/>
              </w:rPr>
            </w:r>
          </w:p>
        </w:tc>
        <w:tc>
          <w:tcPr>
            <w:tcW w:w="850" w:type="dxa"/>
          </w:tcPr>
          <w:p>
            <w:pPr>
              <w:pStyle w:val="0"/>
            </w:pPr>
            <w:r>
              <w:rPr>
                <w:sz w:val="20"/>
              </w:rPr>
            </w:r>
          </w:p>
        </w:tc>
        <w:tc>
          <w:tcPr>
            <w:tcW w:w="1303" w:type="dxa"/>
          </w:tcPr>
          <w:p>
            <w:pPr>
              <w:pStyle w:val="0"/>
              <w:jc w:val="center"/>
            </w:pPr>
            <w:r>
              <w:rPr>
                <w:sz w:val="20"/>
              </w:rPr>
              <w:t xml:space="preserve">2 073 710,3</w:t>
            </w:r>
          </w:p>
        </w:tc>
        <w:tc>
          <w:tcPr>
            <w:tcW w:w="1303" w:type="dxa"/>
          </w:tcPr>
          <w:p>
            <w:pPr>
              <w:pStyle w:val="0"/>
              <w:jc w:val="center"/>
            </w:pPr>
            <w:r>
              <w:rPr>
                <w:sz w:val="20"/>
              </w:rPr>
              <w:t xml:space="preserve">1 582 996,9</w:t>
            </w:r>
          </w:p>
        </w:tc>
        <w:tc>
          <w:tcPr>
            <w:tcW w:w="1303" w:type="dxa"/>
          </w:tcPr>
          <w:p>
            <w:pPr>
              <w:pStyle w:val="0"/>
              <w:jc w:val="center"/>
            </w:pPr>
            <w:r>
              <w:rPr>
                <w:sz w:val="20"/>
              </w:rPr>
              <w:t xml:space="preserve">423 813,4</w:t>
            </w:r>
          </w:p>
        </w:tc>
        <w:tc>
          <w:tcPr>
            <w:tcW w:w="1303" w:type="dxa"/>
          </w:tcPr>
          <w:p>
            <w:pPr>
              <w:pStyle w:val="0"/>
              <w:jc w:val="center"/>
            </w:pPr>
            <w:r>
              <w:rPr>
                <w:sz w:val="20"/>
              </w:rPr>
              <w:t xml:space="preserve">66 900,0</w:t>
            </w:r>
          </w:p>
        </w:tc>
      </w:tr>
      <w:tr>
        <w:tc>
          <w:tcPr>
            <w:gridSpan w:val="11"/>
            <w:tcW w:w="13599" w:type="dxa"/>
          </w:tcPr>
          <w:p>
            <w:pPr>
              <w:pStyle w:val="0"/>
              <w:outlineLvl w:val="2"/>
              <w:jc w:val="center"/>
            </w:pPr>
            <w:r>
              <w:rPr>
                <w:sz w:val="20"/>
              </w:rPr>
              <w:t xml:space="preserve">2021 год</w:t>
            </w:r>
          </w:p>
        </w:tc>
      </w:tr>
      <w:tr>
        <w:tc>
          <w:tcPr>
            <w:tcW w:w="566" w:type="dxa"/>
          </w:tcPr>
          <w:p>
            <w:pPr>
              <w:pStyle w:val="0"/>
              <w:jc w:val="center"/>
            </w:pPr>
            <w:r>
              <w:rPr>
                <w:sz w:val="20"/>
              </w:rPr>
              <w:t xml:space="preserve">1</w:t>
            </w:r>
          </w:p>
        </w:tc>
        <w:tc>
          <w:tcPr>
            <w:tcW w:w="2324" w:type="dxa"/>
          </w:tcPr>
          <w:p>
            <w:pPr>
              <w:pStyle w:val="0"/>
            </w:pPr>
            <w:r>
              <w:rPr>
                <w:sz w:val="20"/>
              </w:rPr>
              <w:t xml:space="preserve">Жилой микрорайон Береговой</w:t>
            </w:r>
          </w:p>
        </w:tc>
        <w:tc>
          <w:tcPr>
            <w:tcW w:w="794" w:type="dxa"/>
          </w:tcPr>
          <w:p>
            <w:pPr>
              <w:pStyle w:val="0"/>
              <w:jc w:val="center"/>
            </w:pPr>
            <w:r>
              <w:rPr>
                <w:sz w:val="20"/>
              </w:rPr>
              <w:t xml:space="preserve">75,86</w:t>
            </w:r>
          </w:p>
        </w:tc>
        <w:tc>
          <w:tcPr>
            <w:tcW w:w="2437" w:type="dxa"/>
          </w:tcPr>
          <w:p>
            <w:pPr>
              <w:pStyle w:val="0"/>
            </w:pPr>
            <w:r>
              <w:rPr>
                <w:sz w:val="20"/>
              </w:rPr>
              <w:t xml:space="preserve">Школа по ул. Большевистской в Октябрьском районе г. Новосибирска</w:t>
            </w:r>
          </w:p>
        </w:tc>
        <w:tc>
          <w:tcPr>
            <w:tcW w:w="623" w:type="dxa"/>
          </w:tcPr>
          <w:p>
            <w:pPr>
              <w:pStyle w:val="0"/>
              <w:jc w:val="center"/>
            </w:pPr>
            <w:r>
              <w:rPr>
                <w:sz w:val="20"/>
              </w:rPr>
              <w:t xml:space="preserve">мест</w:t>
            </w:r>
          </w:p>
        </w:tc>
        <w:tc>
          <w:tcPr>
            <w:tcW w:w="793" w:type="dxa"/>
          </w:tcPr>
          <w:p>
            <w:pPr>
              <w:pStyle w:val="0"/>
              <w:jc w:val="center"/>
            </w:pPr>
            <w:r>
              <w:rPr>
                <w:sz w:val="20"/>
              </w:rPr>
              <w:t xml:space="preserve">825</w:t>
            </w:r>
          </w:p>
        </w:tc>
        <w:tc>
          <w:tcPr>
            <w:tcW w:w="850" w:type="dxa"/>
          </w:tcPr>
          <w:p>
            <w:pPr>
              <w:pStyle w:val="0"/>
              <w:jc w:val="center"/>
            </w:pPr>
            <w:r>
              <w:rPr>
                <w:sz w:val="20"/>
              </w:rPr>
              <w:t xml:space="preserve">2020 - 2022</w:t>
            </w:r>
          </w:p>
        </w:tc>
        <w:tc>
          <w:tcPr>
            <w:tcW w:w="1303" w:type="dxa"/>
          </w:tcPr>
          <w:p>
            <w:pPr>
              <w:pStyle w:val="0"/>
              <w:jc w:val="center"/>
            </w:pPr>
            <w:r>
              <w:rPr>
                <w:sz w:val="20"/>
              </w:rPr>
              <w:t xml:space="preserve">628 398,6</w:t>
            </w:r>
          </w:p>
        </w:tc>
        <w:tc>
          <w:tcPr>
            <w:tcW w:w="1303" w:type="dxa"/>
          </w:tcPr>
          <w:p>
            <w:pPr>
              <w:pStyle w:val="0"/>
              <w:jc w:val="center"/>
            </w:pPr>
            <w:r>
              <w:rPr>
                <w:sz w:val="20"/>
              </w:rPr>
              <w:t xml:space="preserve">0,0</w:t>
            </w:r>
          </w:p>
        </w:tc>
        <w:tc>
          <w:tcPr>
            <w:tcW w:w="1303" w:type="dxa"/>
          </w:tcPr>
          <w:p>
            <w:pPr>
              <w:pStyle w:val="0"/>
              <w:jc w:val="center"/>
            </w:pPr>
            <w:r>
              <w:rPr>
                <w:sz w:val="20"/>
              </w:rPr>
              <w:t xml:space="preserve">628 398,6</w:t>
            </w:r>
          </w:p>
        </w:tc>
        <w:tc>
          <w:tcPr>
            <w:tcW w:w="1303" w:type="dxa"/>
          </w:tcPr>
          <w:p>
            <w:pPr>
              <w:pStyle w:val="0"/>
              <w:jc w:val="center"/>
            </w:pPr>
            <w:r>
              <w:rPr>
                <w:sz w:val="20"/>
              </w:rPr>
              <w:t xml:space="preserve">0,0</w:t>
            </w:r>
          </w:p>
        </w:tc>
      </w:tr>
      <w:tr>
        <w:tc>
          <w:tcPr>
            <w:tcW w:w="566" w:type="dxa"/>
          </w:tcPr>
          <w:p>
            <w:pPr>
              <w:pStyle w:val="0"/>
              <w:jc w:val="center"/>
            </w:pPr>
            <w:r>
              <w:rPr>
                <w:sz w:val="20"/>
              </w:rPr>
              <w:t xml:space="preserve">2</w:t>
            </w:r>
          </w:p>
        </w:tc>
        <w:tc>
          <w:tcPr>
            <w:tcW w:w="2324" w:type="dxa"/>
          </w:tcPr>
          <w:p>
            <w:pPr>
              <w:pStyle w:val="0"/>
            </w:pPr>
            <w:r>
              <w:rPr>
                <w:sz w:val="20"/>
              </w:rPr>
              <w:t xml:space="preserve">Жилой микрорайон Родники г. Новосибирска, п. Клюквенный и Станционный сельсовет Новосибирского района</w:t>
            </w:r>
          </w:p>
        </w:tc>
        <w:tc>
          <w:tcPr>
            <w:tcW w:w="794" w:type="dxa"/>
          </w:tcPr>
          <w:p>
            <w:pPr>
              <w:pStyle w:val="0"/>
              <w:jc w:val="center"/>
            </w:pPr>
            <w:r>
              <w:rPr>
                <w:sz w:val="20"/>
              </w:rPr>
              <w:t xml:space="preserve">35,87</w:t>
            </w:r>
          </w:p>
        </w:tc>
        <w:tc>
          <w:tcPr>
            <w:tcW w:w="2437" w:type="dxa"/>
          </w:tcPr>
          <w:p>
            <w:pPr>
              <w:pStyle w:val="0"/>
            </w:pPr>
            <w:r>
              <w:rPr>
                <w:sz w:val="20"/>
              </w:rPr>
              <w:t xml:space="preserve">Здание школы по ул. Михаила Немыткина в г. Новосибирске</w:t>
            </w:r>
          </w:p>
        </w:tc>
        <w:tc>
          <w:tcPr>
            <w:tcW w:w="623" w:type="dxa"/>
          </w:tcPr>
          <w:p>
            <w:pPr>
              <w:pStyle w:val="0"/>
              <w:jc w:val="center"/>
            </w:pPr>
            <w:r>
              <w:rPr>
                <w:sz w:val="20"/>
              </w:rPr>
              <w:t xml:space="preserve">мест</w:t>
            </w:r>
          </w:p>
        </w:tc>
        <w:tc>
          <w:tcPr>
            <w:tcW w:w="793" w:type="dxa"/>
          </w:tcPr>
          <w:p>
            <w:pPr>
              <w:pStyle w:val="0"/>
              <w:jc w:val="center"/>
            </w:pPr>
            <w:r>
              <w:rPr>
                <w:sz w:val="20"/>
              </w:rPr>
              <w:t xml:space="preserve">1100</w:t>
            </w:r>
          </w:p>
        </w:tc>
        <w:tc>
          <w:tcPr>
            <w:tcW w:w="850" w:type="dxa"/>
          </w:tcPr>
          <w:p>
            <w:pPr>
              <w:pStyle w:val="0"/>
              <w:jc w:val="center"/>
            </w:pPr>
            <w:r>
              <w:rPr>
                <w:sz w:val="20"/>
              </w:rPr>
              <w:t xml:space="preserve">2020 - 2021</w:t>
            </w:r>
          </w:p>
        </w:tc>
        <w:tc>
          <w:tcPr>
            <w:tcW w:w="1303" w:type="dxa"/>
          </w:tcPr>
          <w:p>
            <w:pPr>
              <w:pStyle w:val="0"/>
              <w:jc w:val="center"/>
            </w:pPr>
            <w:r>
              <w:rPr>
                <w:sz w:val="20"/>
              </w:rPr>
              <w:t xml:space="preserve">178 690,87</w:t>
            </w:r>
          </w:p>
        </w:tc>
        <w:tc>
          <w:tcPr>
            <w:tcW w:w="1303" w:type="dxa"/>
          </w:tcPr>
          <w:p>
            <w:pPr>
              <w:pStyle w:val="0"/>
              <w:jc w:val="center"/>
            </w:pPr>
            <w:r>
              <w:rPr>
                <w:sz w:val="20"/>
              </w:rPr>
              <w:t xml:space="preserve">112 217,83</w:t>
            </w:r>
          </w:p>
        </w:tc>
        <w:tc>
          <w:tcPr>
            <w:tcW w:w="1303" w:type="dxa"/>
          </w:tcPr>
          <w:p>
            <w:pPr>
              <w:pStyle w:val="0"/>
              <w:jc w:val="center"/>
            </w:pPr>
            <w:r>
              <w:rPr>
                <w:sz w:val="20"/>
              </w:rPr>
              <w:t xml:space="preserve">66 473,04</w:t>
            </w:r>
          </w:p>
        </w:tc>
        <w:tc>
          <w:tcPr>
            <w:tcW w:w="1303" w:type="dxa"/>
          </w:tcPr>
          <w:p>
            <w:pPr>
              <w:pStyle w:val="0"/>
              <w:jc w:val="center"/>
            </w:pPr>
            <w:r>
              <w:rPr>
                <w:sz w:val="20"/>
              </w:rPr>
              <w:t xml:space="preserve">0,0</w:t>
            </w:r>
          </w:p>
        </w:tc>
      </w:tr>
      <w:tr>
        <w:tc>
          <w:tcPr>
            <w:tcW w:w="566" w:type="dxa"/>
          </w:tcPr>
          <w:p>
            <w:pPr>
              <w:pStyle w:val="0"/>
              <w:jc w:val="center"/>
            </w:pPr>
            <w:r>
              <w:rPr>
                <w:sz w:val="20"/>
              </w:rPr>
              <w:t xml:space="preserve">3</w:t>
            </w:r>
          </w:p>
        </w:tc>
        <w:tc>
          <w:tcPr>
            <w:tcW w:w="2324" w:type="dxa"/>
          </w:tcPr>
          <w:p>
            <w:pPr>
              <w:pStyle w:val="0"/>
            </w:pPr>
            <w:r>
              <w:rPr>
                <w:sz w:val="20"/>
              </w:rPr>
              <w:t xml:space="preserve">Площадка "Пригородная" Новосибирского района</w:t>
            </w:r>
          </w:p>
          <w:p>
            <w:pPr>
              <w:pStyle w:val="0"/>
            </w:pPr>
            <w:r>
              <w:rPr>
                <w:sz w:val="20"/>
              </w:rPr>
              <w:t xml:space="preserve">(с. Верх-Тула,</w:t>
            </w:r>
          </w:p>
          <w:p>
            <w:pPr>
              <w:pStyle w:val="0"/>
            </w:pPr>
            <w:r>
              <w:rPr>
                <w:sz w:val="20"/>
              </w:rPr>
              <w:t xml:space="preserve">с. Толмачево,</w:t>
            </w:r>
          </w:p>
          <w:p>
            <w:pPr>
              <w:pStyle w:val="0"/>
            </w:pPr>
            <w:r>
              <w:rPr>
                <w:sz w:val="20"/>
              </w:rPr>
              <w:t xml:space="preserve">п. Тулинский,</w:t>
            </w:r>
          </w:p>
          <w:p>
            <w:pPr>
              <w:pStyle w:val="0"/>
            </w:pPr>
            <w:r>
              <w:rPr>
                <w:sz w:val="20"/>
              </w:rPr>
              <w:t xml:space="preserve">п. Элитный)</w:t>
            </w:r>
          </w:p>
        </w:tc>
        <w:tc>
          <w:tcPr>
            <w:tcW w:w="794" w:type="dxa"/>
          </w:tcPr>
          <w:p>
            <w:pPr>
              <w:pStyle w:val="0"/>
              <w:jc w:val="center"/>
            </w:pPr>
            <w:r>
              <w:rPr>
                <w:sz w:val="20"/>
              </w:rPr>
              <w:t xml:space="preserve">54,0</w:t>
            </w:r>
          </w:p>
        </w:tc>
        <w:tc>
          <w:tcPr>
            <w:tcW w:w="2437" w:type="dxa"/>
          </w:tcPr>
          <w:p>
            <w:pPr>
              <w:pStyle w:val="0"/>
            </w:pPr>
            <w:r>
              <w:rPr>
                <w:sz w:val="20"/>
              </w:rPr>
              <w:t xml:space="preserve">Школа в с. Верх-Тула</w:t>
            </w:r>
          </w:p>
        </w:tc>
        <w:tc>
          <w:tcPr>
            <w:tcW w:w="623" w:type="dxa"/>
          </w:tcPr>
          <w:p>
            <w:pPr>
              <w:pStyle w:val="0"/>
              <w:jc w:val="center"/>
            </w:pPr>
            <w:r>
              <w:rPr>
                <w:sz w:val="20"/>
              </w:rPr>
              <w:t xml:space="preserve">мест</w:t>
            </w:r>
          </w:p>
        </w:tc>
        <w:tc>
          <w:tcPr>
            <w:tcW w:w="793" w:type="dxa"/>
          </w:tcPr>
          <w:p>
            <w:pPr>
              <w:pStyle w:val="0"/>
              <w:jc w:val="center"/>
            </w:pPr>
            <w:r>
              <w:rPr>
                <w:sz w:val="20"/>
              </w:rPr>
              <w:t xml:space="preserve">1100</w:t>
            </w:r>
          </w:p>
        </w:tc>
        <w:tc>
          <w:tcPr>
            <w:tcW w:w="850" w:type="dxa"/>
          </w:tcPr>
          <w:p>
            <w:pPr>
              <w:pStyle w:val="0"/>
              <w:jc w:val="center"/>
            </w:pPr>
            <w:r>
              <w:rPr>
                <w:sz w:val="20"/>
              </w:rPr>
              <w:t xml:space="preserve">2020 - 2021</w:t>
            </w:r>
          </w:p>
        </w:tc>
        <w:tc>
          <w:tcPr>
            <w:tcW w:w="1303" w:type="dxa"/>
          </w:tcPr>
          <w:p>
            <w:pPr>
              <w:pStyle w:val="0"/>
              <w:jc w:val="center"/>
            </w:pPr>
            <w:r>
              <w:rPr>
                <w:sz w:val="20"/>
              </w:rPr>
              <w:t xml:space="preserve">798 073,83</w:t>
            </w:r>
          </w:p>
        </w:tc>
        <w:tc>
          <w:tcPr>
            <w:tcW w:w="1303" w:type="dxa"/>
          </w:tcPr>
          <w:p>
            <w:pPr>
              <w:pStyle w:val="0"/>
              <w:jc w:val="center"/>
            </w:pPr>
            <w:r>
              <w:rPr>
                <w:sz w:val="20"/>
              </w:rPr>
              <w:t xml:space="preserve">487 388,07</w:t>
            </w:r>
          </w:p>
        </w:tc>
        <w:tc>
          <w:tcPr>
            <w:tcW w:w="1303" w:type="dxa"/>
          </w:tcPr>
          <w:p>
            <w:pPr>
              <w:pStyle w:val="0"/>
              <w:jc w:val="center"/>
            </w:pPr>
            <w:r>
              <w:rPr>
                <w:sz w:val="20"/>
              </w:rPr>
              <w:t xml:space="preserve">310 685,76</w:t>
            </w:r>
          </w:p>
        </w:tc>
        <w:tc>
          <w:tcPr>
            <w:tcW w:w="1303" w:type="dxa"/>
          </w:tcPr>
          <w:p>
            <w:pPr>
              <w:pStyle w:val="0"/>
              <w:jc w:val="center"/>
            </w:pPr>
            <w:r>
              <w:rPr>
                <w:sz w:val="20"/>
              </w:rPr>
              <w:t xml:space="preserve">0,0</w:t>
            </w:r>
          </w:p>
        </w:tc>
      </w:tr>
      <w:tr>
        <w:tc>
          <w:tcPr>
            <w:tcW w:w="566" w:type="dxa"/>
          </w:tcPr>
          <w:p>
            <w:pPr>
              <w:pStyle w:val="0"/>
            </w:pPr>
            <w:r>
              <w:rPr>
                <w:sz w:val="20"/>
              </w:rPr>
            </w:r>
          </w:p>
        </w:tc>
        <w:tc>
          <w:tcPr>
            <w:tcW w:w="2324" w:type="dxa"/>
          </w:tcPr>
          <w:p>
            <w:pPr>
              <w:pStyle w:val="0"/>
            </w:pPr>
            <w:r>
              <w:rPr>
                <w:sz w:val="20"/>
              </w:rPr>
              <w:t xml:space="preserve">Всего</w:t>
            </w:r>
          </w:p>
        </w:tc>
        <w:tc>
          <w:tcPr>
            <w:tcW w:w="794" w:type="dxa"/>
          </w:tcPr>
          <w:p>
            <w:pPr>
              <w:pStyle w:val="0"/>
              <w:jc w:val="center"/>
            </w:pPr>
            <w:r>
              <w:rPr>
                <w:sz w:val="20"/>
              </w:rPr>
              <w:t xml:space="preserve">165,73</w:t>
            </w:r>
          </w:p>
        </w:tc>
        <w:tc>
          <w:tcPr>
            <w:tcW w:w="2437" w:type="dxa"/>
          </w:tcPr>
          <w:p>
            <w:pPr>
              <w:pStyle w:val="0"/>
            </w:pPr>
            <w:r>
              <w:rPr>
                <w:sz w:val="20"/>
              </w:rPr>
            </w:r>
          </w:p>
        </w:tc>
        <w:tc>
          <w:tcPr>
            <w:tcW w:w="623" w:type="dxa"/>
          </w:tcPr>
          <w:p>
            <w:pPr>
              <w:pStyle w:val="0"/>
            </w:pPr>
            <w:r>
              <w:rPr>
                <w:sz w:val="20"/>
              </w:rPr>
            </w:r>
          </w:p>
        </w:tc>
        <w:tc>
          <w:tcPr>
            <w:tcW w:w="793" w:type="dxa"/>
          </w:tcPr>
          <w:p>
            <w:pPr>
              <w:pStyle w:val="0"/>
            </w:pPr>
            <w:r>
              <w:rPr>
                <w:sz w:val="20"/>
              </w:rPr>
            </w:r>
          </w:p>
        </w:tc>
        <w:tc>
          <w:tcPr>
            <w:tcW w:w="850" w:type="dxa"/>
          </w:tcPr>
          <w:p>
            <w:pPr>
              <w:pStyle w:val="0"/>
            </w:pPr>
            <w:r>
              <w:rPr>
                <w:sz w:val="20"/>
              </w:rPr>
            </w:r>
          </w:p>
        </w:tc>
        <w:tc>
          <w:tcPr>
            <w:tcW w:w="1303" w:type="dxa"/>
          </w:tcPr>
          <w:p>
            <w:pPr>
              <w:pStyle w:val="0"/>
              <w:jc w:val="center"/>
            </w:pPr>
            <w:r>
              <w:rPr>
                <w:sz w:val="20"/>
              </w:rPr>
              <w:t xml:space="preserve">1 610 892,4</w:t>
            </w:r>
          </w:p>
        </w:tc>
        <w:tc>
          <w:tcPr>
            <w:tcW w:w="1303" w:type="dxa"/>
          </w:tcPr>
          <w:p>
            <w:pPr>
              <w:pStyle w:val="0"/>
              <w:jc w:val="center"/>
            </w:pPr>
            <w:r>
              <w:rPr>
                <w:sz w:val="20"/>
              </w:rPr>
              <w:t xml:space="preserve">603 203,8</w:t>
            </w:r>
          </w:p>
        </w:tc>
        <w:tc>
          <w:tcPr>
            <w:tcW w:w="1303" w:type="dxa"/>
          </w:tcPr>
          <w:p>
            <w:pPr>
              <w:pStyle w:val="0"/>
              <w:jc w:val="center"/>
            </w:pPr>
            <w:r>
              <w:rPr>
                <w:sz w:val="20"/>
              </w:rPr>
              <w:t xml:space="preserve">1 007 688,6</w:t>
            </w:r>
          </w:p>
        </w:tc>
        <w:tc>
          <w:tcPr>
            <w:tcW w:w="1303" w:type="dxa"/>
          </w:tcPr>
          <w:p>
            <w:pPr>
              <w:pStyle w:val="0"/>
              <w:jc w:val="center"/>
            </w:pPr>
            <w:r>
              <w:rPr>
                <w:sz w:val="20"/>
              </w:rPr>
              <w:t xml:space="preserve">0,0</w:t>
            </w:r>
          </w:p>
        </w:tc>
      </w:tr>
      <w:tr>
        <w:tc>
          <w:tcPr>
            <w:gridSpan w:val="11"/>
            <w:tcW w:w="13599" w:type="dxa"/>
          </w:tcPr>
          <w:p>
            <w:pPr>
              <w:pStyle w:val="0"/>
              <w:outlineLvl w:val="2"/>
              <w:jc w:val="center"/>
            </w:pPr>
            <w:r>
              <w:rPr>
                <w:sz w:val="20"/>
              </w:rPr>
              <w:t xml:space="preserve">2022 год</w:t>
            </w:r>
          </w:p>
        </w:tc>
      </w:tr>
      <w:tr>
        <w:tc>
          <w:tcPr>
            <w:tcW w:w="566" w:type="dxa"/>
          </w:tcPr>
          <w:p>
            <w:pPr>
              <w:pStyle w:val="0"/>
              <w:jc w:val="center"/>
            </w:pPr>
            <w:r>
              <w:rPr>
                <w:sz w:val="20"/>
              </w:rPr>
              <w:t xml:space="preserve">1</w:t>
            </w:r>
          </w:p>
        </w:tc>
        <w:tc>
          <w:tcPr>
            <w:tcW w:w="2324" w:type="dxa"/>
          </w:tcPr>
          <w:p>
            <w:pPr>
              <w:pStyle w:val="0"/>
            </w:pPr>
            <w:r>
              <w:rPr>
                <w:sz w:val="20"/>
              </w:rPr>
              <w:t xml:space="preserve">Жилой микрорайон "Чистая Слобода" по ул. Титова, жилой микрорайон Ереснинский г. Новосибирска</w:t>
            </w:r>
          </w:p>
        </w:tc>
        <w:tc>
          <w:tcPr>
            <w:tcW w:w="794" w:type="dxa"/>
          </w:tcPr>
          <w:p>
            <w:pPr>
              <w:pStyle w:val="0"/>
              <w:jc w:val="center"/>
            </w:pPr>
            <w:r>
              <w:rPr>
                <w:sz w:val="20"/>
              </w:rPr>
              <w:t xml:space="preserve">68,3</w:t>
            </w:r>
          </w:p>
        </w:tc>
        <w:tc>
          <w:tcPr>
            <w:tcW w:w="2437" w:type="dxa"/>
          </w:tcPr>
          <w:p>
            <w:pPr>
              <w:pStyle w:val="0"/>
            </w:pPr>
            <w:r>
              <w:rPr>
                <w:sz w:val="20"/>
              </w:rPr>
              <w:t xml:space="preserve">Строительство ливневого коллектора по ул. Порт-Артурской до очистных сооружений для обеспечения жилмассивов "Чистая Слобода" и "Ереснинский"</w:t>
            </w:r>
          </w:p>
        </w:tc>
        <w:tc>
          <w:tcPr>
            <w:tcW w:w="623" w:type="dxa"/>
          </w:tcPr>
          <w:p>
            <w:pPr>
              <w:pStyle w:val="0"/>
              <w:jc w:val="center"/>
            </w:pPr>
            <w:r>
              <w:rPr>
                <w:sz w:val="20"/>
              </w:rPr>
              <w:t xml:space="preserve">м</w:t>
            </w:r>
          </w:p>
        </w:tc>
        <w:tc>
          <w:tcPr>
            <w:tcW w:w="793" w:type="dxa"/>
          </w:tcPr>
          <w:p>
            <w:pPr>
              <w:pStyle w:val="0"/>
              <w:jc w:val="center"/>
            </w:pPr>
            <w:r>
              <w:rPr>
                <w:sz w:val="20"/>
              </w:rPr>
              <w:t xml:space="preserve">589,5</w:t>
            </w:r>
          </w:p>
        </w:tc>
        <w:tc>
          <w:tcPr>
            <w:tcW w:w="850" w:type="dxa"/>
          </w:tcPr>
          <w:p>
            <w:pPr>
              <w:pStyle w:val="0"/>
              <w:jc w:val="center"/>
            </w:pPr>
            <w:r>
              <w:rPr>
                <w:sz w:val="20"/>
              </w:rPr>
              <w:t xml:space="preserve">2022 - 2023</w:t>
            </w:r>
          </w:p>
        </w:tc>
        <w:tc>
          <w:tcPr>
            <w:tcW w:w="1303" w:type="dxa"/>
          </w:tcPr>
          <w:p>
            <w:pPr>
              <w:pStyle w:val="0"/>
              <w:jc w:val="center"/>
            </w:pPr>
            <w:r>
              <w:rPr>
                <w:sz w:val="20"/>
              </w:rPr>
              <w:t xml:space="preserve">100 670,9</w:t>
            </w:r>
          </w:p>
        </w:tc>
        <w:tc>
          <w:tcPr>
            <w:tcW w:w="1303" w:type="dxa"/>
          </w:tcPr>
          <w:p>
            <w:pPr>
              <w:pStyle w:val="0"/>
              <w:jc w:val="center"/>
            </w:pPr>
            <w:r>
              <w:rPr>
                <w:sz w:val="20"/>
              </w:rPr>
              <w:t xml:space="preserve">96 644,0</w:t>
            </w:r>
          </w:p>
        </w:tc>
        <w:tc>
          <w:tcPr>
            <w:tcW w:w="1303" w:type="dxa"/>
          </w:tcPr>
          <w:p>
            <w:pPr>
              <w:pStyle w:val="0"/>
              <w:jc w:val="center"/>
            </w:pPr>
            <w:r>
              <w:rPr>
                <w:sz w:val="20"/>
              </w:rPr>
              <w:t xml:space="preserve">0,0</w:t>
            </w:r>
          </w:p>
        </w:tc>
        <w:tc>
          <w:tcPr>
            <w:tcW w:w="1303" w:type="dxa"/>
          </w:tcPr>
          <w:p>
            <w:pPr>
              <w:pStyle w:val="0"/>
              <w:jc w:val="center"/>
            </w:pPr>
            <w:r>
              <w:rPr>
                <w:sz w:val="20"/>
              </w:rPr>
              <w:t xml:space="preserve">4 026,9</w:t>
            </w:r>
          </w:p>
        </w:tc>
      </w:tr>
      <w:tr>
        <w:tc>
          <w:tcPr>
            <w:tcW w:w="566" w:type="dxa"/>
          </w:tcPr>
          <w:p>
            <w:pPr>
              <w:pStyle w:val="0"/>
              <w:jc w:val="center"/>
            </w:pPr>
            <w:r>
              <w:rPr>
                <w:sz w:val="20"/>
              </w:rPr>
              <w:t xml:space="preserve">2</w:t>
            </w:r>
          </w:p>
        </w:tc>
        <w:tc>
          <w:tcPr>
            <w:tcW w:w="2324" w:type="dxa"/>
          </w:tcPr>
          <w:p>
            <w:pPr>
              <w:pStyle w:val="0"/>
            </w:pPr>
            <w:r>
              <w:rPr>
                <w:sz w:val="20"/>
              </w:rPr>
              <w:t xml:space="preserve">Жилой микрорайон Береговой</w:t>
            </w:r>
          </w:p>
        </w:tc>
        <w:tc>
          <w:tcPr>
            <w:tcW w:w="794" w:type="dxa"/>
          </w:tcPr>
          <w:p>
            <w:pPr>
              <w:pStyle w:val="0"/>
              <w:jc w:val="center"/>
            </w:pPr>
            <w:r>
              <w:rPr>
                <w:sz w:val="20"/>
              </w:rPr>
              <w:t xml:space="preserve">-</w:t>
            </w:r>
          </w:p>
        </w:tc>
        <w:tc>
          <w:tcPr>
            <w:tcW w:w="2437" w:type="dxa"/>
          </w:tcPr>
          <w:p>
            <w:pPr>
              <w:pStyle w:val="0"/>
            </w:pPr>
            <w:r>
              <w:rPr>
                <w:sz w:val="20"/>
              </w:rPr>
              <w:t xml:space="preserve">Школа по ул. Большевистской в Октябрьском районе г. Новосибирска</w:t>
            </w:r>
          </w:p>
        </w:tc>
        <w:tc>
          <w:tcPr>
            <w:tcW w:w="623" w:type="dxa"/>
          </w:tcPr>
          <w:p>
            <w:pPr>
              <w:pStyle w:val="0"/>
              <w:jc w:val="center"/>
            </w:pPr>
            <w:r>
              <w:rPr>
                <w:sz w:val="20"/>
              </w:rPr>
              <w:t xml:space="preserve">мест</w:t>
            </w:r>
          </w:p>
        </w:tc>
        <w:tc>
          <w:tcPr>
            <w:tcW w:w="793" w:type="dxa"/>
          </w:tcPr>
          <w:p>
            <w:pPr>
              <w:pStyle w:val="0"/>
              <w:jc w:val="center"/>
            </w:pPr>
            <w:r>
              <w:rPr>
                <w:sz w:val="20"/>
              </w:rPr>
              <w:t xml:space="preserve">825</w:t>
            </w:r>
          </w:p>
        </w:tc>
        <w:tc>
          <w:tcPr>
            <w:tcW w:w="850" w:type="dxa"/>
          </w:tcPr>
          <w:p>
            <w:pPr>
              <w:pStyle w:val="0"/>
              <w:jc w:val="center"/>
            </w:pPr>
            <w:r>
              <w:rPr>
                <w:sz w:val="20"/>
              </w:rPr>
              <w:t xml:space="preserve">2020 - 2022</w:t>
            </w:r>
          </w:p>
        </w:tc>
        <w:tc>
          <w:tcPr>
            <w:tcW w:w="1303" w:type="dxa"/>
          </w:tcPr>
          <w:p>
            <w:pPr>
              <w:pStyle w:val="0"/>
              <w:jc w:val="center"/>
            </w:pPr>
            <w:r>
              <w:rPr>
                <w:sz w:val="20"/>
              </w:rPr>
              <w:t xml:space="preserve">1 406 839,6</w:t>
            </w:r>
          </w:p>
        </w:tc>
        <w:tc>
          <w:tcPr>
            <w:tcW w:w="1303" w:type="dxa"/>
          </w:tcPr>
          <w:p>
            <w:pPr>
              <w:pStyle w:val="0"/>
              <w:jc w:val="center"/>
            </w:pPr>
            <w:r>
              <w:rPr>
                <w:sz w:val="20"/>
              </w:rPr>
              <w:t xml:space="preserve">0,0</w:t>
            </w:r>
          </w:p>
        </w:tc>
        <w:tc>
          <w:tcPr>
            <w:tcW w:w="1303" w:type="dxa"/>
          </w:tcPr>
          <w:p>
            <w:pPr>
              <w:pStyle w:val="0"/>
              <w:jc w:val="center"/>
            </w:pPr>
            <w:r>
              <w:rPr>
                <w:sz w:val="20"/>
              </w:rPr>
              <w:t xml:space="preserve">1 406 839,6</w:t>
            </w:r>
          </w:p>
        </w:tc>
        <w:tc>
          <w:tcPr>
            <w:tcW w:w="1303" w:type="dxa"/>
          </w:tcPr>
          <w:p>
            <w:pPr>
              <w:pStyle w:val="0"/>
              <w:jc w:val="center"/>
            </w:pPr>
            <w:r>
              <w:rPr>
                <w:sz w:val="20"/>
              </w:rPr>
              <w:t xml:space="preserve">0,0</w:t>
            </w:r>
          </w:p>
        </w:tc>
      </w:tr>
      <w:tr>
        <w:tc>
          <w:tcPr>
            <w:tcW w:w="566" w:type="dxa"/>
          </w:tcPr>
          <w:p>
            <w:pPr>
              <w:pStyle w:val="0"/>
            </w:pPr>
            <w:r>
              <w:rPr>
                <w:sz w:val="20"/>
              </w:rPr>
            </w:r>
          </w:p>
        </w:tc>
        <w:tc>
          <w:tcPr>
            <w:tcW w:w="2324" w:type="dxa"/>
          </w:tcPr>
          <w:p>
            <w:pPr>
              <w:pStyle w:val="0"/>
            </w:pPr>
            <w:r>
              <w:rPr>
                <w:sz w:val="20"/>
              </w:rPr>
              <w:t xml:space="preserve">Всего</w:t>
            </w:r>
          </w:p>
        </w:tc>
        <w:tc>
          <w:tcPr>
            <w:tcW w:w="794" w:type="dxa"/>
          </w:tcPr>
          <w:p>
            <w:pPr>
              <w:pStyle w:val="0"/>
              <w:jc w:val="center"/>
            </w:pPr>
            <w:r>
              <w:rPr>
                <w:sz w:val="20"/>
              </w:rPr>
              <w:t xml:space="preserve">68,3</w:t>
            </w:r>
          </w:p>
        </w:tc>
        <w:tc>
          <w:tcPr>
            <w:tcW w:w="2437" w:type="dxa"/>
          </w:tcPr>
          <w:p>
            <w:pPr>
              <w:pStyle w:val="0"/>
            </w:pPr>
            <w:r>
              <w:rPr>
                <w:sz w:val="20"/>
              </w:rPr>
            </w:r>
          </w:p>
        </w:tc>
        <w:tc>
          <w:tcPr>
            <w:tcW w:w="623" w:type="dxa"/>
          </w:tcPr>
          <w:p>
            <w:pPr>
              <w:pStyle w:val="0"/>
            </w:pPr>
            <w:r>
              <w:rPr>
                <w:sz w:val="20"/>
              </w:rPr>
            </w:r>
          </w:p>
        </w:tc>
        <w:tc>
          <w:tcPr>
            <w:tcW w:w="793" w:type="dxa"/>
          </w:tcPr>
          <w:p>
            <w:pPr>
              <w:pStyle w:val="0"/>
            </w:pPr>
            <w:r>
              <w:rPr>
                <w:sz w:val="20"/>
              </w:rPr>
            </w:r>
          </w:p>
        </w:tc>
        <w:tc>
          <w:tcPr>
            <w:tcW w:w="850" w:type="dxa"/>
          </w:tcPr>
          <w:p>
            <w:pPr>
              <w:pStyle w:val="0"/>
            </w:pPr>
            <w:r>
              <w:rPr>
                <w:sz w:val="20"/>
              </w:rPr>
            </w:r>
          </w:p>
        </w:tc>
        <w:tc>
          <w:tcPr>
            <w:tcW w:w="1303" w:type="dxa"/>
          </w:tcPr>
          <w:p>
            <w:pPr>
              <w:pStyle w:val="0"/>
              <w:jc w:val="center"/>
            </w:pPr>
            <w:r>
              <w:rPr>
                <w:sz w:val="20"/>
              </w:rPr>
              <w:t xml:space="preserve">1 507 510,5</w:t>
            </w:r>
          </w:p>
        </w:tc>
        <w:tc>
          <w:tcPr>
            <w:tcW w:w="1303" w:type="dxa"/>
          </w:tcPr>
          <w:p>
            <w:pPr>
              <w:pStyle w:val="0"/>
              <w:jc w:val="center"/>
            </w:pPr>
            <w:r>
              <w:rPr>
                <w:sz w:val="20"/>
              </w:rPr>
              <w:t xml:space="preserve">96 644,0</w:t>
            </w:r>
          </w:p>
        </w:tc>
        <w:tc>
          <w:tcPr>
            <w:tcW w:w="1303" w:type="dxa"/>
          </w:tcPr>
          <w:p>
            <w:pPr>
              <w:pStyle w:val="0"/>
              <w:jc w:val="center"/>
            </w:pPr>
            <w:r>
              <w:rPr>
                <w:sz w:val="20"/>
              </w:rPr>
              <w:t xml:space="preserve">1 406 839,6</w:t>
            </w:r>
          </w:p>
        </w:tc>
        <w:tc>
          <w:tcPr>
            <w:tcW w:w="1303" w:type="dxa"/>
          </w:tcPr>
          <w:p>
            <w:pPr>
              <w:pStyle w:val="0"/>
              <w:jc w:val="center"/>
            </w:pPr>
            <w:r>
              <w:rPr>
                <w:sz w:val="20"/>
              </w:rPr>
              <w:t xml:space="preserve">4 026,9</w:t>
            </w:r>
          </w:p>
        </w:tc>
      </w:tr>
      <w:tr>
        <w:tblPrEx>
          <w:tblBorders>
            <w:insideH w:val="nil"/>
          </w:tblBorders>
        </w:tblPrEx>
        <w:tc>
          <w:tcPr>
            <w:gridSpan w:val="11"/>
            <w:tcW w:w="13599" w:type="dxa"/>
            <w:tcBorders>
              <w:bottom w:val="nil"/>
            </w:tcBorders>
          </w:tcPr>
          <w:p>
            <w:pPr>
              <w:pStyle w:val="0"/>
              <w:outlineLvl w:val="2"/>
              <w:jc w:val="center"/>
            </w:pPr>
            <w:r>
              <w:rPr>
                <w:sz w:val="20"/>
              </w:rPr>
              <w:t xml:space="preserve">2023 год</w:t>
            </w:r>
          </w:p>
        </w:tc>
      </w:tr>
      <w:tr>
        <w:tblPrEx>
          <w:tblBorders>
            <w:insideH w:val="nil"/>
          </w:tblBorders>
        </w:tblPrEx>
        <w:tc>
          <w:tcPr>
            <w:gridSpan w:val="11"/>
            <w:tcW w:w="13599" w:type="dxa"/>
            <w:tcBorders>
              <w:top w:val="nil"/>
            </w:tcBorders>
          </w:tcPr>
          <w:p>
            <w:pPr>
              <w:pStyle w:val="0"/>
              <w:jc w:val="center"/>
            </w:pPr>
            <w:r>
              <w:rPr>
                <w:sz w:val="20"/>
              </w:rPr>
              <w:t xml:space="preserve">(введен </w:t>
            </w:r>
            <w:hyperlink w:history="0" r:id="rId831"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w:t>
            </w:r>
          </w:p>
          <w:p>
            <w:pPr>
              <w:pStyle w:val="0"/>
              <w:jc w:val="center"/>
            </w:pPr>
            <w:r>
              <w:rPr>
                <w:sz w:val="20"/>
              </w:rPr>
              <w:t xml:space="preserve">от 21.03.2023 N 100-п)</w:t>
            </w:r>
          </w:p>
        </w:tc>
      </w:tr>
      <w:tr>
        <w:tc>
          <w:tcPr>
            <w:tcW w:w="566" w:type="dxa"/>
          </w:tcPr>
          <w:p>
            <w:pPr>
              <w:pStyle w:val="0"/>
              <w:jc w:val="center"/>
            </w:pPr>
            <w:r>
              <w:rPr>
                <w:sz w:val="20"/>
              </w:rPr>
              <w:t xml:space="preserve">1</w:t>
            </w:r>
          </w:p>
        </w:tc>
        <w:tc>
          <w:tcPr>
            <w:tcW w:w="2324" w:type="dxa"/>
          </w:tcPr>
          <w:p>
            <w:pPr>
              <w:pStyle w:val="0"/>
            </w:pPr>
            <w:r>
              <w:rPr>
                <w:sz w:val="20"/>
              </w:rPr>
              <w:t xml:space="preserve">Жилой микрорайон "Чистая Слобода" по ул. Титова, жилой микрорайон Ереснинский г. Новосибирска</w:t>
            </w:r>
          </w:p>
        </w:tc>
        <w:tc>
          <w:tcPr>
            <w:tcW w:w="794" w:type="dxa"/>
          </w:tcPr>
          <w:p>
            <w:pPr>
              <w:pStyle w:val="0"/>
              <w:jc w:val="center"/>
            </w:pPr>
            <w:r>
              <w:rPr>
                <w:sz w:val="20"/>
              </w:rPr>
              <w:t xml:space="preserve">15,60</w:t>
            </w:r>
          </w:p>
        </w:tc>
        <w:tc>
          <w:tcPr>
            <w:tcW w:w="2437" w:type="dxa"/>
          </w:tcPr>
          <w:p>
            <w:pPr>
              <w:pStyle w:val="0"/>
            </w:pPr>
            <w:r>
              <w:rPr>
                <w:sz w:val="20"/>
              </w:rPr>
              <w:t xml:space="preserve">Строительство ливневого коллектора по ул. Порт-Артурской до очистных сооружений для обеспечения жилмассивов "Чистая Слобода" и "Ереснинский"</w:t>
            </w:r>
          </w:p>
        </w:tc>
        <w:tc>
          <w:tcPr>
            <w:tcW w:w="623" w:type="dxa"/>
          </w:tcPr>
          <w:p>
            <w:pPr>
              <w:pStyle w:val="0"/>
              <w:jc w:val="center"/>
            </w:pPr>
            <w:r>
              <w:rPr>
                <w:sz w:val="20"/>
              </w:rPr>
              <w:t xml:space="preserve">м</w:t>
            </w:r>
          </w:p>
        </w:tc>
        <w:tc>
          <w:tcPr>
            <w:tcW w:w="793" w:type="dxa"/>
          </w:tcPr>
          <w:p>
            <w:pPr>
              <w:pStyle w:val="0"/>
              <w:jc w:val="center"/>
            </w:pPr>
            <w:r>
              <w:rPr>
                <w:sz w:val="20"/>
              </w:rPr>
              <w:t xml:space="preserve">589,5</w:t>
            </w:r>
          </w:p>
        </w:tc>
        <w:tc>
          <w:tcPr>
            <w:tcW w:w="850" w:type="dxa"/>
          </w:tcPr>
          <w:p>
            <w:pPr>
              <w:pStyle w:val="0"/>
              <w:jc w:val="center"/>
            </w:pPr>
            <w:r>
              <w:rPr>
                <w:sz w:val="20"/>
              </w:rPr>
              <w:t xml:space="preserve">2022 - 2023</w:t>
            </w:r>
          </w:p>
        </w:tc>
        <w:tc>
          <w:tcPr>
            <w:tcW w:w="1303" w:type="dxa"/>
          </w:tcPr>
          <w:p>
            <w:pPr>
              <w:pStyle w:val="0"/>
              <w:jc w:val="center"/>
            </w:pPr>
            <w:r>
              <w:rPr>
                <w:sz w:val="20"/>
              </w:rPr>
              <w:t xml:space="preserve">47 285,4</w:t>
            </w:r>
          </w:p>
        </w:tc>
        <w:tc>
          <w:tcPr>
            <w:tcW w:w="1303" w:type="dxa"/>
          </w:tcPr>
          <w:p>
            <w:pPr>
              <w:pStyle w:val="0"/>
              <w:jc w:val="center"/>
            </w:pPr>
            <w:r>
              <w:rPr>
                <w:sz w:val="20"/>
              </w:rPr>
              <w:t xml:space="preserve">45 394,0</w:t>
            </w:r>
          </w:p>
        </w:tc>
        <w:tc>
          <w:tcPr>
            <w:tcW w:w="1303" w:type="dxa"/>
          </w:tcPr>
          <w:p>
            <w:pPr>
              <w:pStyle w:val="0"/>
              <w:jc w:val="center"/>
            </w:pPr>
            <w:r>
              <w:rPr>
                <w:sz w:val="20"/>
              </w:rPr>
              <w:t xml:space="preserve">0</w:t>
            </w:r>
          </w:p>
        </w:tc>
        <w:tc>
          <w:tcPr>
            <w:tcW w:w="1303" w:type="dxa"/>
          </w:tcPr>
          <w:p>
            <w:pPr>
              <w:pStyle w:val="0"/>
              <w:jc w:val="center"/>
            </w:pPr>
            <w:r>
              <w:rPr>
                <w:sz w:val="20"/>
              </w:rPr>
              <w:t xml:space="preserve">1 891,4</w:t>
            </w:r>
          </w:p>
        </w:tc>
      </w:tr>
      <w:tr>
        <w:tc>
          <w:tcPr>
            <w:tcW w:w="566" w:type="dxa"/>
          </w:tcPr>
          <w:p>
            <w:pPr>
              <w:pStyle w:val="0"/>
            </w:pPr>
            <w:r>
              <w:rPr>
                <w:sz w:val="20"/>
              </w:rPr>
            </w:r>
          </w:p>
        </w:tc>
        <w:tc>
          <w:tcPr>
            <w:tcW w:w="2324" w:type="dxa"/>
          </w:tcPr>
          <w:p>
            <w:pPr>
              <w:pStyle w:val="0"/>
            </w:pPr>
            <w:r>
              <w:rPr>
                <w:sz w:val="20"/>
              </w:rPr>
              <w:t xml:space="preserve">Всего</w:t>
            </w:r>
          </w:p>
        </w:tc>
        <w:tc>
          <w:tcPr>
            <w:tcW w:w="794" w:type="dxa"/>
          </w:tcPr>
          <w:p>
            <w:pPr>
              <w:pStyle w:val="0"/>
              <w:jc w:val="center"/>
            </w:pPr>
            <w:r>
              <w:rPr>
                <w:sz w:val="20"/>
              </w:rPr>
              <w:t xml:space="preserve">15,6</w:t>
            </w:r>
          </w:p>
        </w:tc>
        <w:tc>
          <w:tcPr>
            <w:tcW w:w="2437" w:type="dxa"/>
          </w:tcPr>
          <w:p>
            <w:pPr>
              <w:pStyle w:val="0"/>
            </w:pPr>
            <w:r>
              <w:rPr>
                <w:sz w:val="20"/>
              </w:rPr>
            </w:r>
          </w:p>
        </w:tc>
        <w:tc>
          <w:tcPr>
            <w:tcW w:w="623" w:type="dxa"/>
          </w:tcPr>
          <w:p>
            <w:pPr>
              <w:pStyle w:val="0"/>
            </w:pPr>
            <w:r>
              <w:rPr>
                <w:sz w:val="20"/>
              </w:rPr>
            </w:r>
          </w:p>
        </w:tc>
        <w:tc>
          <w:tcPr>
            <w:tcW w:w="793" w:type="dxa"/>
          </w:tcPr>
          <w:p>
            <w:pPr>
              <w:pStyle w:val="0"/>
            </w:pPr>
            <w:r>
              <w:rPr>
                <w:sz w:val="20"/>
              </w:rPr>
            </w:r>
          </w:p>
        </w:tc>
        <w:tc>
          <w:tcPr>
            <w:tcW w:w="850" w:type="dxa"/>
          </w:tcPr>
          <w:p>
            <w:pPr>
              <w:pStyle w:val="0"/>
            </w:pPr>
            <w:r>
              <w:rPr>
                <w:sz w:val="20"/>
              </w:rPr>
            </w:r>
          </w:p>
        </w:tc>
        <w:tc>
          <w:tcPr>
            <w:tcW w:w="1303" w:type="dxa"/>
          </w:tcPr>
          <w:p>
            <w:pPr>
              <w:pStyle w:val="0"/>
              <w:jc w:val="center"/>
            </w:pPr>
            <w:r>
              <w:rPr>
                <w:sz w:val="20"/>
              </w:rPr>
              <w:t xml:space="preserve">47 285,4</w:t>
            </w:r>
          </w:p>
        </w:tc>
        <w:tc>
          <w:tcPr>
            <w:tcW w:w="1303" w:type="dxa"/>
          </w:tcPr>
          <w:p>
            <w:pPr>
              <w:pStyle w:val="0"/>
              <w:jc w:val="center"/>
            </w:pPr>
            <w:r>
              <w:rPr>
                <w:sz w:val="20"/>
              </w:rPr>
              <w:t xml:space="preserve">45 394,0</w:t>
            </w:r>
          </w:p>
        </w:tc>
        <w:tc>
          <w:tcPr>
            <w:tcW w:w="1303" w:type="dxa"/>
          </w:tcPr>
          <w:p>
            <w:pPr>
              <w:pStyle w:val="0"/>
            </w:pPr>
            <w:r>
              <w:rPr>
                <w:sz w:val="20"/>
              </w:rPr>
            </w:r>
          </w:p>
        </w:tc>
        <w:tc>
          <w:tcPr>
            <w:tcW w:w="1303" w:type="dxa"/>
          </w:tcPr>
          <w:p>
            <w:pPr>
              <w:pStyle w:val="0"/>
              <w:jc w:val="center"/>
            </w:pPr>
            <w:r>
              <w:rPr>
                <w:sz w:val="20"/>
              </w:rPr>
              <w:t xml:space="preserve">1 891,4</w:t>
            </w:r>
          </w:p>
        </w:tc>
      </w:tr>
      <w:tr>
        <w:tblPrEx>
          <w:tblBorders>
            <w:insideH w:val="nil"/>
          </w:tblBorders>
        </w:tblPrEx>
        <w:tc>
          <w:tcPr>
            <w:gridSpan w:val="11"/>
            <w:tcW w:w="13599" w:type="dxa"/>
            <w:tcBorders>
              <w:bottom w:val="nil"/>
            </w:tcBorders>
          </w:tcPr>
          <w:p>
            <w:pPr>
              <w:pStyle w:val="0"/>
              <w:outlineLvl w:val="2"/>
              <w:jc w:val="center"/>
            </w:pPr>
            <w:r>
              <w:rPr>
                <w:sz w:val="20"/>
              </w:rPr>
              <w:t xml:space="preserve">2024 год</w:t>
            </w:r>
          </w:p>
        </w:tc>
      </w:tr>
      <w:tr>
        <w:tblPrEx>
          <w:tblBorders>
            <w:insideH w:val="nil"/>
          </w:tblBorders>
        </w:tblPrEx>
        <w:tc>
          <w:tcPr>
            <w:gridSpan w:val="11"/>
            <w:tcW w:w="13599" w:type="dxa"/>
            <w:tcBorders>
              <w:top w:val="nil"/>
            </w:tcBorders>
          </w:tcPr>
          <w:p>
            <w:pPr>
              <w:pStyle w:val="0"/>
              <w:jc w:val="center"/>
            </w:pPr>
            <w:r>
              <w:rPr>
                <w:sz w:val="20"/>
              </w:rPr>
              <w:t xml:space="preserve">(введен </w:t>
            </w:r>
            <w:hyperlink w:history="0" r:id="rId832"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w:t>
            </w:r>
          </w:p>
          <w:p>
            <w:pPr>
              <w:pStyle w:val="0"/>
              <w:jc w:val="center"/>
            </w:pPr>
            <w:r>
              <w:rPr>
                <w:sz w:val="20"/>
              </w:rPr>
              <w:t xml:space="preserve">от 21.03.2023 N 100-п)</w:t>
            </w:r>
          </w:p>
        </w:tc>
      </w:tr>
      <w:tr>
        <w:tc>
          <w:tcPr>
            <w:tcW w:w="566" w:type="dxa"/>
          </w:tcPr>
          <w:p>
            <w:pPr>
              <w:pStyle w:val="0"/>
              <w:jc w:val="center"/>
            </w:pPr>
            <w:r>
              <w:rPr>
                <w:sz w:val="20"/>
              </w:rPr>
              <w:t xml:space="preserve">1</w:t>
            </w:r>
          </w:p>
        </w:tc>
        <w:tc>
          <w:tcPr>
            <w:tcW w:w="2324" w:type="dxa"/>
          </w:tcPr>
          <w:p>
            <w:pPr>
              <w:pStyle w:val="0"/>
            </w:pPr>
            <w:r>
              <w:rPr>
                <w:sz w:val="20"/>
              </w:rPr>
              <w:t xml:space="preserve">Строительство автомобильной дороги общего пользования по ул. Доватора к жилому массиву "Плющихинский"</w:t>
            </w:r>
          </w:p>
        </w:tc>
        <w:tc>
          <w:tcPr>
            <w:tcW w:w="794" w:type="dxa"/>
          </w:tcPr>
          <w:p>
            <w:pPr>
              <w:pStyle w:val="0"/>
              <w:jc w:val="center"/>
            </w:pPr>
            <w:r>
              <w:rPr>
                <w:sz w:val="20"/>
              </w:rPr>
              <w:t xml:space="preserve">175,6</w:t>
            </w:r>
          </w:p>
        </w:tc>
        <w:tc>
          <w:tcPr>
            <w:tcW w:w="2437" w:type="dxa"/>
          </w:tcPr>
          <w:p>
            <w:pPr>
              <w:pStyle w:val="0"/>
            </w:pPr>
            <w:r>
              <w:rPr>
                <w:sz w:val="20"/>
              </w:rPr>
              <w:t xml:space="preserve">Строительство автомобильной дороги общего пользования по ул. Доватора к жилому массиву "Плющихинский"</w:t>
            </w:r>
          </w:p>
        </w:tc>
        <w:tc>
          <w:tcPr>
            <w:tcW w:w="623" w:type="dxa"/>
          </w:tcPr>
          <w:p>
            <w:pPr>
              <w:pStyle w:val="0"/>
              <w:jc w:val="center"/>
            </w:pPr>
            <w:r>
              <w:rPr>
                <w:sz w:val="20"/>
              </w:rPr>
              <w:t xml:space="preserve">км, тыс. метр</w:t>
            </w:r>
          </w:p>
        </w:tc>
        <w:tc>
          <w:tcPr>
            <w:tcW w:w="793" w:type="dxa"/>
          </w:tcPr>
          <w:p>
            <w:pPr>
              <w:pStyle w:val="0"/>
              <w:jc w:val="center"/>
            </w:pPr>
            <w:r>
              <w:rPr>
                <w:sz w:val="20"/>
              </w:rPr>
              <w:t xml:space="preserve">3</w:t>
            </w:r>
          </w:p>
        </w:tc>
        <w:tc>
          <w:tcPr>
            <w:tcW w:w="850" w:type="dxa"/>
          </w:tcPr>
          <w:p>
            <w:pPr>
              <w:pStyle w:val="0"/>
              <w:jc w:val="center"/>
            </w:pPr>
            <w:r>
              <w:rPr>
                <w:sz w:val="20"/>
              </w:rPr>
              <w:t xml:space="preserve">2024</w:t>
            </w:r>
          </w:p>
        </w:tc>
        <w:tc>
          <w:tcPr>
            <w:tcW w:w="1303" w:type="dxa"/>
          </w:tcPr>
          <w:p>
            <w:pPr>
              <w:pStyle w:val="0"/>
              <w:jc w:val="center"/>
            </w:pPr>
            <w:r>
              <w:rPr>
                <w:sz w:val="20"/>
              </w:rPr>
              <w:t xml:space="preserve">679 000,0</w:t>
            </w:r>
          </w:p>
        </w:tc>
        <w:tc>
          <w:tcPr>
            <w:tcW w:w="1303" w:type="dxa"/>
          </w:tcPr>
          <w:p>
            <w:pPr>
              <w:pStyle w:val="0"/>
              <w:jc w:val="center"/>
            </w:pPr>
            <w:r>
              <w:rPr>
                <w:sz w:val="20"/>
              </w:rPr>
              <w:t xml:space="preserve">651 840,0</w:t>
            </w:r>
          </w:p>
        </w:tc>
        <w:tc>
          <w:tcPr>
            <w:tcW w:w="1303" w:type="dxa"/>
          </w:tcPr>
          <w:p>
            <w:pPr>
              <w:pStyle w:val="0"/>
              <w:jc w:val="center"/>
            </w:pPr>
            <w:r>
              <w:rPr>
                <w:sz w:val="20"/>
              </w:rPr>
              <w:t xml:space="preserve">0</w:t>
            </w:r>
          </w:p>
        </w:tc>
        <w:tc>
          <w:tcPr>
            <w:tcW w:w="1303" w:type="dxa"/>
          </w:tcPr>
          <w:p>
            <w:pPr>
              <w:pStyle w:val="0"/>
              <w:jc w:val="center"/>
            </w:pPr>
            <w:r>
              <w:rPr>
                <w:sz w:val="20"/>
              </w:rPr>
              <w:t xml:space="preserve">27 160,0</w:t>
            </w:r>
          </w:p>
        </w:tc>
      </w:tr>
      <w:tr>
        <w:tc>
          <w:tcPr>
            <w:tcW w:w="566" w:type="dxa"/>
          </w:tcPr>
          <w:p>
            <w:pPr>
              <w:pStyle w:val="0"/>
              <w:jc w:val="center"/>
            </w:pPr>
            <w:r>
              <w:rPr>
                <w:sz w:val="20"/>
              </w:rPr>
              <w:t xml:space="preserve">2</w:t>
            </w:r>
          </w:p>
        </w:tc>
        <w:tc>
          <w:tcPr>
            <w:tcW w:w="2324" w:type="dxa"/>
          </w:tcPr>
          <w:p>
            <w:pPr>
              <w:pStyle w:val="0"/>
            </w:pPr>
            <w:r>
              <w:rPr>
                <w:sz w:val="20"/>
              </w:rPr>
              <w:t xml:space="preserve">Очистные сооружения ливневой канализации в районе обводненного карьера "Юго-Западный" в Ленинском районе г. Новосибирска для обеспечения жилмассивов "Чистая Слобода" и "Ереснинский"</w:t>
            </w:r>
          </w:p>
        </w:tc>
        <w:tc>
          <w:tcPr>
            <w:tcW w:w="794" w:type="dxa"/>
          </w:tcPr>
          <w:p>
            <w:pPr>
              <w:pStyle w:val="0"/>
              <w:jc w:val="center"/>
            </w:pPr>
            <w:r>
              <w:rPr>
                <w:sz w:val="20"/>
              </w:rPr>
              <w:t xml:space="preserve">334,6</w:t>
            </w:r>
          </w:p>
        </w:tc>
        <w:tc>
          <w:tcPr>
            <w:tcW w:w="2437" w:type="dxa"/>
          </w:tcPr>
          <w:p>
            <w:pPr>
              <w:pStyle w:val="0"/>
            </w:pPr>
            <w:r>
              <w:rPr>
                <w:sz w:val="20"/>
              </w:rPr>
              <w:t xml:space="preserve">Очистные сооружения ливневой канализации в районе обводненного карьера "Юго-Западный" в Ленинском районе г. Новосибирска для обеспечения жилмассивов "Чистая Слобода" и "Ереснинский"</w:t>
            </w:r>
          </w:p>
        </w:tc>
        <w:tc>
          <w:tcPr>
            <w:tcW w:w="623" w:type="dxa"/>
          </w:tcPr>
          <w:p>
            <w:pPr>
              <w:pStyle w:val="0"/>
              <w:jc w:val="center"/>
            </w:pPr>
            <w:r>
              <w:rPr>
                <w:sz w:val="20"/>
              </w:rPr>
              <w:t xml:space="preserve">км, тыс. метр</w:t>
            </w:r>
          </w:p>
        </w:tc>
        <w:tc>
          <w:tcPr>
            <w:tcW w:w="793" w:type="dxa"/>
          </w:tcPr>
          <w:p>
            <w:pPr>
              <w:pStyle w:val="0"/>
              <w:jc w:val="center"/>
            </w:pPr>
            <w:r>
              <w:rPr>
                <w:sz w:val="20"/>
              </w:rPr>
              <w:t xml:space="preserve">0,82</w:t>
            </w:r>
          </w:p>
        </w:tc>
        <w:tc>
          <w:tcPr>
            <w:tcW w:w="850" w:type="dxa"/>
          </w:tcPr>
          <w:p>
            <w:pPr>
              <w:pStyle w:val="0"/>
              <w:jc w:val="center"/>
            </w:pPr>
            <w:r>
              <w:rPr>
                <w:sz w:val="20"/>
              </w:rPr>
              <w:t xml:space="preserve">2024</w:t>
            </w:r>
          </w:p>
        </w:tc>
        <w:tc>
          <w:tcPr>
            <w:tcW w:w="1303" w:type="dxa"/>
          </w:tcPr>
          <w:p>
            <w:pPr>
              <w:pStyle w:val="0"/>
              <w:jc w:val="center"/>
            </w:pPr>
            <w:r>
              <w:rPr>
                <w:sz w:val="20"/>
              </w:rPr>
              <w:t xml:space="preserve">465 000,0</w:t>
            </w:r>
          </w:p>
        </w:tc>
        <w:tc>
          <w:tcPr>
            <w:tcW w:w="1303" w:type="dxa"/>
          </w:tcPr>
          <w:p>
            <w:pPr>
              <w:pStyle w:val="0"/>
              <w:jc w:val="center"/>
            </w:pPr>
            <w:r>
              <w:rPr>
                <w:sz w:val="20"/>
              </w:rPr>
              <w:t xml:space="preserve">446 400,0</w:t>
            </w:r>
          </w:p>
        </w:tc>
        <w:tc>
          <w:tcPr>
            <w:tcW w:w="1303" w:type="dxa"/>
          </w:tcPr>
          <w:p>
            <w:pPr>
              <w:pStyle w:val="0"/>
              <w:jc w:val="center"/>
            </w:pPr>
            <w:r>
              <w:rPr>
                <w:sz w:val="20"/>
              </w:rPr>
              <w:t xml:space="preserve">0</w:t>
            </w:r>
          </w:p>
        </w:tc>
        <w:tc>
          <w:tcPr>
            <w:tcW w:w="1303" w:type="dxa"/>
          </w:tcPr>
          <w:p>
            <w:pPr>
              <w:pStyle w:val="0"/>
              <w:jc w:val="center"/>
            </w:pPr>
            <w:r>
              <w:rPr>
                <w:sz w:val="20"/>
              </w:rPr>
              <w:t xml:space="preserve">18 600,0</w:t>
            </w:r>
          </w:p>
        </w:tc>
      </w:tr>
      <w:tr>
        <w:tc>
          <w:tcPr>
            <w:tcW w:w="566" w:type="dxa"/>
          </w:tcPr>
          <w:p>
            <w:pPr>
              <w:pStyle w:val="0"/>
              <w:jc w:val="center"/>
            </w:pPr>
            <w:r>
              <w:rPr>
                <w:sz w:val="20"/>
              </w:rPr>
              <w:t xml:space="preserve">3</w:t>
            </w:r>
          </w:p>
        </w:tc>
        <w:tc>
          <w:tcPr>
            <w:tcW w:w="2324" w:type="dxa"/>
          </w:tcPr>
          <w:p>
            <w:pPr>
              <w:pStyle w:val="0"/>
            </w:pPr>
            <w:r>
              <w:rPr>
                <w:sz w:val="20"/>
              </w:rPr>
              <w:t xml:space="preserve">Строительство автодороги к п. Клюквенный</w:t>
            </w:r>
          </w:p>
        </w:tc>
        <w:tc>
          <w:tcPr>
            <w:tcW w:w="794" w:type="dxa"/>
          </w:tcPr>
          <w:p>
            <w:pPr>
              <w:pStyle w:val="0"/>
              <w:jc w:val="center"/>
            </w:pPr>
            <w:r>
              <w:rPr>
                <w:sz w:val="20"/>
              </w:rPr>
              <w:t xml:space="preserve">331,9</w:t>
            </w:r>
          </w:p>
        </w:tc>
        <w:tc>
          <w:tcPr>
            <w:tcW w:w="2437" w:type="dxa"/>
          </w:tcPr>
          <w:p>
            <w:pPr>
              <w:pStyle w:val="0"/>
            </w:pPr>
            <w:r>
              <w:rPr>
                <w:sz w:val="20"/>
              </w:rPr>
              <w:t xml:space="preserve">Строительство автодороги к п. Клюквенный</w:t>
            </w:r>
          </w:p>
        </w:tc>
        <w:tc>
          <w:tcPr>
            <w:tcW w:w="623" w:type="dxa"/>
          </w:tcPr>
          <w:p>
            <w:pPr>
              <w:pStyle w:val="0"/>
              <w:jc w:val="center"/>
            </w:pPr>
            <w:r>
              <w:rPr>
                <w:sz w:val="20"/>
              </w:rPr>
              <w:t xml:space="preserve">км, тыс. метр</w:t>
            </w:r>
          </w:p>
        </w:tc>
        <w:tc>
          <w:tcPr>
            <w:tcW w:w="793" w:type="dxa"/>
          </w:tcPr>
          <w:p>
            <w:pPr>
              <w:pStyle w:val="0"/>
              <w:jc w:val="center"/>
            </w:pPr>
            <w:r>
              <w:rPr>
                <w:sz w:val="20"/>
              </w:rPr>
              <w:t xml:space="preserve">2</w:t>
            </w:r>
          </w:p>
        </w:tc>
        <w:tc>
          <w:tcPr>
            <w:tcW w:w="850" w:type="dxa"/>
          </w:tcPr>
          <w:p>
            <w:pPr>
              <w:pStyle w:val="0"/>
              <w:jc w:val="center"/>
            </w:pPr>
            <w:r>
              <w:rPr>
                <w:sz w:val="20"/>
              </w:rPr>
              <w:t xml:space="preserve">2024</w:t>
            </w:r>
          </w:p>
        </w:tc>
        <w:tc>
          <w:tcPr>
            <w:tcW w:w="1303" w:type="dxa"/>
          </w:tcPr>
          <w:p>
            <w:pPr>
              <w:pStyle w:val="0"/>
              <w:jc w:val="center"/>
            </w:pPr>
            <w:r>
              <w:rPr>
                <w:sz w:val="20"/>
              </w:rPr>
              <w:t xml:space="preserve">900 000,0</w:t>
            </w:r>
          </w:p>
        </w:tc>
        <w:tc>
          <w:tcPr>
            <w:tcW w:w="1303" w:type="dxa"/>
          </w:tcPr>
          <w:p>
            <w:pPr>
              <w:pStyle w:val="0"/>
              <w:jc w:val="center"/>
            </w:pPr>
            <w:r>
              <w:rPr>
                <w:sz w:val="20"/>
              </w:rPr>
              <w:t xml:space="preserve">864 000,0</w:t>
            </w:r>
          </w:p>
        </w:tc>
        <w:tc>
          <w:tcPr>
            <w:tcW w:w="1303" w:type="dxa"/>
          </w:tcPr>
          <w:p>
            <w:pPr>
              <w:pStyle w:val="0"/>
              <w:jc w:val="center"/>
            </w:pPr>
            <w:r>
              <w:rPr>
                <w:sz w:val="20"/>
              </w:rPr>
              <w:t xml:space="preserve">0</w:t>
            </w:r>
          </w:p>
        </w:tc>
        <w:tc>
          <w:tcPr>
            <w:tcW w:w="1303" w:type="dxa"/>
          </w:tcPr>
          <w:p>
            <w:pPr>
              <w:pStyle w:val="0"/>
              <w:jc w:val="center"/>
            </w:pPr>
            <w:r>
              <w:rPr>
                <w:sz w:val="20"/>
              </w:rPr>
              <w:t xml:space="preserve">36 000,0</w:t>
            </w:r>
          </w:p>
        </w:tc>
      </w:tr>
      <w:tr>
        <w:tc>
          <w:tcPr>
            <w:tcW w:w="566" w:type="dxa"/>
          </w:tcPr>
          <w:p>
            <w:pPr>
              <w:pStyle w:val="0"/>
            </w:pPr>
            <w:r>
              <w:rPr>
                <w:sz w:val="20"/>
              </w:rPr>
            </w:r>
          </w:p>
        </w:tc>
        <w:tc>
          <w:tcPr>
            <w:tcW w:w="2324" w:type="dxa"/>
          </w:tcPr>
          <w:p>
            <w:pPr>
              <w:pStyle w:val="0"/>
            </w:pPr>
            <w:r>
              <w:rPr>
                <w:sz w:val="20"/>
              </w:rPr>
              <w:t xml:space="preserve">Всего</w:t>
            </w:r>
          </w:p>
        </w:tc>
        <w:tc>
          <w:tcPr>
            <w:tcW w:w="794" w:type="dxa"/>
          </w:tcPr>
          <w:p>
            <w:pPr>
              <w:pStyle w:val="0"/>
              <w:jc w:val="center"/>
            </w:pPr>
            <w:r>
              <w:rPr>
                <w:sz w:val="20"/>
              </w:rPr>
              <w:t xml:space="preserve">842,1</w:t>
            </w:r>
          </w:p>
        </w:tc>
        <w:tc>
          <w:tcPr>
            <w:tcW w:w="2437" w:type="dxa"/>
          </w:tcPr>
          <w:p>
            <w:pPr>
              <w:pStyle w:val="0"/>
            </w:pPr>
            <w:r>
              <w:rPr>
                <w:sz w:val="20"/>
              </w:rPr>
            </w:r>
          </w:p>
        </w:tc>
        <w:tc>
          <w:tcPr>
            <w:tcW w:w="623" w:type="dxa"/>
          </w:tcPr>
          <w:p>
            <w:pPr>
              <w:pStyle w:val="0"/>
            </w:pPr>
            <w:r>
              <w:rPr>
                <w:sz w:val="20"/>
              </w:rPr>
            </w:r>
          </w:p>
        </w:tc>
        <w:tc>
          <w:tcPr>
            <w:tcW w:w="793" w:type="dxa"/>
          </w:tcPr>
          <w:p>
            <w:pPr>
              <w:pStyle w:val="0"/>
            </w:pPr>
            <w:r>
              <w:rPr>
                <w:sz w:val="20"/>
              </w:rPr>
            </w:r>
          </w:p>
        </w:tc>
        <w:tc>
          <w:tcPr>
            <w:tcW w:w="850" w:type="dxa"/>
          </w:tcPr>
          <w:p>
            <w:pPr>
              <w:pStyle w:val="0"/>
            </w:pPr>
            <w:r>
              <w:rPr>
                <w:sz w:val="20"/>
              </w:rPr>
            </w:r>
          </w:p>
        </w:tc>
        <w:tc>
          <w:tcPr>
            <w:tcW w:w="1303" w:type="dxa"/>
          </w:tcPr>
          <w:p>
            <w:pPr>
              <w:pStyle w:val="0"/>
              <w:jc w:val="center"/>
            </w:pPr>
            <w:r>
              <w:rPr>
                <w:sz w:val="20"/>
              </w:rPr>
              <w:t xml:space="preserve">2 044 000,0</w:t>
            </w:r>
          </w:p>
        </w:tc>
        <w:tc>
          <w:tcPr>
            <w:tcW w:w="1303" w:type="dxa"/>
          </w:tcPr>
          <w:p>
            <w:pPr>
              <w:pStyle w:val="0"/>
              <w:jc w:val="center"/>
            </w:pPr>
            <w:r>
              <w:rPr>
                <w:sz w:val="20"/>
              </w:rPr>
              <w:t xml:space="preserve">1 962 240,0</w:t>
            </w:r>
          </w:p>
        </w:tc>
        <w:tc>
          <w:tcPr>
            <w:tcW w:w="1303" w:type="dxa"/>
          </w:tcPr>
          <w:p>
            <w:pPr>
              <w:pStyle w:val="0"/>
            </w:pPr>
            <w:r>
              <w:rPr>
                <w:sz w:val="20"/>
              </w:rPr>
            </w:r>
          </w:p>
        </w:tc>
        <w:tc>
          <w:tcPr>
            <w:tcW w:w="1303" w:type="dxa"/>
          </w:tcPr>
          <w:p>
            <w:pPr>
              <w:pStyle w:val="0"/>
              <w:jc w:val="center"/>
            </w:pPr>
            <w:r>
              <w:rPr>
                <w:sz w:val="20"/>
              </w:rPr>
              <w:t xml:space="preserve">81 760,0</w:t>
            </w:r>
          </w:p>
        </w:tc>
      </w:tr>
    </w:tbl>
    <w:p>
      <w:pPr>
        <w:sectPr>
          <w:headerReference w:type="default" r:id="rId167"/>
          <w:headerReference w:type="first" r:id="rId167"/>
          <w:footerReference w:type="default" r:id="rId168"/>
          <w:footerReference w:type="first" r:id="rId168"/>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14</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9236" w:name="P9236"/>
    <w:bookmarkEnd w:id="9236"/>
    <w:p>
      <w:pPr>
        <w:pStyle w:val="2"/>
        <w:jc w:val="center"/>
      </w:pPr>
      <w:r>
        <w:rPr>
          <w:sz w:val="20"/>
        </w:rPr>
        <w:t xml:space="preserve">Порядок</w:t>
      </w:r>
    </w:p>
    <w:p>
      <w:pPr>
        <w:pStyle w:val="2"/>
        <w:jc w:val="center"/>
      </w:pPr>
      <w:r>
        <w:rPr>
          <w:sz w:val="20"/>
        </w:rPr>
        <w:t xml:space="preserve">предоставления и распределения субсидий из областного</w:t>
      </w:r>
    </w:p>
    <w:p>
      <w:pPr>
        <w:pStyle w:val="2"/>
        <w:jc w:val="center"/>
      </w:pPr>
      <w:r>
        <w:rPr>
          <w:sz w:val="20"/>
        </w:rPr>
        <w:t xml:space="preserve">бюджета Новосибирской области местным бюджетам</w:t>
      </w:r>
    </w:p>
    <w:p>
      <w:pPr>
        <w:pStyle w:val="2"/>
        <w:jc w:val="center"/>
      </w:pPr>
      <w:r>
        <w:rPr>
          <w:sz w:val="20"/>
        </w:rPr>
        <w:t xml:space="preserve">на реализацию государственной программы</w:t>
      </w:r>
    </w:p>
    <w:p>
      <w:pPr>
        <w:pStyle w:val="2"/>
        <w:jc w:val="center"/>
      </w:pPr>
      <w:r>
        <w:rPr>
          <w:sz w:val="20"/>
        </w:rPr>
        <w:t xml:space="preserve">Новосибирской области "Стимулирование развития</w:t>
      </w:r>
    </w:p>
    <w:p>
      <w:pPr>
        <w:pStyle w:val="2"/>
        <w:jc w:val="center"/>
      </w:pPr>
      <w:r>
        <w:rPr>
          <w:sz w:val="20"/>
        </w:rPr>
        <w:t xml:space="preserve">жилищного 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833"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29.09.2020 N 411-п;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25.03.2021 </w:t>
            </w:r>
            <w:hyperlink w:history="0" r:id="rId834"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color w:val="392c69"/>
              </w:rPr>
              <w:t xml:space="preserve">, от 15.03.2022 </w:t>
            </w:r>
            <w:hyperlink w:history="0" r:id="rId835"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N 82-п</w:t>
              </w:r>
            </w:hyperlink>
            <w:r>
              <w:rPr>
                <w:sz w:val="20"/>
                <w:color w:val="392c69"/>
              </w:rPr>
              <w:t xml:space="preserve">, от 26.04.2022 </w:t>
            </w:r>
            <w:hyperlink w:history="0" r:id="rId836"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color w:val="392c69"/>
              </w:rPr>
              <w:t xml:space="preserve">,</w:t>
            </w:r>
          </w:p>
          <w:p>
            <w:pPr>
              <w:pStyle w:val="0"/>
              <w:jc w:val="center"/>
            </w:pPr>
            <w:r>
              <w:rPr>
                <w:sz w:val="20"/>
                <w:color w:val="392c69"/>
              </w:rPr>
              <w:t xml:space="preserve">от 29.12.2022 </w:t>
            </w:r>
            <w:hyperlink w:history="0" r:id="rId837"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Общие положения</w:t>
      </w:r>
    </w:p>
    <w:p>
      <w:pPr>
        <w:pStyle w:val="0"/>
        <w:ind w:firstLine="540"/>
        <w:jc w:val="both"/>
      </w:pPr>
      <w:r>
        <w:rPr>
          <w:sz w:val="20"/>
        </w:rPr>
      </w:r>
    </w:p>
    <w:bookmarkStart w:id="9251" w:name="P9251"/>
    <w:bookmarkEnd w:id="9251"/>
    <w:p>
      <w:pPr>
        <w:pStyle w:val="0"/>
        <w:ind w:firstLine="540"/>
        <w:jc w:val="both"/>
      </w:pPr>
      <w:r>
        <w:rPr>
          <w:sz w:val="20"/>
        </w:rPr>
        <w:t xml:space="preserve">1. Настоящий порядок предоставления и распределения субсидий из областного бюджета Новосибирской области местным бюджетам на реализацию государственной программы Новосибирской области "Стимулирование развития жилищного строительства в Новосибирской области" (далее соответственно - Порядок, государственная программа) регламентирует предоставление и распределение субсидий местным бюджетам в целях реализации мероприятий государственной программы по следующим подпрограммам:</w:t>
      </w:r>
    </w:p>
    <w:p>
      <w:pPr>
        <w:pStyle w:val="0"/>
        <w:jc w:val="both"/>
      </w:pPr>
      <w:r>
        <w:rPr>
          <w:sz w:val="20"/>
        </w:rPr>
        <w:t xml:space="preserve">(в ред. </w:t>
      </w:r>
      <w:hyperlink w:history="0" r:id="rId838"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w:t>
      </w:r>
      <w:hyperlink w:history="0" w:anchor="P5822" w:tooltip="Подпрограмма">
        <w:r>
          <w:rPr>
            <w:sz w:val="20"/>
            <w:color w:val="0000ff"/>
          </w:rPr>
          <w:t xml:space="preserve">Градостроительная подготовка</w:t>
        </w:r>
      </w:hyperlink>
      <w:r>
        <w:rPr>
          <w:sz w:val="20"/>
        </w:rPr>
        <w:t xml:space="preserve"> территорий Новосибирской области и фонд пространственных данных Новосибирской области";</w:t>
      </w:r>
    </w:p>
    <w:p>
      <w:pPr>
        <w:pStyle w:val="0"/>
        <w:spacing w:before="200" w:line-rule="auto"/>
        <w:ind w:firstLine="540"/>
        <w:jc w:val="both"/>
      </w:pPr>
      <w:r>
        <w:rPr>
          <w:sz w:val="20"/>
        </w:rPr>
        <w:t xml:space="preserve">"</w:t>
      </w:r>
      <w:hyperlink w:history="0" w:anchor="P6143" w:tooltip="Подпрограмма">
        <w:r>
          <w:rPr>
            <w:sz w:val="20"/>
            <w:color w:val="0000ff"/>
          </w:rPr>
          <w:t xml:space="preserve">Земельные ресурсы</w:t>
        </w:r>
      </w:hyperlink>
      <w:r>
        <w:rPr>
          <w:sz w:val="20"/>
        </w:rPr>
        <w:t xml:space="preserve"> и инфраструктура";</w:t>
      </w:r>
    </w:p>
    <w:p>
      <w:pPr>
        <w:pStyle w:val="0"/>
        <w:spacing w:before="200" w:line-rule="auto"/>
        <w:ind w:firstLine="540"/>
        <w:jc w:val="both"/>
      </w:pPr>
      <w:r>
        <w:rPr>
          <w:sz w:val="20"/>
        </w:rPr>
        <w:t xml:space="preserve">"</w:t>
      </w:r>
      <w:hyperlink w:history="0" w:anchor="P6315" w:tooltip="Подпрограмма">
        <w:r>
          <w:rPr>
            <w:sz w:val="20"/>
            <w:color w:val="0000ff"/>
          </w:rPr>
          <w:t xml:space="preserve">Государственная поддержка</w:t>
        </w:r>
      </w:hyperlink>
      <w:r>
        <w:rPr>
          <w:sz w:val="20"/>
        </w:rPr>
        <w:t xml:space="preserve"> при завершении строительства "проблемных" жилых домов";</w:t>
      </w:r>
    </w:p>
    <w:p>
      <w:pPr>
        <w:pStyle w:val="0"/>
        <w:spacing w:before="200" w:line-rule="auto"/>
        <w:ind w:firstLine="540"/>
        <w:jc w:val="both"/>
      </w:pPr>
      <w:r>
        <w:rPr>
          <w:sz w:val="20"/>
        </w:rPr>
        <w:t xml:space="preserve">"</w:t>
      </w:r>
      <w:hyperlink w:history="0" w:anchor="P6695" w:tooltip="Подпрограмма">
        <w:r>
          <w:rPr>
            <w:sz w:val="20"/>
            <w:color w:val="0000ff"/>
          </w:rPr>
          <w:t xml:space="preserve">Строительство</w:t>
        </w:r>
      </w:hyperlink>
      <w:r>
        <w:rPr>
          <w:sz w:val="20"/>
        </w:rPr>
        <w:t xml:space="preserve"> (приобретение на первичном рынке) служебного жилья для отдельных категорий граждан, проживающих и работающих на территории Новосибирской области";</w:t>
      </w:r>
    </w:p>
    <w:p>
      <w:pPr>
        <w:pStyle w:val="0"/>
        <w:spacing w:before="200" w:line-rule="auto"/>
        <w:ind w:firstLine="540"/>
        <w:jc w:val="both"/>
      </w:pPr>
      <w:r>
        <w:rPr>
          <w:sz w:val="20"/>
        </w:rPr>
        <w:t xml:space="preserve">"</w:t>
      </w:r>
      <w:hyperlink w:history="0" w:anchor="P6600" w:tooltip="Подпрограмма">
        <w:r>
          <w:rPr>
            <w:sz w:val="20"/>
            <w:color w:val="0000ff"/>
          </w:rPr>
          <w:t xml:space="preserve">Государственная поддержка</w:t>
        </w:r>
      </w:hyperlink>
      <w:r>
        <w:rPr>
          <w:sz w:val="20"/>
        </w:rPr>
        <w:t xml:space="preserve"> муниципальных образований Новосибирской области в обеспечении жилыми помещениями многодетных малообеспеченных семей";</w:t>
      </w:r>
    </w:p>
    <w:p>
      <w:pPr>
        <w:pStyle w:val="0"/>
        <w:spacing w:before="200" w:line-rule="auto"/>
        <w:ind w:firstLine="540"/>
        <w:jc w:val="both"/>
      </w:pPr>
      <w:r>
        <w:rPr>
          <w:sz w:val="20"/>
        </w:rPr>
        <w:t xml:space="preserve">"</w:t>
      </w:r>
      <w:hyperlink w:history="0" w:anchor="P6812" w:tooltip="ПОДПРОГРАММА">
        <w:r>
          <w:rPr>
            <w:sz w:val="20"/>
            <w:color w:val="0000ff"/>
          </w:rPr>
          <w:t xml:space="preserve">Государственная поддержка</w:t>
        </w:r>
      </w:hyperlink>
      <w:r>
        <w:rPr>
          <w:sz w:val="20"/>
        </w:rPr>
        <w:t xml:space="preserve"> муниципальных образований Новосибирской области при строительстве специализированного жилищного фонда".</w:t>
      </w:r>
    </w:p>
    <w:p>
      <w:pPr>
        <w:pStyle w:val="0"/>
        <w:jc w:val="both"/>
      </w:pPr>
      <w:r>
        <w:rPr>
          <w:sz w:val="20"/>
        </w:rPr>
        <w:t xml:space="preserve">(абзац введен </w:t>
      </w:r>
      <w:hyperlink w:history="0" r:id="rId839"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25.03.2021 N 88-п)</w:t>
      </w:r>
    </w:p>
    <w:p>
      <w:pPr>
        <w:pStyle w:val="0"/>
        <w:spacing w:before="200" w:line-rule="auto"/>
        <w:ind w:firstLine="540"/>
        <w:jc w:val="both"/>
      </w:pPr>
      <w:r>
        <w:rPr>
          <w:sz w:val="20"/>
        </w:rPr>
        <w:t xml:space="preserve">2. Главными распорядителями бюджетных средств в рамках государственной программы являются министерство строительства Новосибирской области (далее - министерство), министерство жилищно-коммунального хозяйства и энергетики Новосибирской области.</w:t>
      </w:r>
    </w:p>
    <w:p>
      <w:pPr>
        <w:pStyle w:val="0"/>
        <w:spacing w:before="200" w:line-rule="auto"/>
        <w:ind w:firstLine="540"/>
        <w:jc w:val="both"/>
      </w:pPr>
      <w:r>
        <w:rPr>
          <w:sz w:val="20"/>
        </w:rPr>
        <w:t xml:space="preserve">Финансирование мероприятий государственной программы по подпрограммам, указанным в </w:t>
      </w:r>
      <w:hyperlink w:history="0" w:anchor="P9251" w:tooltip="1. Настоящий порядок предоставления и распределения субсидий из областного бюджета Новосибирской области местным бюджетам на реализацию государственной программы Новосибирской области &quot;Стимулирование развития жилищного строительства в Новосибирской области&quot; (далее соответственно - Порядок, государственная программа) регламентирует предоставление и распределение субсидий местным бюджетам в целях реализации мероприятий государственной программы по следующим подпрограммам:">
        <w:r>
          <w:rPr>
            <w:sz w:val="20"/>
            <w:color w:val="0000ff"/>
          </w:rPr>
          <w:t xml:space="preserve">пункте 1</w:t>
        </w:r>
      </w:hyperlink>
      <w:r>
        <w:rPr>
          <w:sz w:val="20"/>
        </w:rPr>
        <w:t xml:space="preserve"> настоящего Порядка, за исключением мероприятия "Региональный проект "Жилье" в рамках </w:t>
      </w:r>
      <w:hyperlink w:history="0" w:anchor="P6143" w:tooltip="Подпрограмма">
        <w:r>
          <w:rPr>
            <w:sz w:val="20"/>
            <w:color w:val="0000ff"/>
          </w:rPr>
          <w:t xml:space="preserve">подпрограммы</w:t>
        </w:r>
      </w:hyperlink>
      <w:r>
        <w:rPr>
          <w:sz w:val="20"/>
        </w:rPr>
        <w:t xml:space="preserve"> "Земельные ресурсы и инфраструктура", осуществляется главным распорядителем бюджетных средств - министерством в пределах бюджетных ассигнований и лимитов бюджетных обязательств, утвержденных на эти цели законом Новосибирской области об областном бюджете Новосибирской области на текущий финансовый год и плановый период.</w:t>
      </w:r>
    </w:p>
    <w:p>
      <w:pPr>
        <w:pStyle w:val="0"/>
        <w:spacing w:before="200" w:line-rule="auto"/>
        <w:ind w:firstLine="540"/>
        <w:jc w:val="both"/>
      </w:pPr>
      <w:r>
        <w:rPr>
          <w:sz w:val="20"/>
        </w:rPr>
        <w:t xml:space="preserve">Финансирование мероприятия "Региональный проект "Жилье" в рамках </w:t>
      </w:r>
      <w:hyperlink w:history="0" w:anchor="P6143" w:tooltip="Подпрограмма">
        <w:r>
          <w:rPr>
            <w:sz w:val="20"/>
            <w:color w:val="0000ff"/>
          </w:rPr>
          <w:t xml:space="preserve">подпрограммы</w:t>
        </w:r>
      </w:hyperlink>
      <w:r>
        <w:rPr>
          <w:sz w:val="20"/>
        </w:rPr>
        <w:t xml:space="preserve"> "Земельные ресурсы и инфраструктура" государственной программы осуществляется главным распорядителем бюджетных средств - министерством жилищно-коммунального хозяйства и энергетики Новосибирской области в пределах бюджетных ассигнований и лимитов бюджетных обязательств, утвержденных на эти цели законом Новосибирской области об областном бюджете Новосибирской области на текущий финансовый год и плановый период.</w:t>
      </w:r>
    </w:p>
    <w:p>
      <w:pPr>
        <w:pStyle w:val="0"/>
        <w:jc w:val="both"/>
      </w:pPr>
      <w:r>
        <w:rPr>
          <w:sz w:val="20"/>
        </w:rPr>
        <w:t xml:space="preserve">(п. 2 в ред. </w:t>
      </w:r>
      <w:hyperlink w:history="0" r:id="rId840"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3. Общими условиями предоставления субсидий местным бюджетам для реализации подпрограмм, указанных в </w:t>
      </w:r>
      <w:hyperlink w:history="0" w:anchor="P9251" w:tooltip="1. Настоящий порядок предоставления и распределения субсидий из областного бюджета Новосибирской области местным бюджетам на реализацию государственной программы Новосибирской области &quot;Стимулирование развития жилищного строительства в Новосибирской области&quot; (далее соответственно - Порядок, государственная программа) регламентирует предоставление и распределение субсидий местным бюджетам в целях реализации мероприятий государственной программы по следующим подпрограммам:">
        <w:r>
          <w:rPr>
            <w:sz w:val="20"/>
            <w:color w:val="0000ff"/>
          </w:rPr>
          <w:t xml:space="preserve">пункте 1</w:t>
        </w:r>
      </w:hyperlink>
      <w:r>
        <w:rPr>
          <w:sz w:val="20"/>
        </w:rPr>
        <w:t xml:space="preserve"> настоящего Порядка, являются:</w:t>
      </w:r>
    </w:p>
    <w:p>
      <w:pPr>
        <w:pStyle w:val="0"/>
        <w:spacing w:before="200" w:line-rule="auto"/>
        <w:ind w:firstLine="540"/>
        <w:jc w:val="both"/>
      </w:pPr>
      <w:r>
        <w:rPr>
          <w:sz w:val="20"/>
        </w:rPr>
        <w:t xml:space="preserve">1) наличие правовых актов муниципальных районов и городских округов,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0"/>
        <w:spacing w:before="200" w:line-rule="auto"/>
        <w:ind w:firstLine="540"/>
        <w:jc w:val="both"/>
      </w:pPr>
      <w:r>
        <w:rPr>
          <w:sz w:val="20"/>
        </w:rPr>
        <w:t xml:space="preserve">2) наличие в местных бюджетах бюджетных ассигнований на исполнение расходных обязательств муниципальных районов и городских округов,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pPr>
        <w:pStyle w:val="0"/>
        <w:spacing w:before="200" w:line-rule="auto"/>
        <w:ind w:firstLine="540"/>
        <w:jc w:val="both"/>
      </w:pPr>
      <w:r>
        <w:rPr>
          <w:sz w:val="20"/>
        </w:rP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района (городского округа)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pPr>
        <w:pStyle w:val="0"/>
        <w:spacing w:before="200" w:line-rule="auto"/>
        <w:ind w:firstLine="540"/>
        <w:jc w:val="both"/>
      </w:pPr>
      <w:r>
        <w:rPr>
          <w:sz w:val="20"/>
        </w:rPr>
        <w:t xml:space="preserve">4) представление в адрес главных распорядителей бюджетных средств отчетов о выполненных объемах работ;</w:t>
      </w:r>
    </w:p>
    <w:p>
      <w:pPr>
        <w:pStyle w:val="0"/>
        <w:jc w:val="both"/>
      </w:pPr>
      <w:r>
        <w:rPr>
          <w:sz w:val="20"/>
        </w:rPr>
        <w:t xml:space="preserve">(в ред. </w:t>
      </w:r>
      <w:hyperlink w:history="0" r:id="rId841"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5) отсутствие неиспользованных остатков данных субсидий на счетах администраций муниципальных районов (городских округов) Новосибирской области, перечисленных в предшествующий период;</w:t>
      </w:r>
    </w:p>
    <w:p>
      <w:pPr>
        <w:pStyle w:val="0"/>
        <w:spacing w:before="200" w:line-rule="auto"/>
        <w:ind w:firstLine="540"/>
        <w:jc w:val="both"/>
      </w:pPr>
      <w:r>
        <w:rPr>
          <w:sz w:val="20"/>
        </w:rPr>
        <w:t xml:space="preserve">6) централизация закупок товаров, работ, услуг, финансовое обеспечение которых частично или полностью осуществляется за счет межбюджетных трансфертов, в соответствии с полномочиями главных распорядителей бюджетных средств.</w:t>
      </w:r>
    </w:p>
    <w:p>
      <w:pPr>
        <w:pStyle w:val="0"/>
        <w:jc w:val="both"/>
      </w:pPr>
      <w:r>
        <w:rPr>
          <w:sz w:val="20"/>
        </w:rPr>
        <w:t xml:space="preserve">(пп. 6 в ред. </w:t>
      </w:r>
      <w:hyperlink w:history="0" r:id="rId842"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4. Перечисление субсидий местным бюджетам в соответствии с </w:t>
      </w:r>
      <w:hyperlink w:history="0" w:anchor="P9287" w:tooltip="II. Порядок предоставления и распределения субсидий">
        <w:r>
          <w:rPr>
            <w:sz w:val="20"/>
            <w:color w:val="0000ff"/>
          </w:rPr>
          <w:t xml:space="preserve">разделами II</w:t>
        </w:r>
      </w:hyperlink>
      <w:r>
        <w:rPr>
          <w:sz w:val="20"/>
        </w:rPr>
        <w:t xml:space="preserve"> - </w:t>
      </w:r>
      <w:hyperlink w:history="0" w:anchor="P9438" w:tooltip="VII. Порядок предоставления и распределения субсидий">
        <w:r>
          <w:rPr>
            <w:sz w:val="20"/>
            <w:color w:val="0000ff"/>
          </w:rPr>
          <w:t xml:space="preserve">VII</w:t>
        </w:r>
      </w:hyperlink>
      <w:r>
        <w:rPr>
          <w:sz w:val="20"/>
        </w:rPr>
        <w:t xml:space="preserve"> Порядка осуществляется на основании заключенных соглашений о предоставлении субсидий.</w:t>
      </w:r>
    </w:p>
    <w:p>
      <w:pPr>
        <w:pStyle w:val="0"/>
        <w:jc w:val="both"/>
      </w:pPr>
      <w:r>
        <w:rPr>
          <w:sz w:val="20"/>
        </w:rPr>
        <w:t xml:space="preserve">(в ред. </w:t>
      </w:r>
      <w:hyperlink w:history="0" r:id="rId843"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hyperlink w:history="0" r:id="rId844" w:tooltip="Приказ МФ и НП Новосибирской области от 09.01.2020 N 1-НПА (ред. от 09.03.2023) &quot;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quot; {КонсультантПлюс}">
        <w:r>
          <w:rPr>
            <w:sz w:val="20"/>
            <w:color w:val="0000ff"/>
          </w:rPr>
          <w:t xml:space="preserve">Соглашение</w:t>
        </w:r>
      </w:hyperlink>
      <w:r>
        <w:rPr>
          <w:sz w:val="20"/>
        </w:rPr>
        <w:t xml:space="preserve"> о предоставлении субсидий должно соответствовать типовой форме соглашения о предоставлении субсидии из областного бюджета Новосибирской области бюджету муниципального района (городского округа) Новосибирской области, утвержденной приказом министерства финансов и налоговой политики Новосибирской области от 09.01.2020 N 1-НПА.</w:t>
      </w:r>
    </w:p>
    <w:p>
      <w:pPr>
        <w:pStyle w:val="0"/>
        <w:spacing w:before="200" w:line-rule="auto"/>
        <w:ind w:firstLine="540"/>
        <w:jc w:val="both"/>
      </w:pPr>
      <w:r>
        <w:rPr>
          <w:sz w:val="20"/>
        </w:rPr>
        <w:t xml:space="preserve">5. Условия расходования субсидий:</w:t>
      </w:r>
    </w:p>
    <w:p>
      <w:pPr>
        <w:pStyle w:val="0"/>
        <w:spacing w:before="200" w:line-rule="auto"/>
        <w:ind w:firstLine="540"/>
        <w:jc w:val="both"/>
      </w:pPr>
      <w:r>
        <w:rPr>
          <w:sz w:val="20"/>
        </w:rPr>
        <w:t xml:space="preserve">1) субсидии направляются исключительно на цели, утвержденные законом Новосибирской области об областном бюджете Новосибирской области на текущий финансовый год и плановый период и государственной программой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N 68-п;</w:t>
      </w:r>
    </w:p>
    <w:p>
      <w:pPr>
        <w:pStyle w:val="0"/>
        <w:spacing w:before="200" w:line-rule="auto"/>
        <w:ind w:firstLine="540"/>
        <w:jc w:val="both"/>
      </w:pPr>
      <w:r>
        <w:rPr>
          <w:sz w:val="20"/>
        </w:rPr>
        <w:t xml:space="preserve">2) осуществление расходов производится с лицевых счетов администраций муниципальных районов и городских округов Новосибирской области или с лицевых счетов муниципальных казенных учреждений (получателей бюджетных средств), уполномоченных органами местного самоуправления, на основании договоров, контрактов, заключенных в соответствии с Федеральным </w:t>
      </w:r>
      <w:hyperlink w:history="0" r:id="rId845"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4.2023)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pPr>
        <w:pStyle w:val="0"/>
        <w:spacing w:before="200" w:line-rule="auto"/>
        <w:ind w:firstLine="540"/>
        <w:jc w:val="both"/>
      </w:pPr>
      <w:r>
        <w:rPr>
          <w:sz w:val="20"/>
        </w:rPr>
        <w:t xml:space="preserve">3) органы местного самоуправления муниципальных районов Новосибирской области вправе передавать межбюджетные трансферты в бюджеты поселений, расположенных в границах соответствующих муниципальных районов.</w:t>
      </w:r>
    </w:p>
    <w:p>
      <w:pPr>
        <w:pStyle w:val="0"/>
        <w:spacing w:before="200" w:line-rule="auto"/>
        <w:ind w:firstLine="540"/>
        <w:jc w:val="both"/>
      </w:pPr>
      <w:r>
        <w:rPr>
          <w:sz w:val="20"/>
        </w:rPr>
        <w:t xml:space="preserve">6. Стороны несут ответственность за неисполнение или ненадлежащее исполнение обязательств по заключенному соглашению в соответствии с действующим законодательством Российской Федерации.</w:t>
      </w:r>
    </w:p>
    <w:p>
      <w:pPr>
        <w:pStyle w:val="0"/>
        <w:spacing w:before="200" w:line-rule="auto"/>
        <w:ind w:firstLine="540"/>
        <w:jc w:val="both"/>
      </w:pPr>
      <w:r>
        <w:rPr>
          <w:sz w:val="20"/>
        </w:rPr>
        <w:t xml:space="preserve">Остаток бюджетных средств, неиспользованный получателями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pPr>
        <w:pStyle w:val="0"/>
        <w:spacing w:before="200" w:line-rule="auto"/>
        <w:ind w:firstLine="540"/>
        <w:jc w:val="both"/>
      </w:pPr>
      <w:r>
        <w:rPr>
          <w:sz w:val="20"/>
        </w:rPr>
        <w:t xml:space="preserve">В случае нецелевого использования субсидии к муниципальному району (городскому округу)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pPr>
        <w:pStyle w:val="0"/>
        <w:spacing w:before="200" w:line-rule="auto"/>
        <w:ind w:firstLine="540"/>
        <w:jc w:val="both"/>
      </w:pPr>
      <w:r>
        <w:rPr>
          <w:sz w:val="20"/>
        </w:rPr>
        <w:t xml:space="preserve">7. Порядок оценки эффективности использования субсидий:</w:t>
      </w:r>
    </w:p>
    <w:p>
      <w:pPr>
        <w:pStyle w:val="0"/>
        <w:spacing w:before="200" w:line-rule="auto"/>
        <w:ind w:firstLine="540"/>
        <w:jc w:val="both"/>
      </w:pPr>
      <w:r>
        <w:rPr>
          <w:sz w:val="20"/>
        </w:rPr>
        <w:t xml:space="preserve">оценка эффективности использования субсидии осуществляется главным распорядителем средств областного бюджета на основании отчета о достижении показателей результатов использования субсидии, предоставляемого получателем в сроки, установленные в соглашении.</w:t>
      </w:r>
    </w:p>
    <w:p>
      <w:pPr>
        <w:pStyle w:val="0"/>
        <w:spacing w:before="200" w:line-rule="auto"/>
        <w:ind w:firstLine="540"/>
        <w:jc w:val="both"/>
      </w:pPr>
      <w:r>
        <w:rPr>
          <w:sz w:val="20"/>
        </w:rPr>
        <w:t xml:space="preserve">В случае если в отчетном году получателем допущены нарушения обязательств по достижению значений показателей результатов использования субсидии, и в срок до первой даты представления отчетности данные нарушения не устранены, средства субсидии подлежат возврату в областной бюджет Новосибирской области в соответствии с бюджетным законодательством Российской Федерации и Новосибирской области в объеме, определенном в соответствии с </w:t>
      </w:r>
      <w:hyperlink w:history="0" r:id="rId846" w:tooltip="Постановление Правительства Новосибирской области от 03.03.2020 N 40-п (ред. от 27.02.2023) &quot;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утвержденными постановлением Правительства Новосибирской области от 03.03.2020 N 40-п.</w:t>
      </w:r>
    </w:p>
    <w:p>
      <w:pPr>
        <w:pStyle w:val="0"/>
        <w:ind w:firstLine="540"/>
        <w:jc w:val="both"/>
      </w:pPr>
      <w:r>
        <w:rPr>
          <w:sz w:val="20"/>
        </w:rPr>
      </w:r>
    </w:p>
    <w:bookmarkStart w:id="9287" w:name="P9287"/>
    <w:bookmarkEnd w:id="9287"/>
    <w:p>
      <w:pPr>
        <w:pStyle w:val="2"/>
        <w:outlineLvl w:val="2"/>
        <w:jc w:val="center"/>
      </w:pPr>
      <w:r>
        <w:rPr>
          <w:sz w:val="20"/>
        </w:rPr>
        <w:t xml:space="preserve">II. Порядок предоставления и распределения субсидий</w:t>
      </w:r>
    </w:p>
    <w:p>
      <w:pPr>
        <w:pStyle w:val="2"/>
        <w:jc w:val="center"/>
      </w:pPr>
      <w:r>
        <w:rPr>
          <w:sz w:val="20"/>
        </w:rPr>
        <w:t xml:space="preserve">из областного бюджета Новосибирской области местным бюджетам</w:t>
      </w:r>
    </w:p>
    <w:p>
      <w:pPr>
        <w:pStyle w:val="2"/>
        <w:jc w:val="center"/>
      </w:pPr>
      <w:r>
        <w:rPr>
          <w:sz w:val="20"/>
        </w:rPr>
        <w:t xml:space="preserve">Новосибирской области на реализацию мероприятий в рамках</w:t>
      </w:r>
    </w:p>
    <w:p>
      <w:pPr>
        <w:pStyle w:val="2"/>
        <w:jc w:val="center"/>
      </w:pPr>
      <w:r>
        <w:rPr>
          <w:sz w:val="20"/>
        </w:rPr>
        <w:t xml:space="preserve">подпрограммы "Градостроительная подготовка территорий</w:t>
      </w:r>
    </w:p>
    <w:p>
      <w:pPr>
        <w:pStyle w:val="2"/>
        <w:jc w:val="center"/>
      </w:pPr>
      <w:r>
        <w:rPr>
          <w:sz w:val="20"/>
        </w:rPr>
        <w:t xml:space="preserve">Новосибирской области и фонд пространственных</w:t>
      </w:r>
    </w:p>
    <w:p>
      <w:pPr>
        <w:pStyle w:val="2"/>
        <w:jc w:val="center"/>
      </w:pPr>
      <w:r>
        <w:rPr>
          <w:sz w:val="20"/>
        </w:rPr>
        <w:t xml:space="preserve">данных Новосибирской области"</w:t>
      </w:r>
    </w:p>
    <w:p>
      <w:pPr>
        <w:pStyle w:val="0"/>
        <w:ind w:firstLine="540"/>
        <w:jc w:val="both"/>
      </w:pPr>
      <w:r>
        <w:rPr>
          <w:sz w:val="20"/>
        </w:rPr>
      </w:r>
    </w:p>
    <w:p>
      <w:pPr>
        <w:pStyle w:val="0"/>
        <w:ind w:firstLine="540"/>
        <w:jc w:val="both"/>
      </w:pPr>
      <w:r>
        <w:rPr>
          <w:sz w:val="20"/>
        </w:rPr>
        <w:t xml:space="preserve">8. Субсидии предоставляются в целях софинансирования муниципальных районов и городских округов Новосибирской области на реализацию мероприятия по подготовке градостроительной документации или внесению в нее изменений в рамках полномочий муниципальных районов и городских округов Новосибирской области.</w:t>
      </w:r>
    </w:p>
    <w:p>
      <w:pPr>
        <w:pStyle w:val="0"/>
        <w:spacing w:before="200" w:line-rule="auto"/>
        <w:ind w:firstLine="540"/>
        <w:jc w:val="both"/>
      </w:pPr>
      <w:r>
        <w:rPr>
          <w:sz w:val="20"/>
        </w:rPr>
        <w:t xml:space="preserve">9. Субсидии предоставляются муниципальным районам и городским округам Новосибирской области при соблюдении не менее одного из следующих условий для каждого из документов территориального планирования, градостроительного зонирования, документации по планировке территории:</w:t>
      </w:r>
    </w:p>
    <w:p>
      <w:pPr>
        <w:pStyle w:val="0"/>
        <w:spacing w:before="200" w:line-rule="auto"/>
        <w:ind w:firstLine="540"/>
        <w:jc w:val="both"/>
      </w:pPr>
      <w:r>
        <w:rPr>
          <w:sz w:val="20"/>
        </w:rPr>
        <w:t xml:space="preserve">1) объем финансирования за счет средств областного бюджета не превышает предельный уровень софинансирования Новосибирской областью объема расходных обязательств муниципальных образований Новосибирской области, установленный в соответствии с </w:t>
      </w:r>
      <w:hyperlink w:history="0" r:id="rId847" w:tooltip="Постановление Правительства Новосибирской области от 03.03.2020 N 40-п (ред. от 27.02.2023) &quot;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pPr>
        <w:pStyle w:val="0"/>
        <w:jc w:val="both"/>
      </w:pPr>
      <w:r>
        <w:rPr>
          <w:sz w:val="20"/>
        </w:rPr>
        <w:t xml:space="preserve">(пп. 1 в ред. </w:t>
      </w:r>
      <w:hyperlink w:history="0" r:id="rId848"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29.12.2022 N 652-п)</w:t>
      </w:r>
    </w:p>
    <w:p>
      <w:pPr>
        <w:pStyle w:val="0"/>
        <w:spacing w:before="200" w:line-rule="auto"/>
        <w:ind w:firstLine="540"/>
        <w:jc w:val="both"/>
      </w:pPr>
      <w:r>
        <w:rPr>
          <w:sz w:val="20"/>
        </w:rPr>
        <w:t xml:space="preserve">2) в границах муниципального района (городского округа) расположен объект федерального значения, предусмотренный документами стратегического планирования Российской Федерации, отображение которого необходимо в документах территориального планирования муниципального района (городского округа);</w:t>
      </w:r>
    </w:p>
    <w:p>
      <w:pPr>
        <w:pStyle w:val="0"/>
        <w:spacing w:before="200" w:line-rule="auto"/>
        <w:ind w:firstLine="540"/>
        <w:jc w:val="both"/>
      </w:pPr>
      <w:r>
        <w:rPr>
          <w:sz w:val="20"/>
        </w:rPr>
        <w:t xml:space="preserve">3) существует необходимость отображения и/или утверждения в документе территориального планирования муниципального района (городского округа) Новосибирской области объекта регионального значения или объекта местного значения, создание которого предусмотрено программами, реализуемыми за счет средств областного бюджета Новосибирской области, бюджетов муниципальных районов и городских округов Новосибирской области, нормативными правовыми актами органов государственной власти, органов местного самоуправления муниципальных районов и городских округов Новосибирской области, инвестиционными программами субъектов естественных монополий, организаций коммунального комплекса;</w:t>
      </w:r>
    </w:p>
    <w:p>
      <w:pPr>
        <w:pStyle w:val="0"/>
        <w:spacing w:before="200" w:line-rule="auto"/>
        <w:ind w:firstLine="540"/>
        <w:jc w:val="both"/>
      </w:pPr>
      <w:r>
        <w:rPr>
          <w:sz w:val="20"/>
        </w:rPr>
        <w:t xml:space="preserve">4) отсутствуют утвержденные документы территориального планирования муниципальных районов и городских округов или имеются документы территориального планирования муниципальных районов и городских округов, по структуре и содержанию не соответствующие требованиям Градостроительного </w:t>
      </w:r>
      <w:hyperlink w:history="0" r:id="rId849" w:tooltip="&quot;Градостроительный кодекс Российской Федерации&quot; от 29.12.2004 N 190-ФЗ (ред. от 29.12.2022) {КонсультантПлюс}">
        <w:r>
          <w:rPr>
            <w:sz w:val="20"/>
            <w:color w:val="0000ff"/>
          </w:rPr>
          <w:t xml:space="preserve">кодекса</w:t>
        </w:r>
      </w:hyperlink>
      <w:r>
        <w:rPr>
          <w:sz w:val="20"/>
        </w:rPr>
        <w:t xml:space="preserve"> Российской Федерации и утвержденным решениям по размещению объектов регионального значения Новосибирской области, объектов местного значения муниципальных районов Новосибирской области в Схемах территориального планирования Новосибирской области, Схемах территориального планирования муниципальных районов Новосибирской области;</w:t>
      </w:r>
    </w:p>
    <w:p>
      <w:pPr>
        <w:pStyle w:val="0"/>
        <w:spacing w:before="200" w:line-rule="auto"/>
        <w:ind w:firstLine="540"/>
        <w:jc w:val="both"/>
      </w:pPr>
      <w:r>
        <w:rPr>
          <w:sz w:val="20"/>
        </w:rPr>
        <w:t xml:space="preserve">5) имеется заключение министерства о несоответствии документа территориального планирования и (или) правил землепользования и застройки и (или) документации по планировке территорий муниципального района (городского округа) требованиям действующего законодательства;</w:t>
      </w:r>
    </w:p>
    <w:p>
      <w:pPr>
        <w:pStyle w:val="0"/>
        <w:spacing w:before="200" w:line-rule="auto"/>
        <w:ind w:firstLine="540"/>
        <w:jc w:val="both"/>
      </w:pPr>
      <w:r>
        <w:rPr>
          <w:sz w:val="20"/>
        </w:rPr>
        <w:t xml:space="preserve">6) имеется документальное подтверждение необходимости размещения в границах проектируемой территории объекта местного значения, создание которого предусмотрено программами, реализуемыми за счет средств областного бюджета Новосибирской области, бюджетов муниципальных районов и городских округов Новосибирской области, нормативными правовыми актами органов государственной власти, органов местного самоуправления муниципальных районов и городских округов Новосибирской области, инвестиционными программами субъектов естественных монополий, организаций коммунального комплекса;</w:t>
      </w:r>
    </w:p>
    <w:p>
      <w:pPr>
        <w:pStyle w:val="0"/>
        <w:spacing w:before="200" w:line-rule="auto"/>
        <w:ind w:firstLine="540"/>
        <w:jc w:val="both"/>
      </w:pPr>
      <w:r>
        <w:rPr>
          <w:sz w:val="20"/>
        </w:rPr>
        <w:t xml:space="preserve">7) доля населенных пунктов муниципального образования, сведения о границах которых внесены в Единый государственный реестр недвижимости, составляет менее 50%;</w:t>
      </w:r>
    </w:p>
    <w:p>
      <w:pPr>
        <w:pStyle w:val="0"/>
        <w:jc w:val="both"/>
      </w:pPr>
      <w:r>
        <w:rPr>
          <w:sz w:val="20"/>
        </w:rPr>
        <w:t xml:space="preserve">(пп. 7 введен </w:t>
      </w:r>
      <w:hyperlink w:history="0" r:id="rId850"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15.03.2022 N 82-п)</w:t>
      </w:r>
    </w:p>
    <w:p>
      <w:pPr>
        <w:pStyle w:val="0"/>
        <w:spacing w:before="200" w:line-rule="auto"/>
        <w:ind w:firstLine="540"/>
        <w:jc w:val="both"/>
      </w:pPr>
      <w:r>
        <w:rPr>
          <w:sz w:val="20"/>
        </w:rPr>
        <w:t xml:space="preserve">8) доля территориальных зон Правил землепользования и застройки муниципального образования, сведения о границах которых внесены в Единый государственный реестр недвижимости, составляет менее 30%.</w:t>
      </w:r>
    </w:p>
    <w:p>
      <w:pPr>
        <w:pStyle w:val="0"/>
        <w:jc w:val="both"/>
      </w:pPr>
      <w:r>
        <w:rPr>
          <w:sz w:val="20"/>
        </w:rPr>
        <w:t xml:space="preserve">(пп. 8 введен </w:t>
      </w:r>
      <w:hyperlink w:history="0" r:id="rId851"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15.03.2022 N 82-п)</w:t>
      </w:r>
    </w:p>
    <w:p>
      <w:pPr>
        <w:pStyle w:val="0"/>
        <w:spacing w:before="200" w:line-rule="auto"/>
        <w:ind w:firstLine="540"/>
        <w:jc w:val="both"/>
      </w:pPr>
      <w:r>
        <w:rPr>
          <w:sz w:val="20"/>
        </w:rPr>
        <w:t xml:space="preserve">10. Порядок (методика) распределения субсидий между местными бюджетами:</w:t>
      </w:r>
    </w:p>
    <w:p>
      <w:pPr>
        <w:pStyle w:val="0"/>
        <w:spacing w:before="200" w:line-rule="auto"/>
        <w:ind w:firstLine="540"/>
        <w:jc w:val="both"/>
      </w:pPr>
      <w:r>
        <w:rPr>
          <w:sz w:val="20"/>
        </w:rPr>
        <w:t xml:space="preserve">1) распределение субсидий по муниципальным районам и городским округам Новосибирской области на подготовку градостроительной документации или внесение в нее изменений в рамках полномочий муниципальных районов и городских округов Новосибирской области,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 и подготовку документации по планировке территории осуществляется на основе отбора муниципальных районов и городских округов комиссией министерства, которая определяет очередность в соответствии с </w:t>
      </w:r>
      <w:hyperlink w:history="0" r:id="rId852" w:tooltip="Постановление Правительства Новосибирской области от 27.12.2017 N 466-п (ред. от 21.12.2021) &quot;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quot; {КонсультантПлюс}">
        <w:r>
          <w:rPr>
            <w:sz w:val="20"/>
            <w:color w:val="0000ff"/>
          </w:rPr>
          <w:t xml:space="preserve">Методикой</w:t>
        </w:r>
      </w:hyperlink>
      <w:r>
        <w:rPr>
          <w:sz w:val="20"/>
        </w:rPr>
        <w:t xml:space="preserve"> оценки преимуществ заявок получателей субсидии по каждому из проектов (приложение N 4 к постановлению Правительства Новосибирской области от 27.12.2017 N 466-п "Об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 Субсидия предоставляется на проекты, которые прошли отбор по всем критериям. Критерии имеют балльную систему оценки;</w:t>
      </w:r>
    </w:p>
    <w:p>
      <w:pPr>
        <w:pStyle w:val="0"/>
        <w:spacing w:before="200" w:line-rule="auto"/>
        <w:ind w:firstLine="540"/>
        <w:jc w:val="both"/>
      </w:pPr>
      <w:r>
        <w:rPr>
          <w:sz w:val="20"/>
        </w:rPr>
        <w:t xml:space="preserve">2) размер субсидии определяется на основании заявки муниципального района (городского округа) Новосибирской области на участие в отборе для получения субсидии на градостроительную подготовку территорий Новосибирской области, объем которой соответствует сметной стоимости проектов документов, подготовка которых планируется с учетом долевого софинансирования за счет средств местного бюджета муниципального района (городского округа) Новосибирской области;</w:t>
      </w:r>
    </w:p>
    <w:p>
      <w:pPr>
        <w:pStyle w:val="0"/>
        <w:spacing w:before="200" w:line-rule="auto"/>
        <w:ind w:firstLine="540"/>
        <w:jc w:val="both"/>
      </w:pPr>
      <w:r>
        <w:rPr>
          <w:sz w:val="20"/>
        </w:rPr>
        <w:t xml:space="preserve">3) результатом отбора является перечень муниципальных районов и городских округов Новосибирской области, ранжированный по очередности предоставления субсидий по каждому из проектов с указанием количества баллов, присужденных заявкам получателей субсидии по каждому из проектов по критериям оценки в порядке снижения значения общего количества баллов;</w:t>
      </w:r>
    </w:p>
    <w:p>
      <w:pPr>
        <w:pStyle w:val="0"/>
        <w:spacing w:before="200" w:line-rule="auto"/>
        <w:ind w:firstLine="540"/>
        <w:jc w:val="both"/>
      </w:pPr>
      <w:r>
        <w:rPr>
          <w:sz w:val="20"/>
        </w:rPr>
        <w:t xml:space="preserve">4) при условии, если часть выделенных средств оказалась невостребованной муниципальными районами и городскими округами Новосибирской области и (или) при увеличении бюджетных ассигнований, предусмотренных законом Новосибирской области об областном бюджете Новосибирской области на соответствующий год и на плановый период на градостроительную подготовку территорий Новосибирской области, министерство организует проведение дополнительного отбора.</w:t>
      </w:r>
    </w:p>
    <w:p>
      <w:pPr>
        <w:pStyle w:val="0"/>
        <w:spacing w:before="200" w:line-rule="auto"/>
        <w:ind w:firstLine="540"/>
        <w:jc w:val="both"/>
      </w:pPr>
      <w:r>
        <w:rPr>
          <w:sz w:val="20"/>
        </w:rPr>
        <w:t xml:space="preserve">11. Критерии отбора муниципальных районов и городских округов Новосибирской области для предоставления субсидий местным бюджетам:</w:t>
      </w:r>
    </w:p>
    <w:p>
      <w:pPr>
        <w:pStyle w:val="0"/>
        <w:spacing w:before="200" w:line-rule="auto"/>
        <w:ind w:firstLine="540"/>
        <w:jc w:val="both"/>
      </w:pPr>
      <w:r>
        <w:rPr>
          <w:sz w:val="20"/>
        </w:rPr>
        <w:t xml:space="preserve">1) в границах муниципального района (городского округа) расположен объект федерального значения, предусмотренный документами стратегического планирования Российской Федерации, отображение которого необходимо в документах территориального планирования муниципального района (городского округа);</w:t>
      </w:r>
    </w:p>
    <w:p>
      <w:pPr>
        <w:pStyle w:val="0"/>
        <w:spacing w:before="200" w:line-rule="auto"/>
        <w:ind w:firstLine="540"/>
        <w:jc w:val="both"/>
      </w:pPr>
      <w:r>
        <w:rPr>
          <w:sz w:val="20"/>
        </w:rPr>
        <w:t xml:space="preserve">2) в границах муниципального района (городского округа) Новосибирской области расположен объект регионального значения, создание которого предусмотрено программами, реализуемыми за счет средств областного бюджета Новосибирской области;</w:t>
      </w:r>
    </w:p>
    <w:p>
      <w:pPr>
        <w:pStyle w:val="0"/>
        <w:spacing w:before="200" w:line-rule="auto"/>
        <w:ind w:firstLine="540"/>
        <w:jc w:val="both"/>
      </w:pPr>
      <w:r>
        <w:rPr>
          <w:sz w:val="20"/>
        </w:rPr>
        <w:t xml:space="preserve">3) в границах муниципального района (городского округа) Новосибирской области расположен объект местного значения, создание которого предусмотрено программами, реализуемыми за счет средств областного бюджета Новосибирской области, бюджетов муниципальных районов (городских округов) Новосибирской области, нормативными правовыми актами органов государственной власти Новосибирской области, органов местного самоуправления муниципальных районов и городских округов Новосибирской области, инвестиционными программами субъектов естественных монополий, организаций коммунального комплекса;</w:t>
      </w:r>
    </w:p>
    <w:p>
      <w:pPr>
        <w:pStyle w:val="0"/>
        <w:spacing w:before="200" w:line-rule="auto"/>
        <w:ind w:firstLine="540"/>
        <w:jc w:val="both"/>
      </w:pPr>
      <w:r>
        <w:rPr>
          <w:sz w:val="20"/>
        </w:rPr>
        <w:t xml:space="preserve">4) наличие территории (территорий), в отношении которой (которых) принято решение о комплексном развитии территории;</w:t>
      </w:r>
    </w:p>
    <w:p>
      <w:pPr>
        <w:pStyle w:val="0"/>
        <w:jc w:val="both"/>
      </w:pPr>
      <w:r>
        <w:rPr>
          <w:sz w:val="20"/>
        </w:rPr>
        <w:t xml:space="preserve">(пп. 4 в ред. </w:t>
      </w:r>
      <w:hyperlink w:history="0" r:id="rId853"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15.03.2022 N 82-п)</w:t>
      </w:r>
    </w:p>
    <w:p>
      <w:pPr>
        <w:pStyle w:val="0"/>
        <w:spacing w:before="200" w:line-rule="auto"/>
        <w:ind w:firstLine="540"/>
        <w:jc w:val="both"/>
      </w:pPr>
      <w:r>
        <w:rPr>
          <w:sz w:val="20"/>
        </w:rPr>
        <w:t xml:space="preserve">5) - 6) утратили силу. - </w:t>
      </w:r>
      <w:hyperlink w:history="0" r:id="rId854"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15.03.2022 N 82-п;</w:t>
      </w:r>
    </w:p>
    <w:p>
      <w:pPr>
        <w:pStyle w:val="0"/>
        <w:spacing w:before="200" w:line-rule="auto"/>
        <w:ind w:firstLine="540"/>
        <w:jc w:val="both"/>
      </w:pPr>
      <w:r>
        <w:rPr>
          <w:sz w:val="20"/>
        </w:rPr>
        <w:t xml:space="preserve">7) наличие заключения министерства о несоответствии документа территориального планирования, и (или) документа градостроительного зонирования, и (или) документа по планировке территории муниципального района (городского округа) требованиям действующего законодательства;</w:t>
      </w:r>
    </w:p>
    <w:p>
      <w:pPr>
        <w:pStyle w:val="0"/>
        <w:spacing w:before="200" w:line-rule="auto"/>
        <w:ind w:firstLine="540"/>
        <w:jc w:val="both"/>
      </w:pPr>
      <w:r>
        <w:rPr>
          <w:sz w:val="20"/>
        </w:rPr>
        <w:t xml:space="preserve">8) наличие утвержденной комплексной программы социально-экономического развития муниципального района (городского округа);</w:t>
      </w:r>
    </w:p>
    <w:p>
      <w:pPr>
        <w:pStyle w:val="0"/>
        <w:spacing w:before="200" w:line-rule="auto"/>
        <w:ind w:firstLine="540"/>
        <w:jc w:val="both"/>
      </w:pPr>
      <w:r>
        <w:rPr>
          <w:sz w:val="20"/>
        </w:rPr>
        <w:t xml:space="preserve">9) наличие утвержденной стратегии социально-экономического развития муниципального района (городского округа);</w:t>
      </w:r>
    </w:p>
    <w:p>
      <w:pPr>
        <w:pStyle w:val="0"/>
        <w:spacing w:before="200" w:line-rule="auto"/>
        <w:ind w:firstLine="540"/>
        <w:jc w:val="both"/>
      </w:pPr>
      <w:r>
        <w:rPr>
          <w:sz w:val="20"/>
        </w:rPr>
        <w:t xml:space="preserve">10) наличие правового акта о предоставлении земельного участка в аренду без проведения торгов в соответствии с </w:t>
      </w:r>
      <w:hyperlink w:history="0" r:id="rId855" w:tooltip="&quot;Земельный кодекс Российской Федерации&quot; от 25.10.2001 N 136-ФЗ (ред. от 03.04.2023) {КонсультантПлюс}">
        <w:r>
          <w:rPr>
            <w:sz w:val="20"/>
            <w:color w:val="0000ff"/>
          </w:rPr>
          <w:t xml:space="preserve">подпунктами 1</w:t>
        </w:r>
      </w:hyperlink>
      <w:r>
        <w:rPr>
          <w:sz w:val="20"/>
        </w:rPr>
        <w:t xml:space="preserve"> - </w:t>
      </w:r>
      <w:hyperlink w:history="0" r:id="rId856" w:tooltip="&quot;Земельный кодекс Российской Федерации&quot; от 25.10.2001 N 136-ФЗ (ред. от 03.04.2023) {КонсультантПлюс}">
        <w:r>
          <w:rPr>
            <w:sz w:val="20"/>
            <w:color w:val="0000ff"/>
          </w:rPr>
          <w:t xml:space="preserve">3 пункта 2 статьи 39.6</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12. Условием расходования субсидии является ее расходование на долевое финансирование работ на разработку документов территориального планирования, градостроительного зонирования и подготовку документации по планировке территории.</w:t>
      </w:r>
    </w:p>
    <w:p>
      <w:pPr>
        <w:pStyle w:val="0"/>
        <w:spacing w:before="200" w:line-rule="auto"/>
        <w:ind w:firstLine="540"/>
        <w:jc w:val="both"/>
      </w:pPr>
      <w:r>
        <w:rPr>
          <w:sz w:val="20"/>
        </w:rPr>
        <w:t xml:space="preserve">13. Результатами использования субсидии являются:</w:t>
      </w:r>
    </w:p>
    <w:p>
      <w:pPr>
        <w:pStyle w:val="0"/>
        <w:spacing w:before="200" w:line-rule="auto"/>
        <w:ind w:firstLine="540"/>
        <w:jc w:val="both"/>
      </w:pPr>
      <w:r>
        <w:rPr>
          <w:sz w:val="20"/>
        </w:rPr>
        <w:t xml:space="preserve">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планирования либо внесены изменения в документы территориального планирования;</w:t>
      </w:r>
    </w:p>
    <w:p>
      <w:pPr>
        <w:pStyle w:val="0"/>
        <w:spacing w:before="200" w:line-rule="auto"/>
        <w:ind w:firstLine="540"/>
        <w:jc w:val="both"/>
      </w:pPr>
      <w:r>
        <w:rPr>
          <w:sz w:val="20"/>
        </w:rPr>
        <w:t xml:space="preserve">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w:t>
      </w:r>
    </w:p>
    <w:p>
      <w:pPr>
        <w:pStyle w:val="0"/>
        <w:spacing w:before="200" w:line-rule="auto"/>
        <w:ind w:firstLine="540"/>
        <w:jc w:val="both"/>
      </w:pPr>
      <w:r>
        <w:rPr>
          <w:sz w:val="20"/>
        </w:rPr>
        <w:t xml:space="preserve">14. Заявка и перечень документов, предоставляемые муниципальными районами и городскими округами Новосибирской области, порядки и сроки их рассмотрения, сроки предоставления заявок, порядки принятия решения, сроки и порядки заключения соглашений, сроки перечислений субсидий утверждены в </w:t>
      </w:r>
      <w:hyperlink w:history="0" r:id="rId857" w:tooltip="Постановление Правительства Новосибирской области от 27.12.2017 N 466-п (ред. от 21.12.2021) &quot;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quot; {КонсультантПлюс}">
        <w:r>
          <w:rPr>
            <w:sz w:val="20"/>
            <w:color w:val="0000ff"/>
          </w:rPr>
          <w:t xml:space="preserve">постановлении</w:t>
        </w:r>
      </w:hyperlink>
      <w:r>
        <w:rPr>
          <w:sz w:val="20"/>
        </w:rPr>
        <w:t xml:space="preserve"> Правительства Новосибирской области от 27.12.2017 N 466-п "Об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w:t>
      </w:r>
    </w:p>
    <w:p>
      <w:pPr>
        <w:pStyle w:val="0"/>
        <w:ind w:firstLine="540"/>
        <w:jc w:val="both"/>
      </w:pPr>
      <w:r>
        <w:rPr>
          <w:sz w:val="20"/>
        </w:rPr>
      </w:r>
    </w:p>
    <w:p>
      <w:pPr>
        <w:pStyle w:val="2"/>
        <w:outlineLvl w:val="2"/>
        <w:jc w:val="center"/>
      </w:pPr>
      <w:r>
        <w:rPr>
          <w:sz w:val="20"/>
        </w:rPr>
        <w:t xml:space="preserve">III. Порядок предоставления и распределения субсидий</w:t>
      </w:r>
    </w:p>
    <w:p>
      <w:pPr>
        <w:pStyle w:val="2"/>
        <w:jc w:val="center"/>
      </w:pPr>
      <w:r>
        <w:rPr>
          <w:sz w:val="20"/>
        </w:rPr>
        <w:t xml:space="preserve">из областного бюджета Новосибирской области местным бюджетам</w:t>
      </w:r>
    </w:p>
    <w:p>
      <w:pPr>
        <w:pStyle w:val="2"/>
        <w:jc w:val="center"/>
      </w:pPr>
      <w:r>
        <w:rPr>
          <w:sz w:val="20"/>
        </w:rPr>
        <w:t xml:space="preserve">Новосибирской области на реализацию мероприятий в рамках</w:t>
      </w:r>
    </w:p>
    <w:p>
      <w:pPr>
        <w:pStyle w:val="2"/>
        <w:jc w:val="center"/>
      </w:pPr>
      <w:r>
        <w:rPr>
          <w:sz w:val="20"/>
        </w:rPr>
        <w:t xml:space="preserve">подпрограммы "Земельные ресурсы и инфраструктура"</w:t>
      </w:r>
    </w:p>
    <w:p>
      <w:pPr>
        <w:pStyle w:val="0"/>
        <w:ind w:firstLine="540"/>
        <w:jc w:val="both"/>
      </w:pPr>
      <w:r>
        <w:rPr>
          <w:sz w:val="20"/>
        </w:rPr>
      </w:r>
    </w:p>
    <w:p>
      <w:pPr>
        <w:pStyle w:val="0"/>
        <w:ind w:firstLine="540"/>
        <w:jc w:val="both"/>
      </w:pPr>
      <w:r>
        <w:rPr>
          <w:sz w:val="20"/>
        </w:rPr>
        <w:t xml:space="preserve">15. Субсидии предоставляются в целях софинансирования муниципальных районов и городских округов Новосибирской области на реализацию мероприятий по инженерному обустройству площадок комплексной застройки территории Новосибирской области.</w:t>
      </w:r>
    </w:p>
    <w:p>
      <w:pPr>
        <w:pStyle w:val="0"/>
        <w:spacing w:before="200" w:line-rule="auto"/>
        <w:ind w:firstLine="540"/>
        <w:jc w:val="both"/>
      </w:pPr>
      <w:r>
        <w:rPr>
          <w:sz w:val="20"/>
        </w:rPr>
        <w:t xml:space="preserve">16. Субсидии предоставляются на следующих условиях:</w:t>
      </w:r>
    </w:p>
    <w:p>
      <w:pPr>
        <w:pStyle w:val="0"/>
        <w:spacing w:before="200" w:line-rule="auto"/>
        <w:ind w:firstLine="540"/>
        <w:jc w:val="both"/>
      </w:pPr>
      <w:r>
        <w:rPr>
          <w:sz w:val="20"/>
        </w:rPr>
        <w:t xml:space="preserve">1) соответствие критериям отбора муниципальных районов и городских округов Новосибирской области для предоставления субсидий на инженерное обустройство площадок комплексной застройки Новосибирской области, установленным </w:t>
      </w:r>
      <w:hyperlink w:history="0" r:id="rId858" w:tooltip="Постановление Правительства Новосибирской области от 21.06.2011 N 265-п (ред. от 19.06.2018) &quot;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21.06.2011 N 265-п "Об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w:t>
      </w:r>
    </w:p>
    <w:p>
      <w:pPr>
        <w:pStyle w:val="0"/>
        <w:spacing w:before="200" w:line-rule="auto"/>
        <w:ind w:firstLine="540"/>
        <w:jc w:val="both"/>
      </w:pPr>
      <w:r>
        <w:rPr>
          <w:sz w:val="20"/>
        </w:rPr>
        <w:t xml:space="preserve">2) земельные участки, зарезервированные для бесплатного однократного предоставления в собственность граждан, имеющих трех и более детей, и не востребованные в течение двух лет, используются муниципальным районом (городским округом) для предоставления иным категориям граждан в порядке, определенном действующим законодательством;</w:t>
      </w:r>
    </w:p>
    <w:p>
      <w:pPr>
        <w:pStyle w:val="0"/>
        <w:spacing w:before="200" w:line-rule="auto"/>
        <w:ind w:firstLine="540"/>
        <w:jc w:val="both"/>
      </w:pPr>
      <w:r>
        <w:rPr>
          <w:sz w:val="20"/>
        </w:rPr>
        <w:t xml:space="preserve">3) доля финансирования за счет средств областного бюджета не превышает предельный уровень софинансирования Новосибирской областью объема расходных обязательств муниципальных образований Новосибирской области, установленный в соответствии с </w:t>
      </w:r>
      <w:hyperlink w:history="0" r:id="rId859" w:tooltip="Постановление Правительства Новосибирской области от 03.03.2020 N 40-п (ред. от 27.02.2023) &quot;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pPr>
        <w:pStyle w:val="0"/>
        <w:jc w:val="both"/>
      </w:pPr>
      <w:r>
        <w:rPr>
          <w:sz w:val="20"/>
        </w:rPr>
        <w:t xml:space="preserve">(пп. 3 в ред. </w:t>
      </w:r>
      <w:hyperlink w:history="0" r:id="rId860"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29.12.2022 N 652-п)</w:t>
      </w:r>
    </w:p>
    <w:p>
      <w:pPr>
        <w:pStyle w:val="0"/>
        <w:spacing w:before="200" w:line-rule="auto"/>
        <w:ind w:firstLine="540"/>
        <w:jc w:val="both"/>
      </w:pPr>
      <w:r>
        <w:rPr>
          <w:sz w:val="20"/>
        </w:rPr>
        <w:t xml:space="preserve">17. Порядок (методика) распределения субсидий между местными бюджетами:</w:t>
      </w:r>
    </w:p>
    <w:p>
      <w:pPr>
        <w:pStyle w:val="0"/>
        <w:spacing w:before="200" w:line-rule="auto"/>
        <w:ind w:firstLine="540"/>
        <w:jc w:val="both"/>
      </w:pPr>
      <w:r>
        <w:rPr>
          <w:sz w:val="20"/>
        </w:rPr>
        <w:t xml:space="preserve">1) распределение субсидий по муниципальным районам и городским округам Новосибирской области на инженерное обустройство площадок комплексной застройки осуществляется на основе отбора в соответствии с </w:t>
      </w:r>
      <w:hyperlink w:history="0" r:id="rId861" w:tooltip="Постановление Правительства Новосибирской области от 21.06.2011 N 265-п (ред. от 19.06.2018) &quot;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quot; {КонсультантПлюс}">
        <w:r>
          <w:rPr>
            <w:sz w:val="20"/>
            <w:color w:val="0000ff"/>
          </w:rPr>
          <w:t xml:space="preserve">Порядком</w:t>
        </w:r>
      </w:hyperlink>
      <w:r>
        <w:rPr>
          <w:sz w:val="20"/>
        </w:rPr>
        <w:t xml:space="preserve"> и требованиями, установленными постановлением Правительства Новосибирской области от 21.06.2011 N 265-п "Об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 (далее - Порядок отбора), с учетом оценки преимуществ заявок получателей субсидии, определенной </w:t>
      </w:r>
      <w:hyperlink w:history="0" r:id="rId862" w:tooltip="Постановление Правительства Новосибирской области от 21.06.2011 N 265-п (ред. от 19.06.2018) &quot;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quot; {КонсультантПлюс}">
        <w:r>
          <w:rPr>
            <w:sz w:val="20"/>
            <w:color w:val="0000ff"/>
          </w:rPr>
          <w:t xml:space="preserve">Методикой</w:t>
        </w:r>
      </w:hyperlink>
      <w:r>
        <w:rPr>
          <w:sz w:val="20"/>
        </w:rPr>
        <w:t xml:space="preserve"> оценки преимуществ заявок получателей субсидии (приложение N 4 к Порядку отбора), и в пределах бюджетных ассигнований, утвержденных законом Новосибирской области об областном бюджете Новосибирской области на текущий финансовый год и плановый период, по мероприятиям </w:t>
      </w:r>
      <w:hyperlink w:history="0" w:anchor="P6143" w:tooltip="Подпрограмма">
        <w:r>
          <w:rPr>
            <w:sz w:val="20"/>
            <w:color w:val="0000ff"/>
          </w:rPr>
          <w:t xml:space="preserve">подпрограммы</w:t>
        </w:r>
      </w:hyperlink>
      <w:r>
        <w:rPr>
          <w:sz w:val="20"/>
        </w:rPr>
        <w:t xml:space="preserve"> "Земельные ресурсы и инфраструктура";</w:t>
      </w:r>
    </w:p>
    <w:p>
      <w:pPr>
        <w:pStyle w:val="0"/>
        <w:spacing w:before="200" w:line-rule="auto"/>
        <w:ind w:firstLine="540"/>
        <w:jc w:val="both"/>
      </w:pPr>
      <w:r>
        <w:rPr>
          <w:sz w:val="20"/>
        </w:rPr>
        <w:t xml:space="preserve">2) размер субсидии определяется на основании заявки муниципального района (городского округа) Новосибирской области на участие в отборе для получения субсидии на инженерное обустройство площадок комплексной застройки, объем которой соответствует сметной стоимости объекта инженерного обустройства с учетом долевого софинансирования за счет средств местного бюджета муниципального района (городского округа) Новосибирской области.</w:t>
      </w:r>
    </w:p>
    <w:p>
      <w:pPr>
        <w:pStyle w:val="0"/>
        <w:spacing w:before="200" w:line-rule="auto"/>
        <w:ind w:firstLine="540"/>
        <w:jc w:val="both"/>
      </w:pPr>
      <w:r>
        <w:rPr>
          <w:sz w:val="20"/>
        </w:rPr>
        <w:t xml:space="preserve">18. Критерии отбора муниципальных районов и городских округов Новосибирской области для предоставления субсидий местным бюджетам:</w:t>
      </w:r>
    </w:p>
    <w:p>
      <w:pPr>
        <w:pStyle w:val="0"/>
        <w:spacing w:before="200" w:line-rule="auto"/>
        <w:ind w:firstLine="540"/>
        <w:jc w:val="both"/>
      </w:pPr>
      <w:r>
        <w:rPr>
          <w:sz w:val="20"/>
        </w:rPr>
        <w:t xml:space="preserve">1) наличие документации по планировке территорий, предназначенных для комплексной застройки в рамках реализации проекта, утвержденной главой местной администрации;</w:t>
      </w:r>
    </w:p>
    <w:p>
      <w:pPr>
        <w:pStyle w:val="0"/>
        <w:spacing w:before="200" w:line-rule="auto"/>
        <w:ind w:firstLine="540"/>
        <w:jc w:val="both"/>
      </w:pPr>
      <w:r>
        <w:rPr>
          <w:sz w:val="20"/>
        </w:rPr>
        <w:t xml:space="preserve">2) наличие проектно-сметной документации на объект инженерной инфраструктуры с положительным заключением государственной экспертизы проектной документации и положительным заключением о проверке достоверности определения сметной стоимости строительства, реконструкции, капитального ремонта объектов капитального строительства;</w:t>
      </w:r>
    </w:p>
    <w:p>
      <w:pPr>
        <w:pStyle w:val="0"/>
        <w:spacing w:before="200" w:line-rule="auto"/>
        <w:ind w:firstLine="540"/>
        <w:jc w:val="both"/>
      </w:pPr>
      <w:r>
        <w:rPr>
          <w:sz w:val="20"/>
        </w:rPr>
        <w:t xml:space="preserve">3) распределение субсидий на инженерное обустройство основывается на экономической эффективности оказания государственной поддержки. В качестве критерия принимается отношение вложенных средств областного бюджета Новосибирской области, выраженных в рублях, к объему ввода жилых помещений, количественно выраженному в квадратных метрах, которое не должно превышать 5500 руб./кв. м;</w:t>
      </w:r>
    </w:p>
    <w:p>
      <w:pPr>
        <w:pStyle w:val="0"/>
        <w:spacing w:before="200" w:line-rule="auto"/>
        <w:ind w:firstLine="540"/>
        <w:jc w:val="both"/>
      </w:pPr>
      <w:r>
        <w:rPr>
          <w:sz w:val="20"/>
        </w:rPr>
        <w:t xml:space="preserve">4) резервирование муниципальным районом (городским округом) Новосибирской области не менее 25% земельных участков в границах площадки комплексной застройки, предназначенной под индивидуальное жилищное строительство, для бесплатного однократного предоставления земельных участков в собственность многодетным семьям, состоящим на учете в качестве нуждающихся в жилых помещениях в муниципальном районе (городском округе);</w:t>
      </w:r>
    </w:p>
    <w:p>
      <w:pPr>
        <w:pStyle w:val="0"/>
        <w:spacing w:before="200" w:line-rule="auto"/>
        <w:ind w:firstLine="540"/>
        <w:jc w:val="both"/>
      </w:pPr>
      <w:r>
        <w:rPr>
          <w:sz w:val="20"/>
        </w:rPr>
        <w:t xml:space="preserve">5) выполнение обязательств прошлых лет (начиная с 2011 года), взятых муниципальным районом (городским округом) по резервированию и предоставлению земельных участков многодетным семьям.</w:t>
      </w:r>
    </w:p>
    <w:p>
      <w:pPr>
        <w:pStyle w:val="0"/>
        <w:spacing w:before="200" w:line-rule="auto"/>
        <w:ind w:firstLine="540"/>
        <w:jc w:val="both"/>
      </w:pPr>
      <w:r>
        <w:rPr>
          <w:sz w:val="20"/>
        </w:rPr>
        <w:t xml:space="preserve">19. Условия расходования субсидий:</w:t>
      </w:r>
    </w:p>
    <w:p>
      <w:pPr>
        <w:pStyle w:val="0"/>
        <w:spacing w:before="200" w:line-rule="auto"/>
        <w:ind w:firstLine="540"/>
        <w:jc w:val="both"/>
      </w:pPr>
      <w:r>
        <w:rPr>
          <w:sz w:val="20"/>
        </w:rPr>
        <w:t xml:space="preserve">1) обоснованием начальной (максимальной) цены муниципального контракта (гражданско-правового договора) является положительное заключение государственной экспертизы о достоверности определения сметной стоимости строительства, реконструкции объектов капитального строительства, осуществляемых с использованием средств областного бюджета Новосибирской области;</w:t>
      </w:r>
    </w:p>
    <w:p>
      <w:pPr>
        <w:pStyle w:val="0"/>
        <w:spacing w:before="200" w:line-rule="auto"/>
        <w:ind w:firstLine="540"/>
        <w:jc w:val="both"/>
      </w:pPr>
      <w:r>
        <w:rPr>
          <w:sz w:val="20"/>
        </w:rPr>
        <w:t xml:space="preserve">2) расходование субсидий осуществляется на долевое финансирование работ по муниципальным районам и городским округам Новосибирской области, имеющим площадки комплексной застройки, строительство которых осуществляется в соответствующем финансовом периоде.</w:t>
      </w:r>
    </w:p>
    <w:p>
      <w:pPr>
        <w:pStyle w:val="0"/>
        <w:spacing w:before="200" w:line-rule="auto"/>
        <w:ind w:firstLine="540"/>
        <w:jc w:val="both"/>
      </w:pPr>
      <w:r>
        <w:rPr>
          <w:sz w:val="20"/>
        </w:rPr>
        <w:t xml:space="preserve">20. Результатами использования субсидии являются:</w:t>
      </w:r>
    </w:p>
    <w:p>
      <w:pPr>
        <w:pStyle w:val="0"/>
        <w:spacing w:before="200" w:line-rule="auto"/>
        <w:ind w:firstLine="540"/>
        <w:jc w:val="both"/>
      </w:pPr>
      <w:r>
        <w:rPr>
          <w:sz w:val="20"/>
        </w:rPr>
        <w:t xml:space="preserve">удельный вес площади земельных участков комплексной застройки, формируемых муниципальными образованиями, по которым выполнены мероприятия по обеспечению инженерной инфраструктурой, от общей площади земельных участков комплексной застройки, формируемых муниципальными образованиями, на которых необходимо проведение работ по обеспечению инженерной инфраструктурой;</w:t>
      </w:r>
    </w:p>
    <w:p>
      <w:pPr>
        <w:pStyle w:val="0"/>
        <w:spacing w:before="200" w:line-rule="auto"/>
        <w:ind w:firstLine="540"/>
        <w:jc w:val="both"/>
      </w:pPr>
      <w:r>
        <w:rPr>
          <w:sz w:val="20"/>
        </w:rPr>
        <w:t xml:space="preserve">площадь земельных участков, по которым выполнены мероприятия по обеспечению инженерной инфраструктурой;</w:t>
      </w:r>
    </w:p>
    <w:p>
      <w:pPr>
        <w:pStyle w:val="0"/>
        <w:spacing w:before="200" w:line-rule="auto"/>
        <w:ind w:firstLine="540"/>
        <w:jc w:val="both"/>
      </w:pPr>
      <w:r>
        <w:rPr>
          <w:sz w:val="20"/>
        </w:rPr>
        <w:t xml:space="preserve">площадь жилья, ввод которого потенциально возможен в границах площадок комплексной застройки, по которым выполнены мероприятия по обеспечению инженерной инфраструктурой;</w:t>
      </w:r>
    </w:p>
    <w:p>
      <w:pPr>
        <w:pStyle w:val="0"/>
        <w:spacing w:before="200" w:line-rule="auto"/>
        <w:ind w:firstLine="540"/>
        <w:jc w:val="both"/>
      </w:pPr>
      <w:r>
        <w:rPr>
          <w:sz w:val="20"/>
        </w:rPr>
        <w:t xml:space="preserve">количество земельных участков, зарезервированных для предоставления многодетным семьям на бесплатной основе, по которым выполнены мероприятия по обеспечению инженерной инфраструктурой.</w:t>
      </w:r>
    </w:p>
    <w:p>
      <w:pPr>
        <w:pStyle w:val="0"/>
        <w:spacing w:before="200" w:line-rule="auto"/>
        <w:ind w:firstLine="540"/>
        <w:jc w:val="both"/>
      </w:pPr>
      <w:r>
        <w:rPr>
          <w:sz w:val="20"/>
        </w:rPr>
        <w:t xml:space="preserve">21. Заявка и перечень документов, предоставляемые муниципальными районами и городскими округами Новосибирской области, порядки и сроки их рассмотрения, сроки предоставления заявок, порядки принятия решения, сроки и порядки заключения соглашений, сроки перечисления субсидий утверждены </w:t>
      </w:r>
      <w:hyperlink w:history="0" r:id="rId863" w:tooltip="Постановление Правительства Новосибирской области от 21.06.2011 N 265-п (ред. от 19.06.2018) &quot;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21.06.2011 N 265-п "Об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w:t>
      </w:r>
    </w:p>
    <w:p>
      <w:pPr>
        <w:pStyle w:val="0"/>
        <w:ind w:firstLine="540"/>
        <w:jc w:val="both"/>
      </w:pPr>
      <w:r>
        <w:rPr>
          <w:sz w:val="20"/>
        </w:rPr>
      </w:r>
    </w:p>
    <w:p>
      <w:pPr>
        <w:pStyle w:val="2"/>
        <w:outlineLvl w:val="2"/>
        <w:jc w:val="center"/>
      </w:pPr>
      <w:r>
        <w:rPr>
          <w:sz w:val="20"/>
        </w:rPr>
        <w:t xml:space="preserve">IV. Порядок предоставления и распределения субсидий</w:t>
      </w:r>
    </w:p>
    <w:p>
      <w:pPr>
        <w:pStyle w:val="2"/>
        <w:jc w:val="center"/>
      </w:pPr>
      <w:r>
        <w:rPr>
          <w:sz w:val="20"/>
        </w:rPr>
        <w:t xml:space="preserve">из областного бюджета Новосибирской области местным бюджетам</w:t>
      </w:r>
    </w:p>
    <w:p>
      <w:pPr>
        <w:pStyle w:val="2"/>
        <w:jc w:val="center"/>
      </w:pPr>
      <w:r>
        <w:rPr>
          <w:sz w:val="20"/>
        </w:rPr>
        <w:t xml:space="preserve">Новосибирской области на реализацию мероприятий в рамках</w:t>
      </w:r>
    </w:p>
    <w:p>
      <w:pPr>
        <w:pStyle w:val="2"/>
        <w:jc w:val="center"/>
      </w:pPr>
      <w:r>
        <w:rPr>
          <w:sz w:val="20"/>
        </w:rPr>
        <w:t xml:space="preserve">подпрограммы "Государственная поддержка при завершении</w:t>
      </w:r>
    </w:p>
    <w:p>
      <w:pPr>
        <w:pStyle w:val="2"/>
        <w:jc w:val="center"/>
      </w:pPr>
      <w:r>
        <w:rPr>
          <w:sz w:val="20"/>
        </w:rPr>
        <w:t xml:space="preserve">строительства "проблемных" жилых домов"</w:t>
      </w:r>
    </w:p>
    <w:p>
      <w:pPr>
        <w:pStyle w:val="0"/>
        <w:ind w:firstLine="540"/>
        <w:jc w:val="both"/>
      </w:pPr>
      <w:r>
        <w:rPr>
          <w:sz w:val="20"/>
        </w:rPr>
      </w:r>
    </w:p>
    <w:p>
      <w:pPr>
        <w:pStyle w:val="0"/>
        <w:ind w:firstLine="540"/>
        <w:jc w:val="both"/>
      </w:pPr>
      <w:r>
        <w:rPr>
          <w:sz w:val="20"/>
        </w:rPr>
        <w:t xml:space="preserve">22. Субсидии предоставляются в целях:</w:t>
      </w:r>
    </w:p>
    <w:p>
      <w:pPr>
        <w:pStyle w:val="0"/>
        <w:spacing w:before="200" w:line-rule="auto"/>
        <w:ind w:firstLine="540"/>
        <w:jc w:val="both"/>
      </w:pPr>
      <w:r>
        <w:rPr>
          <w:sz w:val="20"/>
        </w:rPr>
        <w:t xml:space="preserve">софинансирования расходных обязательств муниципальных районов и городских округов Новосибирской области, связанных с реализацией муниципальных правовых актов, предусматривающих предоставление средств из местных бюджетов юридическим лицам для покрытия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w:t>
      </w:r>
    </w:p>
    <w:p>
      <w:pPr>
        <w:pStyle w:val="0"/>
        <w:spacing w:before="200" w:line-rule="auto"/>
        <w:ind w:firstLine="540"/>
        <w:jc w:val="both"/>
      </w:pPr>
      <w:r>
        <w:rPr>
          <w:sz w:val="20"/>
        </w:rPr>
        <w:t xml:space="preserve">софинансирования расходных обязательств муниципальных районов и городских округов Новосибирской области, связанных с реализацией муниципальных актов, предусматривающих предоставление средств из местных бюджетов юридическим лицам для покрытия части расходов на погашение дебиторской задолженности указанных юридических лиц по договорам технологического присоединения в отношении введенных в эксплуатацию объектов жилищного строительства.</w:t>
      </w:r>
    </w:p>
    <w:p>
      <w:pPr>
        <w:pStyle w:val="0"/>
        <w:spacing w:before="200" w:line-rule="auto"/>
        <w:ind w:firstLine="540"/>
        <w:jc w:val="both"/>
      </w:pPr>
      <w:r>
        <w:rPr>
          <w:sz w:val="20"/>
        </w:rPr>
        <w:t xml:space="preserve">23. Субсидии предоставляются на следующих условиях:</w:t>
      </w:r>
    </w:p>
    <w:p>
      <w:pPr>
        <w:pStyle w:val="0"/>
        <w:spacing w:before="200" w:line-rule="auto"/>
        <w:ind w:firstLine="540"/>
        <w:jc w:val="both"/>
      </w:pPr>
      <w:r>
        <w:rPr>
          <w:sz w:val="20"/>
        </w:rPr>
        <w:t xml:space="preserve">1) строительство объекта жилищного строительства ведется с привлечением денежных средств, вкладываемых гражданами, пострадавшими от действий недобросовестных застройщиков, сверх цены договора об участии в строительстве многоквартирного дома в целях ввода объекта жилищного строительства в эксплуатацию, рассчитанных на основе проектной документации на строительство многоквартирного дома, в том числе сметной документации, выполненной по утвержденным государственным расценкам;</w:t>
      </w:r>
    </w:p>
    <w:p>
      <w:pPr>
        <w:pStyle w:val="0"/>
        <w:spacing w:before="200" w:line-rule="auto"/>
        <w:ind w:firstLine="540"/>
        <w:jc w:val="both"/>
      </w:pPr>
      <w:r>
        <w:rPr>
          <w:sz w:val="20"/>
        </w:rPr>
        <w:t xml:space="preserve">2) наличие разрешения на строительство объекта жилищного строительства;</w:t>
      </w:r>
    </w:p>
    <w:p>
      <w:pPr>
        <w:pStyle w:val="0"/>
        <w:spacing w:before="200" w:line-rule="auto"/>
        <w:ind w:firstLine="540"/>
        <w:jc w:val="both"/>
      </w:pPr>
      <w:r>
        <w:rPr>
          <w:sz w:val="20"/>
        </w:rPr>
        <w:t xml:space="preserve">3) наличие действующих технических условий и договоров технологического присоединения (в случае предоставления субсидии для покрытия части расходов на подключение к сетям инженерно-технической инфраструктуры);</w:t>
      </w:r>
    </w:p>
    <w:p>
      <w:pPr>
        <w:pStyle w:val="0"/>
        <w:spacing w:before="200" w:line-rule="auto"/>
        <w:ind w:firstLine="540"/>
        <w:jc w:val="both"/>
      </w:pPr>
      <w:r>
        <w:rPr>
          <w:sz w:val="20"/>
        </w:rPr>
        <w:t xml:space="preserve">4) наличие проектно-сметной документации на установку лифтового оборудования и (или) выполнение работ по благоустройству придомовой территории объекта жилищного строительства (в случае предоставления субсидии для покрытия части расходов на установку лифтового оборудования и (или) выполнение работ по благоустройству придомовой территории);</w:t>
      </w:r>
    </w:p>
    <w:p>
      <w:pPr>
        <w:pStyle w:val="0"/>
        <w:spacing w:before="200" w:line-rule="auto"/>
        <w:ind w:firstLine="540"/>
        <w:jc w:val="both"/>
      </w:pPr>
      <w:r>
        <w:rPr>
          <w:sz w:val="20"/>
        </w:rPr>
        <w:t xml:space="preserve">5) доля финансирования за счет средств областного бюджета не превышает предельный уровень софинансирования Новосибирской областью объема расходных обязательств муниципальных образований Новосибирской области, установленный в соответствии с </w:t>
      </w:r>
      <w:hyperlink w:history="0" r:id="rId864" w:tooltip="Постановление Правительства Новосибирской области от 03.03.2020 N 40-п (ред. от 27.02.2023) &quot;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pPr>
        <w:pStyle w:val="0"/>
        <w:jc w:val="both"/>
      </w:pPr>
      <w:r>
        <w:rPr>
          <w:sz w:val="20"/>
        </w:rPr>
        <w:t xml:space="preserve">(пп. 5 в ред. </w:t>
      </w:r>
      <w:hyperlink w:history="0" r:id="rId865"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29.12.2022 N 652-п)</w:t>
      </w:r>
    </w:p>
    <w:bookmarkStart w:id="9375" w:name="P9375"/>
    <w:bookmarkEnd w:id="9375"/>
    <w:p>
      <w:pPr>
        <w:pStyle w:val="0"/>
        <w:spacing w:before="200" w:line-rule="auto"/>
        <w:ind w:firstLine="540"/>
        <w:jc w:val="both"/>
      </w:pPr>
      <w:r>
        <w:rPr>
          <w:sz w:val="20"/>
        </w:rPr>
        <w:t xml:space="preserve">24. Порядок (методика) распределения субсидий между местными бюджетами:</w:t>
      </w:r>
    </w:p>
    <w:p>
      <w:pPr>
        <w:pStyle w:val="0"/>
        <w:spacing w:before="200" w:line-rule="auto"/>
        <w:ind w:firstLine="540"/>
        <w:jc w:val="both"/>
      </w:pPr>
      <w:r>
        <w:rPr>
          <w:sz w:val="20"/>
        </w:rPr>
        <w:t xml:space="preserve">1) субсидии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(далее - объект жилищного строительства) в эксплуатацию и передаче гражданам жилых помещений, предоставляются бюджетам муниципальных районов и городских округов, на территории которых расположены объекты жилищного строительства;</w:t>
      </w:r>
    </w:p>
    <w:p>
      <w:pPr>
        <w:pStyle w:val="0"/>
        <w:spacing w:before="200" w:line-rule="auto"/>
        <w:ind w:firstLine="540"/>
        <w:jc w:val="both"/>
      </w:pPr>
      <w:r>
        <w:rPr>
          <w:sz w:val="20"/>
        </w:rPr>
        <w:t xml:space="preserve">2) организация и проведение отбора объектов жилищного строительства, по которым требуется покрытие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 осуществляется органами местного самоуправления муниципальных районов и городских округов, на территории которых находятся объекты жилищного строительства;</w:t>
      </w:r>
    </w:p>
    <w:p>
      <w:pPr>
        <w:pStyle w:val="0"/>
        <w:spacing w:before="200" w:line-rule="auto"/>
        <w:ind w:firstLine="540"/>
        <w:jc w:val="both"/>
      </w:pPr>
      <w:r>
        <w:rPr>
          <w:sz w:val="20"/>
        </w:rPr>
        <w:t xml:space="preserve">3) распределение лимита бюджетных ассигнований осуществляется по муниципальным районам и городским округам пропорционально сметной стоимости заявленных объектов, удовлетворяющих критериям отбора.</w:t>
      </w:r>
    </w:p>
    <w:p>
      <w:pPr>
        <w:pStyle w:val="0"/>
        <w:spacing w:before="200" w:line-rule="auto"/>
        <w:ind w:firstLine="540"/>
        <w:jc w:val="both"/>
      </w:pPr>
      <w:r>
        <w:rPr>
          <w:sz w:val="20"/>
        </w:rPr>
        <w:t xml:space="preserve">25. Условием расходования субсидий является их расходование на предоставление субсидий юридическим лицам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(далее - объект жилищного строительства) в эксплуатацию и передаче гражданам жилых помещений, которое производится в соответствии с условиями и порядком предоставления субсидий, установленными органами местного самоуправления муниципальных районов и городских округов Новосибирской области, на территории которых находятся объекты жилищного строительства.</w:t>
      </w:r>
    </w:p>
    <w:p>
      <w:pPr>
        <w:pStyle w:val="0"/>
        <w:spacing w:before="200" w:line-rule="auto"/>
        <w:ind w:firstLine="540"/>
        <w:jc w:val="both"/>
      </w:pPr>
      <w:r>
        <w:rPr>
          <w:sz w:val="20"/>
        </w:rPr>
        <w:t xml:space="preserve">26. Результатами использования субсидии являются:</w:t>
      </w:r>
    </w:p>
    <w:p>
      <w:pPr>
        <w:pStyle w:val="0"/>
        <w:spacing w:before="200" w:line-rule="auto"/>
        <w:ind w:firstLine="540"/>
        <w:jc w:val="both"/>
      </w:pPr>
      <w:r>
        <w:rPr>
          <w:sz w:val="20"/>
        </w:rPr>
        <w:t xml:space="preserve">удельный вес "проблемных" объектов, по которым выполнены мероприятия по обеспечению инженерной инфраструктурой, благоустройством придомовой территории, от общего количества "проблемных" объектов, по которым требуется обеспечение инженерной инфраструктурой, благоустройством придомовой территории;</w:t>
      </w:r>
    </w:p>
    <w:p>
      <w:pPr>
        <w:pStyle w:val="0"/>
        <w:spacing w:before="200" w:line-rule="auto"/>
        <w:ind w:firstLine="540"/>
        <w:jc w:val="both"/>
      </w:pPr>
      <w:r>
        <w:rPr>
          <w:sz w:val="20"/>
        </w:rPr>
        <w:t xml:space="preserve">количество "проблемных" объектов, введенных в эксплуатацию, из общего количества незавершенных строительством "проблемных" объектов.</w:t>
      </w:r>
    </w:p>
    <w:p>
      <w:pPr>
        <w:pStyle w:val="0"/>
        <w:ind w:firstLine="540"/>
        <w:jc w:val="both"/>
      </w:pPr>
      <w:r>
        <w:rPr>
          <w:sz w:val="20"/>
        </w:rPr>
      </w:r>
    </w:p>
    <w:p>
      <w:pPr>
        <w:pStyle w:val="2"/>
        <w:outlineLvl w:val="2"/>
        <w:jc w:val="center"/>
      </w:pPr>
      <w:r>
        <w:rPr>
          <w:sz w:val="20"/>
        </w:rPr>
        <w:t xml:space="preserve">V. Порядок предоставления и распределения субсидий</w:t>
      </w:r>
    </w:p>
    <w:p>
      <w:pPr>
        <w:pStyle w:val="2"/>
        <w:jc w:val="center"/>
      </w:pPr>
      <w:r>
        <w:rPr>
          <w:sz w:val="20"/>
        </w:rPr>
        <w:t xml:space="preserve">из областного бюджета Новосибирской области местным</w:t>
      </w:r>
    </w:p>
    <w:p>
      <w:pPr>
        <w:pStyle w:val="2"/>
        <w:jc w:val="center"/>
      </w:pPr>
      <w:r>
        <w:rPr>
          <w:sz w:val="20"/>
        </w:rPr>
        <w:t xml:space="preserve">бюджетам Новосибирской области на реализацию</w:t>
      </w:r>
    </w:p>
    <w:p>
      <w:pPr>
        <w:pStyle w:val="2"/>
        <w:jc w:val="center"/>
      </w:pPr>
      <w:r>
        <w:rPr>
          <w:sz w:val="20"/>
        </w:rPr>
        <w:t xml:space="preserve">мероприятий в рамках подпрограммы "Строительство</w:t>
      </w:r>
    </w:p>
    <w:p>
      <w:pPr>
        <w:pStyle w:val="2"/>
        <w:jc w:val="center"/>
      </w:pPr>
      <w:r>
        <w:rPr>
          <w:sz w:val="20"/>
        </w:rPr>
        <w:t xml:space="preserve">(приобретение на первичном рынке) служебного жилья</w:t>
      </w:r>
    </w:p>
    <w:p>
      <w:pPr>
        <w:pStyle w:val="2"/>
        <w:jc w:val="center"/>
      </w:pPr>
      <w:r>
        <w:rPr>
          <w:sz w:val="20"/>
        </w:rPr>
        <w:t xml:space="preserve">для отдельных категорий граждан, проживающих и работающих</w:t>
      </w:r>
    </w:p>
    <w:p>
      <w:pPr>
        <w:pStyle w:val="2"/>
        <w:jc w:val="center"/>
      </w:pPr>
      <w:r>
        <w:rPr>
          <w:sz w:val="20"/>
        </w:rPr>
        <w:t xml:space="preserve">на территории Новосибирской области"</w:t>
      </w:r>
    </w:p>
    <w:p>
      <w:pPr>
        <w:pStyle w:val="0"/>
        <w:ind w:firstLine="540"/>
        <w:jc w:val="both"/>
      </w:pPr>
      <w:r>
        <w:rPr>
          <w:sz w:val="20"/>
        </w:rPr>
      </w:r>
    </w:p>
    <w:p>
      <w:pPr>
        <w:pStyle w:val="0"/>
        <w:ind w:firstLine="540"/>
        <w:jc w:val="both"/>
      </w:pPr>
      <w:r>
        <w:rPr>
          <w:sz w:val="20"/>
        </w:rPr>
        <w:t xml:space="preserve">27. Субсидии предоставляются в целях софинансирования муниципальных районов и городских округов Новосибирской области для строительства (приобретения на первичном рынке) служебного жилья для отдельных категорий граждан, проживающих и работающих на территории Новосибирской области.</w:t>
      </w:r>
    </w:p>
    <w:p>
      <w:pPr>
        <w:pStyle w:val="0"/>
        <w:spacing w:before="200" w:line-rule="auto"/>
        <w:ind w:firstLine="540"/>
        <w:jc w:val="both"/>
      </w:pPr>
      <w:r>
        <w:rPr>
          <w:sz w:val="20"/>
        </w:rPr>
        <w:t xml:space="preserve">28. Субсидии предоставляются на следующих условиях:</w:t>
      </w:r>
    </w:p>
    <w:p>
      <w:pPr>
        <w:pStyle w:val="0"/>
        <w:spacing w:before="200" w:line-rule="auto"/>
        <w:ind w:firstLine="540"/>
        <w:jc w:val="both"/>
      </w:pPr>
      <w:r>
        <w:rPr>
          <w:sz w:val="20"/>
        </w:rPr>
        <w:t xml:space="preserve">1) наличие утвержденной проектно-сметной документации на реализуемый проект по строительству служебного жилья, имеющей положительное экспертное заключение государственной экспертизы, и достоверности сметной стоимости на реализуемый проект по строительству служебного жилья;</w:t>
      </w:r>
    </w:p>
    <w:p>
      <w:pPr>
        <w:pStyle w:val="0"/>
        <w:spacing w:before="200" w:line-rule="auto"/>
        <w:ind w:firstLine="540"/>
        <w:jc w:val="both"/>
      </w:pPr>
      <w:r>
        <w:rPr>
          <w:sz w:val="20"/>
        </w:rPr>
        <w:t xml:space="preserve">2) наличие муниципального контракта на строительство служебного жилья или на приобретение на первичном рынке жилых помещений, планируемых под размещение служебного жилья;</w:t>
      </w:r>
    </w:p>
    <w:p>
      <w:pPr>
        <w:pStyle w:val="0"/>
        <w:spacing w:before="200" w:line-rule="auto"/>
        <w:ind w:firstLine="540"/>
        <w:jc w:val="both"/>
      </w:pPr>
      <w:r>
        <w:rPr>
          <w:sz w:val="20"/>
        </w:rPr>
        <w:t xml:space="preserve">3) наличие справки о выполненных объемах работ по строительству служебного жилья в соответствии с формой КС-3 (при строительстве служебного жилья);</w:t>
      </w:r>
    </w:p>
    <w:p>
      <w:pPr>
        <w:pStyle w:val="0"/>
        <w:spacing w:before="200" w:line-rule="auto"/>
        <w:ind w:firstLine="540"/>
        <w:jc w:val="both"/>
      </w:pPr>
      <w:r>
        <w:rPr>
          <w:sz w:val="20"/>
        </w:rPr>
        <w:t xml:space="preserve">4) софинансирование из бюджета муниципальных районов и городских округов Новосибирской области не менее 5% от суммы контракта, заключенного на строительство служебного жилья или на приобретение на первичном рынке жилых помещений, планируемых под размещение служебного жилья.</w:t>
      </w:r>
    </w:p>
    <w:p>
      <w:pPr>
        <w:pStyle w:val="0"/>
        <w:spacing w:before="200" w:line-rule="auto"/>
        <w:ind w:firstLine="540"/>
        <w:jc w:val="both"/>
      </w:pPr>
      <w:r>
        <w:rPr>
          <w:sz w:val="20"/>
        </w:rPr>
        <w:t xml:space="preserve">29. Порядок (методика) распределения субсидий между местными бюджетами:</w:t>
      </w:r>
    </w:p>
    <w:p>
      <w:pPr>
        <w:pStyle w:val="0"/>
        <w:spacing w:before="200" w:line-rule="auto"/>
        <w:ind w:firstLine="540"/>
        <w:jc w:val="both"/>
      </w:pPr>
      <w:r>
        <w:rPr>
          <w:sz w:val="20"/>
        </w:rPr>
        <w:t xml:space="preserve">1) размер ассигнований на строительство и приобретение на первичном рынке служебного жилья определяется исходя из средней рыночной стоимости 1 кв. м общей площади жилья, установленной согласно </w:t>
      </w:r>
      <w:hyperlink w:history="0" r:id="rId866" w:tooltip="Приказ Минстроя Новосибирской области от 11.11.2021 N 715 (ред. от 28.06.2022) &quot;Об установлении стоимости одного квадратного метра общей площади жилого помещения по муниципальным образованиям Новосибирской области на 2022 год&quot; {КонсультантПлюс}">
        <w:r>
          <w:rPr>
            <w:sz w:val="20"/>
            <w:color w:val="0000ff"/>
          </w:rPr>
          <w:t xml:space="preserve">приложению</w:t>
        </w:r>
      </w:hyperlink>
      <w:r>
        <w:rPr>
          <w:sz w:val="20"/>
        </w:rPr>
        <w:t xml:space="preserve"> к приказу министерства строительства Новосибирской области от 11.11.2021 N 715 "Об установлении стоимости одного квадратного метра общей площади жилого помещения по муниципальным образованиям Новосибирской области на 2022 год", количества специалистов, состоящих в муниципальных районах и городских округах Новосибирской области в качестве нуждающихся в обеспечении служебным жильем, а также потребности в специалистах и расчетной общей площади одного жилого помещения;</w:t>
      </w:r>
    </w:p>
    <w:p>
      <w:pPr>
        <w:pStyle w:val="0"/>
        <w:jc w:val="both"/>
      </w:pPr>
      <w:r>
        <w:rPr>
          <w:sz w:val="20"/>
        </w:rPr>
        <w:t xml:space="preserve">(в ред. </w:t>
      </w:r>
      <w:hyperlink w:history="0" r:id="rId867"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2) расчет субсидии при приобретении жилья на первичном рынке осуществляется с учетом среднего размера семьи, состоящей из 3 человек, и 15 кв. м нормы предоставления площади жилого помещения по договору социального найма. Расчетная общая площадь служебного жилого помещения составляет 45 кв. м;</w:t>
      </w:r>
    </w:p>
    <w:p>
      <w:pPr>
        <w:pStyle w:val="0"/>
        <w:spacing w:before="200" w:line-rule="auto"/>
        <w:ind w:firstLine="540"/>
        <w:jc w:val="both"/>
      </w:pPr>
      <w:r>
        <w:rPr>
          <w:sz w:val="20"/>
        </w:rPr>
        <w:t xml:space="preserve">3) размер государственной поддержки за счет средств областного бюджета Новосибирской области составляет 95% строящихся (приобретаемых) жилых помещений при условии софинансирования за счет местного бюджета не менее 5% расчетной стоимости жилого помещения;</w:t>
      </w:r>
    </w:p>
    <w:p>
      <w:pPr>
        <w:pStyle w:val="0"/>
        <w:spacing w:before="200" w:line-rule="auto"/>
        <w:ind w:firstLine="540"/>
        <w:jc w:val="both"/>
      </w:pPr>
      <w:r>
        <w:rPr>
          <w:sz w:val="20"/>
        </w:rPr>
        <w:t xml:space="preserve">4) в целях определения размера субсидии для каждого муниципального района (городского округа) рассчитывается доля каждого муниципального района (городского округа) в общей потребности в средствах. Исходя из доведенного лимита финансирования на реализацию мероприятий в рамках </w:t>
      </w:r>
      <w:hyperlink w:history="0" w:anchor="P6695" w:tooltip="Подпрограмма">
        <w:r>
          <w:rPr>
            <w:sz w:val="20"/>
            <w:color w:val="0000ff"/>
          </w:rPr>
          <w:t xml:space="preserve">подпрограммы</w:t>
        </w:r>
      </w:hyperlink>
      <w:r>
        <w:rPr>
          <w:sz w:val="20"/>
        </w:rPr>
        <w:t xml:space="preserve">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и доли каждого муниципального района (городского округа) от общего количества требуемых квартир рассчитывается размер субсидии, предоставляемой соответствующему муниципальному району (городскому округу) в планируемом периоде;</w:t>
      </w:r>
    </w:p>
    <w:p>
      <w:pPr>
        <w:pStyle w:val="0"/>
        <w:spacing w:before="200" w:line-rule="auto"/>
        <w:ind w:firstLine="540"/>
        <w:jc w:val="both"/>
      </w:pPr>
      <w:r>
        <w:rPr>
          <w:sz w:val="20"/>
        </w:rPr>
        <w:t xml:space="preserve">5) начиная с 2020 года, распределение субсидий на строительство служебного жилья осуществляется с учетом преимущества заявок муниципальных районов и городских округов Новосибирской области, имеющих в собственности земельные участки с возможностью технологического присоединения к сетям, с возможностью возведения зданий с использованием экономически эффективной проектной документации повторного использования.</w:t>
      </w:r>
    </w:p>
    <w:p>
      <w:pPr>
        <w:pStyle w:val="0"/>
        <w:spacing w:before="200" w:line-rule="auto"/>
        <w:ind w:firstLine="540"/>
        <w:jc w:val="both"/>
      </w:pPr>
      <w:r>
        <w:rPr>
          <w:sz w:val="20"/>
        </w:rPr>
        <w:t xml:space="preserve">30. Критерии отбора муниципальных районов и городских округов Новосибирской области для предоставления субсидий местным бюджетам:</w:t>
      </w:r>
    </w:p>
    <w:p>
      <w:pPr>
        <w:pStyle w:val="0"/>
        <w:spacing w:before="200" w:line-rule="auto"/>
        <w:ind w:firstLine="540"/>
        <w:jc w:val="both"/>
      </w:pPr>
      <w:r>
        <w:rPr>
          <w:sz w:val="20"/>
        </w:rPr>
        <w:t xml:space="preserve">1) наличие на территории муниципального района (городского округа) Новосибирской области потребности в служебном жилье для отдельных категорий граждан, проживающих и работающих на территории Новосибирской области;</w:t>
      </w:r>
    </w:p>
    <w:p>
      <w:pPr>
        <w:pStyle w:val="0"/>
        <w:spacing w:before="200" w:line-rule="auto"/>
        <w:ind w:firstLine="540"/>
        <w:jc w:val="both"/>
      </w:pPr>
      <w:r>
        <w:rPr>
          <w:sz w:val="20"/>
        </w:rPr>
        <w:t xml:space="preserve">2) наличие на территории муниципального района (городского округа) земельных участков для строительства, обеспеченных инженерной инфраструктурой либо возможностью подключения, в случае строительства;</w:t>
      </w:r>
    </w:p>
    <w:p>
      <w:pPr>
        <w:pStyle w:val="0"/>
        <w:spacing w:before="200" w:line-rule="auto"/>
        <w:ind w:firstLine="540"/>
        <w:jc w:val="both"/>
      </w:pPr>
      <w:r>
        <w:rPr>
          <w:sz w:val="20"/>
        </w:rPr>
        <w:t xml:space="preserve">3) наличие на территории муниципального района (городского округа) Новосибирской области жилых помещений на первичном рынке жилья, соответствующих условиям подпрограммы, в случае приобретения жилья.</w:t>
      </w:r>
    </w:p>
    <w:p>
      <w:pPr>
        <w:pStyle w:val="0"/>
        <w:spacing w:before="200" w:line-rule="auto"/>
        <w:ind w:firstLine="540"/>
        <w:jc w:val="both"/>
      </w:pPr>
      <w:r>
        <w:rPr>
          <w:sz w:val="20"/>
        </w:rPr>
        <w:t xml:space="preserve">31. Организатором отбора муниципальных районов и городских округов Новосибирской области, бюджетам которых предоставляется субсидия (далее - отбор), является министерство.</w:t>
      </w:r>
    </w:p>
    <w:p>
      <w:pPr>
        <w:pStyle w:val="0"/>
        <w:spacing w:before="200" w:line-rule="auto"/>
        <w:ind w:firstLine="540"/>
        <w:jc w:val="both"/>
      </w:pPr>
      <w:r>
        <w:rPr>
          <w:sz w:val="20"/>
        </w:rPr>
        <w:t xml:space="preserve">Отбор муниципальных районов и городских округов Новосибирской области для предоставления субсидий производится в соответствии с критериями, перечисленными в </w:t>
      </w:r>
      <w:hyperlink w:history="0" w:anchor="P9375" w:tooltip="24. Порядок (методика) распределения субсидий между местными бюджетами:">
        <w:r>
          <w:rPr>
            <w:sz w:val="20"/>
            <w:color w:val="0000ff"/>
          </w:rPr>
          <w:t xml:space="preserve">пункте 24</w:t>
        </w:r>
      </w:hyperlink>
      <w:r>
        <w:rPr>
          <w:sz w:val="20"/>
        </w:rPr>
        <w:t xml:space="preserve"> настоящего Порядка, на основании представляемых в министерство до 1 июля года, предшествующего планируемому, заявок муниципальных районов и городских округов Новосибирской области на осуществление строительства жилых помещений.</w:t>
      </w:r>
    </w:p>
    <w:p>
      <w:pPr>
        <w:pStyle w:val="0"/>
        <w:spacing w:before="200" w:line-rule="auto"/>
        <w:ind w:firstLine="540"/>
        <w:jc w:val="both"/>
      </w:pPr>
      <w:r>
        <w:rPr>
          <w:sz w:val="20"/>
        </w:rPr>
        <w:t xml:space="preserve">По результатам рассмотрения сведений и документов, поступивших от муниципальных районов и городских округов Новосибирской области, министерство до 1 августа года, предшествующего планируемому, приказом утверждает перечень муниципальных районов и городских округов, соответствующих критериям отбора.</w:t>
      </w:r>
    </w:p>
    <w:p>
      <w:pPr>
        <w:pStyle w:val="0"/>
        <w:spacing w:before="200" w:line-rule="auto"/>
        <w:ind w:firstLine="540"/>
        <w:jc w:val="both"/>
      </w:pPr>
      <w:r>
        <w:rPr>
          <w:sz w:val="20"/>
        </w:rPr>
        <w:t xml:space="preserve">Каждый участник отбора должен быть проинформирован в письменной форме о результатах отбора в течение пяти рабочих дней со дня утверждения приказа.</w:t>
      </w:r>
    </w:p>
    <w:p>
      <w:pPr>
        <w:pStyle w:val="0"/>
        <w:spacing w:before="200" w:line-rule="auto"/>
        <w:ind w:firstLine="540"/>
        <w:jc w:val="both"/>
      </w:pPr>
      <w:r>
        <w:rPr>
          <w:sz w:val="20"/>
        </w:rPr>
        <w:t xml:space="preserve">32. Условия расходования субсидий:</w:t>
      </w:r>
    </w:p>
    <w:p>
      <w:pPr>
        <w:pStyle w:val="0"/>
        <w:spacing w:before="200" w:line-rule="auto"/>
        <w:ind w:firstLine="540"/>
        <w:jc w:val="both"/>
      </w:pPr>
      <w:r>
        <w:rPr>
          <w:sz w:val="20"/>
        </w:rPr>
        <w:t xml:space="preserve">1) при строительстве служебного жилья обоснованием начальной (максимальной) цены муниципального контракта (гражданско-правового договора) является положительное заключение государственной экспертизы о достоверности определения сметной стоимости строительства, реконструкции объектов капитального строительства, осуществляемых с использованием средств областного бюджета Новосибирской области;</w:t>
      </w:r>
    </w:p>
    <w:p>
      <w:pPr>
        <w:pStyle w:val="0"/>
        <w:spacing w:before="200" w:line-rule="auto"/>
        <w:ind w:firstLine="540"/>
        <w:jc w:val="both"/>
      </w:pPr>
      <w:r>
        <w:rPr>
          <w:sz w:val="20"/>
        </w:rPr>
        <w:t xml:space="preserve">2) расходование субсидий осуществляется на долевое финансирование работ по строительству жилых домов, на долевое участие в строительстве жилых домов, а также на приобретение жилья на первичном рынке в муниципальную собственность для предоставления отдельным категориям граждан, проживающих на территории соответствующего муниципального района (городского округа) Новосибирской области. Финансирование работ по подведению внеплощадочных сетей инженерной инфраструктуры при строительстве жилых домов, планируемых для предоставления отдельным категориям граждан, осуществляется администрациями муниципальных районов и городских округов Новосибирской области за счет средств местного бюджета и внебюджетных источников, в том числе оплата по договорам технологического присоединения к сетям инженерного обеспечения;</w:t>
      </w:r>
    </w:p>
    <w:p>
      <w:pPr>
        <w:pStyle w:val="0"/>
        <w:spacing w:before="200" w:line-rule="auto"/>
        <w:ind w:firstLine="540"/>
        <w:jc w:val="both"/>
      </w:pPr>
      <w:r>
        <w:rPr>
          <w:sz w:val="20"/>
        </w:rPr>
        <w:t xml:space="preserve">3) при оформлении жилья в муниципальную собственность органы местного самоуправления муниципальных районов и городских округов Новосибирской области принимают решение о включении его в специализированный жилищный фонд муниципального района (городского округа) и отнесении к виду служебного жилого помещения в соответствии с </w:t>
      </w:r>
      <w:hyperlink w:history="0" r:id="rId868" w:tooltip="Постановление Правительства РФ от 26.01.2006 N 42 (ред. от 18.07.2016) &quot;Об утверждении Правил отнесения жилого помещения к специализированному жилищному фонду и типовых договоров найма специализированных жилых помещений&quot; {КонсультантПлюс}">
        <w:r>
          <w:rPr>
            <w:sz w:val="20"/>
            <w:color w:val="0000ff"/>
          </w:rPr>
          <w:t xml:space="preserve">Правилами</w:t>
        </w:r>
      </w:hyperlink>
      <w:r>
        <w:rPr>
          <w:sz w:val="20"/>
        </w:rPr>
        <w:t xml:space="preserve"> отнесения жилого помещения к специализированному жилищному фонду, утвержденными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pPr>
        <w:pStyle w:val="0"/>
        <w:spacing w:before="200" w:line-rule="auto"/>
        <w:ind w:firstLine="540"/>
        <w:jc w:val="both"/>
      </w:pPr>
      <w:r>
        <w:rPr>
          <w:sz w:val="20"/>
        </w:rPr>
        <w:t xml:space="preserve">33. Результатом использования субсидии является количество квартир, построенных (приобретенных на первичном рынке) для предоставления отдельным категориям граждан, проживающих и работающих на территории Новосибирской области, в качестве служебного жилья.</w:t>
      </w:r>
    </w:p>
    <w:p>
      <w:pPr>
        <w:pStyle w:val="0"/>
        <w:ind w:firstLine="540"/>
        <w:jc w:val="both"/>
      </w:pPr>
      <w:r>
        <w:rPr>
          <w:sz w:val="20"/>
        </w:rPr>
      </w:r>
    </w:p>
    <w:p>
      <w:pPr>
        <w:pStyle w:val="2"/>
        <w:outlineLvl w:val="2"/>
        <w:jc w:val="center"/>
      </w:pPr>
      <w:r>
        <w:rPr>
          <w:sz w:val="20"/>
        </w:rPr>
        <w:t xml:space="preserve">VI. Порядок предоставления и распределения субсидий</w:t>
      </w:r>
    </w:p>
    <w:p>
      <w:pPr>
        <w:pStyle w:val="2"/>
        <w:jc w:val="center"/>
      </w:pPr>
      <w:r>
        <w:rPr>
          <w:sz w:val="20"/>
        </w:rPr>
        <w:t xml:space="preserve">из областного бюджета Новосибирской области местным бюджетам</w:t>
      </w:r>
    </w:p>
    <w:p>
      <w:pPr>
        <w:pStyle w:val="2"/>
        <w:jc w:val="center"/>
      </w:pPr>
      <w:r>
        <w:rPr>
          <w:sz w:val="20"/>
        </w:rPr>
        <w:t xml:space="preserve">Новосибирской области на реализацию мероприятий в рамках</w:t>
      </w:r>
    </w:p>
    <w:p>
      <w:pPr>
        <w:pStyle w:val="2"/>
        <w:jc w:val="center"/>
      </w:pPr>
      <w:r>
        <w:rPr>
          <w:sz w:val="20"/>
        </w:rPr>
        <w:t xml:space="preserve">подпрограммы "Государственная поддержка муниципальных</w:t>
      </w:r>
    </w:p>
    <w:p>
      <w:pPr>
        <w:pStyle w:val="2"/>
        <w:jc w:val="center"/>
      </w:pPr>
      <w:r>
        <w:rPr>
          <w:sz w:val="20"/>
        </w:rPr>
        <w:t xml:space="preserve">образований Новосибирской области в обеспечении жилыми</w:t>
      </w:r>
    </w:p>
    <w:p>
      <w:pPr>
        <w:pStyle w:val="2"/>
        <w:jc w:val="center"/>
      </w:pPr>
      <w:r>
        <w:rPr>
          <w:sz w:val="20"/>
        </w:rPr>
        <w:t xml:space="preserve">помещениями многодетных малообеспеченных семей"</w:t>
      </w:r>
    </w:p>
    <w:p>
      <w:pPr>
        <w:pStyle w:val="0"/>
        <w:ind w:firstLine="540"/>
        <w:jc w:val="both"/>
      </w:pPr>
      <w:r>
        <w:rPr>
          <w:sz w:val="20"/>
        </w:rPr>
      </w:r>
    </w:p>
    <w:p>
      <w:pPr>
        <w:pStyle w:val="0"/>
        <w:ind w:firstLine="540"/>
        <w:jc w:val="both"/>
      </w:pPr>
      <w:r>
        <w:rPr>
          <w:sz w:val="20"/>
        </w:rPr>
        <w:t xml:space="preserve">34. Субсидии предоставляются в целях софинансирования муниципальных районов и городских округов Новосибирской области для обеспечения жилыми помещениями многодетных малообеспеченных семей по договорам социального найма.</w:t>
      </w:r>
    </w:p>
    <w:p>
      <w:pPr>
        <w:pStyle w:val="0"/>
        <w:spacing w:before="200" w:line-rule="auto"/>
        <w:ind w:firstLine="540"/>
        <w:jc w:val="both"/>
      </w:pPr>
      <w:r>
        <w:rPr>
          <w:sz w:val="20"/>
        </w:rPr>
        <w:t xml:space="preserve">35. Субсидии предоставляются при наличии муниципального контракта на приобретение (строительство) жилых помещений.</w:t>
      </w:r>
    </w:p>
    <w:p>
      <w:pPr>
        <w:pStyle w:val="0"/>
        <w:spacing w:before="200" w:line-rule="auto"/>
        <w:ind w:firstLine="540"/>
        <w:jc w:val="both"/>
      </w:pPr>
      <w:r>
        <w:rPr>
          <w:sz w:val="20"/>
        </w:rPr>
        <w:t xml:space="preserve">36. Порядок (методика) распределения субсидий между местными бюджетами:</w:t>
      </w:r>
    </w:p>
    <w:p>
      <w:pPr>
        <w:pStyle w:val="0"/>
        <w:spacing w:before="200" w:line-rule="auto"/>
        <w:ind w:firstLine="540"/>
        <w:jc w:val="both"/>
      </w:pPr>
      <w:r>
        <w:rPr>
          <w:sz w:val="20"/>
        </w:rPr>
        <w:t xml:space="preserve">1) обеспечение жилыми помещениями осуществляется в рамках лимита финансирования, выделяемого бюджету муниципального района (городского округа) на соответствующий финансовый год, в порядке очередности среди семей, имеющих 5 или более несовершеннолетних детей, которая ведется по Новосибирской области;</w:t>
      </w:r>
    </w:p>
    <w:p>
      <w:pPr>
        <w:pStyle w:val="0"/>
        <w:spacing w:before="200" w:line-rule="auto"/>
        <w:ind w:firstLine="540"/>
        <w:jc w:val="both"/>
      </w:pPr>
      <w:r>
        <w:rPr>
          <w:sz w:val="20"/>
        </w:rPr>
        <w:t xml:space="preserve">2) субсидии распределяются согласно сводному списку многодетных семей, имеющих 5 и более несовершеннолетних детей, признанных малоимущими и нуждающимися в жилых помещениях, предоставляемых по договорам социального найма. Сводный список по Новосибирской области формируется на основании списков по муниципальным районам и городским округам Новосибирской области, по дате постановки семей на учет в качестве нуждающихся в улучшении жилищных условий;</w:t>
      </w:r>
    </w:p>
    <w:p>
      <w:pPr>
        <w:pStyle w:val="0"/>
        <w:spacing w:before="200" w:line-rule="auto"/>
        <w:ind w:firstLine="540"/>
        <w:jc w:val="both"/>
      </w:pPr>
      <w:r>
        <w:rPr>
          <w:sz w:val="20"/>
        </w:rPr>
        <w:t xml:space="preserve">3) субсидия для обеспечения благоустроенным жилым помещением 1 многодетной семьи рассчитывается исходя из состава многодетной семьи, нормы предоставления общей площади жилого помещения 15 кв. м, размера средней рыночной стоимости 1 кв. м общей площади жилья, установленной на территории муниципального района (городского округа) по месту жительства семьи (гражданина), но не более размера средней рыночной стоимости 1 кв. м общей площади жилья, установленной федеральным органом исполнительной власти, уполномоченным Правительством Российской Федерации, на соответствующий период приобретения (строительства) жилого помещения, и коэффициента 0,95, предусмотренного в связи с необходимостью софинансирования подпрограммы местными бюджетами, в размере не менее 5% расчетной стоимости жилого помещения.</w:t>
      </w:r>
    </w:p>
    <w:p>
      <w:pPr>
        <w:pStyle w:val="0"/>
        <w:spacing w:before="200" w:line-rule="auto"/>
        <w:ind w:firstLine="540"/>
        <w:jc w:val="both"/>
      </w:pPr>
      <w:r>
        <w:rPr>
          <w:sz w:val="20"/>
        </w:rPr>
        <w:t xml:space="preserve">37. Критерием отбора муниципальных районов и городских округов Новосибирской области для предоставления субсидий местным бюджетам является дата постановки на учет многодетных семей, состоящих на учете в качестве нуждающихся в жилых помещениях.</w:t>
      </w:r>
    </w:p>
    <w:p>
      <w:pPr>
        <w:pStyle w:val="0"/>
        <w:spacing w:before="200" w:line-rule="auto"/>
        <w:ind w:firstLine="540"/>
        <w:jc w:val="both"/>
      </w:pPr>
      <w:r>
        <w:rPr>
          <w:sz w:val="20"/>
        </w:rPr>
        <w:t xml:space="preserve">38. Условия расходования субсидий:</w:t>
      </w:r>
    </w:p>
    <w:p>
      <w:pPr>
        <w:pStyle w:val="0"/>
        <w:spacing w:before="200" w:line-rule="auto"/>
        <w:ind w:firstLine="540"/>
        <w:jc w:val="both"/>
      </w:pPr>
      <w:r>
        <w:rPr>
          <w:sz w:val="20"/>
        </w:rPr>
        <w:t xml:space="preserve">1) расходование субсидий осуществляется в соответствии с </w:t>
      </w:r>
      <w:hyperlink w:history="0" r:id="rId869" w:tooltip="Постановление Губернатора Новосибирской области от 29.12.2007 N 539 (ред. от 12.07.2016) &quot;О Программе мер по демографическому развитию Новосибирской области на 2008 - 2025 годы&quot; {КонсультантПлюс}">
        <w:r>
          <w:rPr>
            <w:sz w:val="20"/>
            <w:color w:val="0000ff"/>
          </w:rPr>
          <w:t xml:space="preserve">Программой</w:t>
        </w:r>
      </w:hyperlink>
      <w:r>
        <w:rPr>
          <w:sz w:val="20"/>
        </w:rPr>
        <w:t xml:space="preserve"> мер по демографическому развитию Новосибирской области на 2008 - 2025 годы, утвержденной постановлением Губернатора Новосибирской области от 29.12.2007 N 539 "О Программе мер по демографическому развитию Новосибирской области на 2008 - 2025 годы", на основании сводного списка очередности по Новосибирской области многодетных семей (далее - семья), сформированного по дате постановки на учет малоимущих граждан в качестве нуждающихся в жилых помещениях, и расчетной стоимости жилья;</w:t>
      </w:r>
    </w:p>
    <w:p>
      <w:pPr>
        <w:pStyle w:val="0"/>
        <w:spacing w:before="200" w:line-rule="auto"/>
        <w:ind w:firstLine="540"/>
        <w:jc w:val="both"/>
      </w:pPr>
      <w:r>
        <w:rPr>
          <w:sz w:val="20"/>
        </w:rPr>
        <w:t xml:space="preserve">2) расчетный размер субсидии для обеспечения благоустроенным жилым помещением 1 семьи рассчитывается исходя из состава многодетной семьи, нормы предоставления общей площади жилого помещения 15 кв. м, размера средней рыночной стоимости 1 кв. м общей площади жилья, установленной на территории муниципального района (городского округа) Новосибирской области по месту жительства семьи (гражданина), но не более размера средней рыночной стоимости 1 кв. м общей площади жилья, установленной федеральным органом исполнительной власти, уполномоченным Правительством Российской Федерации, на соответствующий период приобретения (строительства) жилого помещения, и коэффициента 0,95, предусмотренного в связи с необходимостью софинансирования подпрограммы местными бюджетами, в размере не менее 5% расчетной стоимости жилого помещения.</w:t>
      </w:r>
    </w:p>
    <w:p>
      <w:pPr>
        <w:pStyle w:val="0"/>
        <w:spacing w:before="200" w:line-rule="auto"/>
        <w:ind w:firstLine="540"/>
        <w:jc w:val="both"/>
      </w:pPr>
      <w:r>
        <w:rPr>
          <w:sz w:val="20"/>
        </w:rPr>
        <w:t xml:space="preserve">39. Результатом использования субсидии является количество многодетных малообеспеченных семей, обеспеченных жилыми помещениями в рамках подпрограммы.</w:t>
      </w:r>
    </w:p>
    <w:p>
      <w:pPr>
        <w:pStyle w:val="0"/>
        <w:ind w:firstLine="540"/>
        <w:jc w:val="both"/>
      </w:pPr>
      <w:r>
        <w:rPr>
          <w:sz w:val="20"/>
        </w:rPr>
      </w:r>
    </w:p>
    <w:bookmarkStart w:id="9438" w:name="P9438"/>
    <w:bookmarkEnd w:id="9438"/>
    <w:p>
      <w:pPr>
        <w:pStyle w:val="2"/>
        <w:outlineLvl w:val="2"/>
        <w:jc w:val="center"/>
      </w:pPr>
      <w:r>
        <w:rPr>
          <w:sz w:val="20"/>
        </w:rPr>
        <w:t xml:space="preserve">VII. Порядок предоставления и распределения субсидий</w:t>
      </w:r>
    </w:p>
    <w:p>
      <w:pPr>
        <w:pStyle w:val="2"/>
        <w:jc w:val="center"/>
      </w:pPr>
      <w:r>
        <w:rPr>
          <w:sz w:val="20"/>
        </w:rPr>
        <w:t xml:space="preserve">из областного бюджета Новосибирской области местным бюджетам</w:t>
      </w:r>
    </w:p>
    <w:p>
      <w:pPr>
        <w:pStyle w:val="2"/>
        <w:jc w:val="center"/>
      </w:pPr>
      <w:r>
        <w:rPr>
          <w:sz w:val="20"/>
        </w:rPr>
        <w:t xml:space="preserve">Новосибирской области на реализацию мероприятий в рамках</w:t>
      </w:r>
    </w:p>
    <w:p>
      <w:pPr>
        <w:pStyle w:val="2"/>
        <w:jc w:val="center"/>
      </w:pPr>
      <w:r>
        <w:rPr>
          <w:sz w:val="20"/>
        </w:rPr>
        <w:t xml:space="preserve">подпрограммы "Государственная поддержка муниципальных</w:t>
      </w:r>
    </w:p>
    <w:p>
      <w:pPr>
        <w:pStyle w:val="2"/>
        <w:jc w:val="center"/>
      </w:pPr>
      <w:r>
        <w:rPr>
          <w:sz w:val="20"/>
        </w:rPr>
        <w:t xml:space="preserve">образований Новосибирской области при строительстве</w:t>
      </w:r>
    </w:p>
    <w:p>
      <w:pPr>
        <w:pStyle w:val="2"/>
        <w:jc w:val="center"/>
      </w:pPr>
      <w:r>
        <w:rPr>
          <w:sz w:val="20"/>
        </w:rPr>
        <w:t xml:space="preserve">специализированного жилищного фонда"</w:t>
      </w:r>
    </w:p>
    <w:p>
      <w:pPr>
        <w:pStyle w:val="0"/>
        <w:jc w:val="center"/>
      </w:pPr>
      <w:r>
        <w:rPr>
          <w:sz w:val="20"/>
        </w:rPr>
        <w:t xml:space="preserve">(введен </w:t>
      </w:r>
      <w:hyperlink w:history="0" r:id="rId870"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w:t>
      </w:r>
    </w:p>
    <w:p>
      <w:pPr>
        <w:pStyle w:val="0"/>
        <w:jc w:val="center"/>
      </w:pPr>
      <w:r>
        <w:rPr>
          <w:sz w:val="20"/>
        </w:rPr>
        <w:t xml:space="preserve">от 25.03.2021 N 88-п)</w:t>
      </w:r>
    </w:p>
    <w:p>
      <w:pPr>
        <w:pStyle w:val="0"/>
        <w:ind w:firstLine="540"/>
        <w:jc w:val="both"/>
      </w:pPr>
      <w:r>
        <w:rPr>
          <w:sz w:val="20"/>
        </w:rPr>
      </w:r>
    </w:p>
    <w:p>
      <w:pPr>
        <w:pStyle w:val="0"/>
        <w:ind w:firstLine="540"/>
        <w:jc w:val="both"/>
      </w:pPr>
      <w:r>
        <w:rPr>
          <w:sz w:val="20"/>
        </w:rPr>
        <w:t xml:space="preserve">40. Субсидии предоставляются в целях софинансирования расходов муниципальных районов и городских округов Новосибирской области, связанных со строительством специализированного жилищного фонда для предоставления отдельным категориям граждан.</w:t>
      </w:r>
    </w:p>
    <w:p>
      <w:pPr>
        <w:pStyle w:val="0"/>
        <w:spacing w:before="200" w:line-rule="auto"/>
        <w:ind w:firstLine="540"/>
        <w:jc w:val="both"/>
      </w:pPr>
      <w:r>
        <w:rPr>
          <w:sz w:val="20"/>
        </w:rPr>
        <w:t xml:space="preserve">41. Субсидии предоставляются на следующих условиях:</w:t>
      </w:r>
    </w:p>
    <w:p>
      <w:pPr>
        <w:pStyle w:val="0"/>
        <w:spacing w:before="200" w:line-rule="auto"/>
        <w:ind w:firstLine="540"/>
        <w:jc w:val="both"/>
      </w:pPr>
      <w:r>
        <w:rPr>
          <w:sz w:val="20"/>
        </w:rPr>
        <w:t xml:space="preserve">1) наличие заключенных муниципальных контрактов (договоров) на работы (услуги), связанные со строительством специализированного жилищного фонда для предоставления отдельным категориям граждан;</w:t>
      </w:r>
    </w:p>
    <w:p>
      <w:pPr>
        <w:pStyle w:val="0"/>
        <w:spacing w:before="200" w:line-rule="auto"/>
        <w:ind w:firstLine="540"/>
        <w:jc w:val="both"/>
      </w:pPr>
      <w:r>
        <w:rPr>
          <w:sz w:val="20"/>
        </w:rPr>
        <w:t xml:space="preserve">2) наличие справки (акта) о выполненных объемах работ (услуг), связанных со строительством специализированного жилищного фонда для предоставления отдельным категориям граждан (для компенсации);</w:t>
      </w:r>
    </w:p>
    <w:p>
      <w:pPr>
        <w:pStyle w:val="0"/>
        <w:spacing w:before="200" w:line-rule="auto"/>
        <w:ind w:firstLine="540"/>
        <w:jc w:val="both"/>
      </w:pPr>
      <w:r>
        <w:rPr>
          <w:sz w:val="20"/>
        </w:rPr>
        <w:t xml:space="preserve">3) софинансирование из бюджета муниципальных районов и городских округов Новосибирской области не менее 5% от суммы заключенных муниципальных контрактов (договоров) на работы (услуги), связанные со строительством специализированного жилищного фонда для предоставления отдельным категориям граждан.</w:t>
      </w:r>
    </w:p>
    <w:p>
      <w:pPr>
        <w:pStyle w:val="0"/>
        <w:spacing w:before="200" w:line-rule="auto"/>
        <w:ind w:firstLine="540"/>
        <w:jc w:val="both"/>
      </w:pPr>
      <w:r>
        <w:rPr>
          <w:sz w:val="20"/>
        </w:rPr>
        <w:t xml:space="preserve">Предоставление государственной поддержки за счет средств областного бюджета на компенсацию расходов местных бюджетов, связанных со строительством специализированного жилищного фонда осуществляется на основании подтвержденных расходов местного бюджета на основании договоров (контрактов) и актов выполненных работ. Компенсируются расходы, произведенные в текущем финансовом году, и в году, предшествующем году финансирования, если данные расходы связаны с объектом, строящемся в текущем году.</w:t>
      </w:r>
    </w:p>
    <w:p>
      <w:pPr>
        <w:pStyle w:val="0"/>
        <w:spacing w:before="200" w:line-rule="auto"/>
        <w:ind w:firstLine="540"/>
        <w:jc w:val="both"/>
      </w:pPr>
      <w:r>
        <w:rPr>
          <w:sz w:val="20"/>
        </w:rPr>
        <w:t xml:space="preserve">42. Порядок (методика) распределения субсидий между местными бюджетами:</w:t>
      </w:r>
    </w:p>
    <w:p>
      <w:pPr>
        <w:pStyle w:val="0"/>
        <w:spacing w:before="200" w:line-rule="auto"/>
        <w:ind w:firstLine="540"/>
        <w:jc w:val="both"/>
      </w:pPr>
      <w:r>
        <w:rPr>
          <w:sz w:val="20"/>
        </w:rPr>
        <w:t xml:space="preserve">1) размер ассигнований областного бюджета определяется как 15% от объема ассигнований, предусмотренных муниципальному образованию на реализацию </w:t>
      </w:r>
      <w:hyperlink w:history="0" w:anchor="P6695" w:tooltip="Подпрограмма">
        <w:r>
          <w:rPr>
            <w:sz w:val="20"/>
            <w:color w:val="0000ff"/>
          </w:rPr>
          <w:t xml:space="preserve">подпрограммы</w:t>
        </w:r>
      </w:hyperlink>
      <w:r>
        <w:rPr>
          <w:sz w:val="20"/>
        </w:rPr>
        <w:t xml:space="preserve">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в части строительства и на осуществление строительства жилых помещений для предоставления гражданам, указанным в </w:t>
      </w:r>
      <w:hyperlink w:history="0" r:id="rId871" w:tooltip="Федеральный закон от 21.12.1996 N 159-ФЗ (ред. от 14.07.2022) &quot;О дополнительных гарантиях по социальной поддержке детей-сирот и детей, оставшихся без попечения родителей&quot; (с изм. и доп., вступ. в силу с 11.01.2023) {КонсультантПлюс}">
        <w:r>
          <w:rPr>
            <w:sz w:val="20"/>
            <w:color w:val="0000ff"/>
          </w:rPr>
          <w:t xml:space="preserve">статье 8</w:t>
        </w:r>
      </w:hyperlink>
      <w:r>
        <w:rPr>
          <w:sz w:val="20"/>
        </w:rP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с применением коэффициента 0,95;</w:t>
      </w:r>
    </w:p>
    <w:p>
      <w:pPr>
        <w:pStyle w:val="0"/>
        <w:jc w:val="both"/>
      </w:pPr>
      <w:r>
        <w:rPr>
          <w:sz w:val="20"/>
        </w:rPr>
        <w:t xml:space="preserve">(в ред. </w:t>
      </w:r>
      <w:hyperlink w:history="0" r:id="rId872"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2) размер государственной поддержки за счет средств областного бюджета Новосибирской области составляет 95% расходов муниципального образования, связанных со строительством специализированного жилищного фонда для предоставления отдельным категориям граждан, при условии софинансирования за счет местного бюджета не менее 5% расчетной стоимости жилого помещения.</w:t>
      </w:r>
    </w:p>
    <w:p>
      <w:pPr>
        <w:pStyle w:val="0"/>
        <w:spacing w:before="200" w:line-rule="auto"/>
        <w:ind w:firstLine="540"/>
        <w:jc w:val="both"/>
      </w:pPr>
      <w:r>
        <w:rPr>
          <w:sz w:val="20"/>
        </w:rPr>
        <w:t xml:space="preserve">43. Условия расходования субсидий:</w:t>
      </w:r>
    </w:p>
    <w:p>
      <w:pPr>
        <w:pStyle w:val="0"/>
        <w:spacing w:before="200" w:line-rule="auto"/>
        <w:ind w:firstLine="540"/>
        <w:jc w:val="both"/>
      </w:pPr>
      <w:r>
        <w:rPr>
          <w:sz w:val="20"/>
        </w:rPr>
        <w:t xml:space="preserve">1) расходование субсидий осуществляется на долевое финансирование работ (услуг), связанных со строительством специализированного жилищного фонда для предоставления отдельным категориям граждан, в том числе: разработка проектной документации, корректировка проектной документации, повторное применение экономически эффективной проектной документации, инженерно-геодезические изыскания, авторский надзор, государственная экспертиза проектной документации, технологическое присоединение к инженерным сетям, строительный контроль, затраты на ввод объекта в эксплуатацию (технический план бюро технической инвентаризации, замеры санитарно-эпидемиологической службы);</w:t>
      </w:r>
    </w:p>
    <w:p>
      <w:pPr>
        <w:pStyle w:val="0"/>
        <w:spacing w:before="200" w:line-rule="auto"/>
        <w:ind w:firstLine="540"/>
        <w:jc w:val="both"/>
      </w:pPr>
      <w:r>
        <w:rPr>
          <w:sz w:val="20"/>
        </w:rPr>
        <w:t xml:space="preserve">2) при оформлении жилья в муниципальную собственность органы местного самоуправления муниципальных районов и городских округов Новосибирской области принимают решение о включении его в специализированный жилищный фонд муниципального района (городского округа) в соответствии с </w:t>
      </w:r>
      <w:hyperlink w:history="0" r:id="rId873" w:tooltip="Постановление Правительства РФ от 26.01.2006 N 42 (ред. от 18.07.2016) &quot;Об утверждении Правил отнесения жилого помещения к специализированному жилищному фонду и типовых договоров найма специализированных жилых помещений&quot; {КонсультантПлюс}">
        <w:r>
          <w:rPr>
            <w:sz w:val="20"/>
            <w:color w:val="0000ff"/>
          </w:rPr>
          <w:t xml:space="preserve">Правилами</w:t>
        </w:r>
      </w:hyperlink>
      <w:r>
        <w:rPr>
          <w:sz w:val="20"/>
        </w:rPr>
        <w:t xml:space="preserve"> отнесения жилого помещения к специализированному жилищному фонду, утвержденными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pPr>
        <w:pStyle w:val="0"/>
        <w:spacing w:before="200" w:line-rule="auto"/>
        <w:ind w:firstLine="540"/>
        <w:jc w:val="both"/>
      </w:pPr>
      <w:r>
        <w:rPr>
          <w:sz w:val="20"/>
        </w:rPr>
        <w:t xml:space="preserve">44. Результатом использования субсидии является количество жилых помещений, построенных для предоставления отдельным категориям граждан, в рамках подпрограммы.</w:t>
      </w:r>
    </w:p>
    <w:p>
      <w:pPr>
        <w:pStyle w:val="0"/>
        <w:ind w:firstLine="540"/>
        <w:jc w:val="both"/>
      </w:pPr>
      <w:r>
        <w:rPr>
          <w:sz w:val="20"/>
        </w:rPr>
      </w:r>
    </w:p>
    <w:p>
      <w:pPr>
        <w:pStyle w:val="2"/>
        <w:outlineLvl w:val="2"/>
        <w:jc w:val="center"/>
      </w:pPr>
      <w:r>
        <w:rPr>
          <w:sz w:val="20"/>
        </w:rPr>
        <w:t xml:space="preserve">VIII. Порядок предоставления и распределения субсидий</w:t>
      </w:r>
    </w:p>
    <w:p>
      <w:pPr>
        <w:pStyle w:val="2"/>
        <w:jc w:val="center"/>
      </w:pPr>
      <w:r>
        <w:rPr>
          <w:sz w:val="20"/>
        </w:rPr>
        <w:t xml:space="preserve">из областного бюджета местным бюджетам на реализацию</w:t>
      </w:r>
    </w:p>
    <w:p>
      <w:pPr>
        <w:pStyle w:val="2"/>
        <w:jc w:val="center"/>
      </w:pPr>
      <w:r>
        <w:rPr>
          <w:sz w:val="20"/>
        </w:rPr>
        <w:t xml:space="preserve">мероприятия "Региональный проект "Жилье" в рамках</w:t>
      </w:r>
    </w:p>
    <w:p>
      <w:pPr>
        <w:pStyle w:val="2"/>
        <w:jc w:val="center"/>
      </w:pPr>
      <w:r>
        <w:rPr>
          <w:sz w:val="20"/>
        </w:rPr>
        <w:t xml:space="preserve">подпрограммы "Земельные ресурсы и инфраструктура"</w:t>
      </w:r>
    </w:p>
    <w:p>
      <w:pPr>
        <w:pStyle w:val="0"/>
        <w:jc w:val="center"/>
      </w:pPr>
      <w:r>
        <w:rPr>
          <w:sz w:val="20"/>
        </w:rPr>
        <w:t xml:space="preserve">(введен </w:t>
      </w:r>
      <w:hyperlink w:history="0" r:id="rId874"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w:t>
      </w:r>
    </w:p>
    <w:p>
      <w:pPr>
        <w:pStyle w:val="0"/>
        <w:jc w:val="center"/>
      </w:pPr>
      <w:r>
        <w:rPr>
          <w:sz w:val="20"/>
        </w:rPr>
        <w:t xml:space="preserve">от 26.04.2022 N 174-п)</w:t>
      </w:r>
    </w:p>
    <w:p>
      <w:pPr>
        <w:pStyle w:val="0"/>
        <w:ind w:firstLine="540"/>
        <w:jc w:val="both"/>
      </w:pPr>
      <w:r>
        <w:rPr>
          <w:sz w:val="20"/>
        </w:rPr>
      </w:r>
    </w:p>
    <w:p>
      <w:pPr>
        <w:pStyle w:val="0"/>
        <w:ind w:firstLine="540"/>
        <w:jc w:val="both"/>
      </w:pPr>
      <w:r>
        <w:rPr>
          <w:sz w:val="20"/>
        </w:rPr>
        <w:t xml:space="preserve">45. Субсидии предоставляются в целях софинансирования строительства объектов капитального строительства транспортной инфраструктуры, объектов водоснабжения, водоотведения и теплоснабжения, в том числе магистральных сетей, в целях реализации проектов по развитию территорий, определенных по итогам проведения конкурсного отбора на участие в федеральном проекте "Жилье" государственной </w:t>
      </w:r>
      <w:hyperlink w:history="0" r:id="rId875" w:tooltip="Постановление Правительства РФ от 30.12.2017 N 1710 (ред. от 22.03.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государственная программа Российской Федерации).</w:t>
      </w:r>
    </w:p>
    <w:p>
      <w:pPr>
        <w:pStyle w:val="0"/>
        <w:spacing w:before="200" w:line-rule="auto"/>
        <w:ind w:firstLine="540"/>
        <w:jc w:val="both"/>
      </w:pPr>
      <w:r>
        <w:rPr>
          <w:sz w:val="20"/>
        </w:rPr>
        <w:t xml:space="preserve">46. Предоставление субсидий местным бюджетам осуществляют главные распорядители бюджетных средств на основании заключенного соглашения о предоставлении субсидии из областного бюджета местному бюджету (далее - Соглашение), соответствующего требованиям </w:t>
      </w:r>
      <w:hyperlink w:history="0" r:id="rId876" w:tooltip="Постановление Правительства РФ от 30.09.2014 N 999 (ред. от 28.03.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подпункта л(1) пункта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Соглашение заключается в форме электронного документа в государственной интегрированной информационной системе управления общественными финансами "Электронный бюджет" в срок не позднее 30 календарных дней со дня вступления в силу соглашения о предоставлении субсидии из федерального бюджета областному бюджету.</w:t>
      </w:r>
    </w:p>
    <w:p>
      <w:pPr>
        <w:pStyle w:val="0"/>
        <w:spacing w:before="200" w:line-rule="auto"/>
        <w:ind w:firstLine="540"/>
        <w:jc w:val="both"/>
      </w:pPr>
      <w:r>
        <w:rPr>
          <w:sz w:val="20"/>
        </w:rPr>
        <w:t xml:space="preserve">47. Общий размер субсидии, предоставляемой из областного бюджета местному бюджету, определяется исходя из уровня софинансирования, установленного в Соглашении.</w:t>
      </w:r>
    </w:p>
    <w:p>
      <w:pPr>
        <w:pStyle w:val="0"/>
        <w:spacing w:before="200" w:line-rule="auto"/>
        <w:ind w:firstLine="540"/>
        <w:jc w:val="both"/>
      </w:pPr>
      <w:r>
        <w:rPr>
          <w:sz w:val="20"/>
        </w:rPr>
        <w:t xml:space="preserve">48. Результатом использования субсидии является количество реализованных проектов по развитию территорий, расположенных в границах населенных пунктов, предусматривающих строительство жилья, которые включены в государственную программу Новосибирской области по развитию жилищного строительства.</w:t>
      </w:r>
    </w:p>
    <w:p>
      <w:pPr>
        <w:pStyle w:val="0"/>
        <w:spacing w:before="200" w:line-rule="auto"/>
        <w:ind w:firstLine="540"/>
        <w:jc w:val="both"/>
      </w:pPr>
      <w:r>
        <w:rPr>
          <w:sz w:val="20"/>
        </w:rPr>
        <w:t xml:space="preserve">Значения показателей результата, указанного в настоящем пункте, устанавливаются в Соглашении.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15</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9485" w:name="P9485"/>
    <w:bookmarkEnd w:id="9485"/>
    <w:p>
      <w:pPr>
        <w:pStyle w:val="2"/>
        <w:jc w:val="center"/>
      </w:pPr>
      <w:r>
        <w:rPr>
          <w:sz w:val="20"/>
        </w:rPr>
        <w:t xml:space="preserve">МЕТОДИКА</w:t>
      </w:r>
    </w:p>
    <w:p>
      <w:pPr>
        <w:pStyle w:val="2"/>
        <w:jc w:val="center"/>
      </w:pPr>
      <w:r>
        <w:rPr>
          <w:sz w:val="20"/>
        </w:rPr>
        <w:t xml:space="preserve">распределения иных межбюджетных трансфертов и правила их</w:t>
      </w:r>
    </w:p>
    <w:p>
      <w:pPr>
        <w:pStyle w:val="2"/>
        <w:jc w:val="center"/>
      </w:pPr>
      <w:r>
        <w:rPr>
          <w:sz w:val="20"/>
        </w:rPr>
        <w:t xml:space="preserve">предоставления из областного бюджета Новосибирской области</w:t>
      </w:r>
    </w:p>
    <w:p>
      <w:pPr>
        <w:pStyle w:val="2"/>
        <w:jc w:val="center"/>
      </w:pPr>
      <w:r>
        <w:rPr>
          <w:sz w:val="20"/>
        </w:rPr>
        <w:t xml:space="preserve">местным бюджетам на реализацию мероприятий в рамках</w:t>
      </w:r>
    </w:p>
    <w:p>
      <w:pPr>
        <w:pStyle w:val="2"/>
        <w:jc w:val="center"/>
      </w:pPr>
      <w:r>
        <w:rPr>
          <w:sz w:val="20"/>
        </w:rPr>
        <w:t xml:space="preserve">подпрограммы "Государственная поддержка при завершении</w:t>
      </w:r>
    </w:p>
    <w:p>
      <w:pPr>
        <w:pStyle w:val="2"/>
        <w:jc w:val="center"/>
      </w:pPr>
      <w:r>
        <w:rPr>
          <w:sz w:val="20"/>
        </w:rPr>
        <w:t xml:space="preserve">строительства "проблемных" жилых домов" государственной</w:t>
      </w:r>
    </w:p>
    <w:p>
      <w:pPr>
        <w:pStyle w:val="2"/>
        <w:jc w:val="center"/>
      </w:pPr>
      <w:r>
        <w:rPr>
          <w:sz w:val="20"/>
        </w:rPr>
        <w:t xml:space="preserve">программы Новосибирской области "Стимулирование развития</w:t>
      </w:r>
    </w:p>
    <w:p>
      <w:pPr>
        <w:pStyle w:val="2"/>
        <w:jc w:val="center"/>
      </w:pPr>
      <w:r>
        <w:rPr>
          <w:sz w:val="20"/>
        </w:rPr>
        <w:t xml:space="preserve">жилищного 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877" w:tooltip="Постановление Правительства Новосибирской области от 10.11.2020 N 46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10.11.2020 N 466-п)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9497" w:name="P9497"/>
    <w:bookmarkEnd w:id="9497"/>
    <w:p>
      <w:pPr>
        <w:pStyle w:val="0"/>
        <w:ind w:firstLine="540"/>
        <w:jc w:val="both"/>
      </w:pPr>
      <w:r>
        <w:rPr>
          <w:sz w:val="20"/>
        </w:rPr>
        <w:t xml:space="preserve">1. Методика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в рамках </w:t>
      </w:r>
      <w:hyperlink w:history="0" w:anchor="P6315" w:tooltip="Подпрограмма">
        <w:r>
          <w:rPr>
            <w:sz w:val="20"/>
            <w:color w:val="0000ff"/>
          </w:rPr>
          <w:t xml:space="preserve">подпрограммы</w:t>
        </w:r>
      </w:hyperlink>
      <w:r>
        <w:rPr>
          <w:sz w:val="20"/>
        </w:rPr>
        <w:t xml:space="preserve"> "Государственная поддержка при завершении строительства "проблемных" жилых домов" государственной программы Новосибирской области "Стимулирование развития жилищного строительства в Новосибирской области" (далее - Методика) регламентирует предоставление и распределение иных межбюджетных трансфертов бюджетам муниципальных образований Новосибирской области (далее - местные бюджеты) в целях софинансирования расходных обязательств муниципальных районов и городских округов Новосибирской области, связанных с реализацией муниципальных правовых актов, предусматривающих предоставление средств из местных бюджетов юридическим лицам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а также на выполнение работ по благоустройству придомовой территории в рамках </w:t>
      </w:r>
      <w:hyperlink w:history="0" w:anchor="P6315" w:tooltip="Подпрограмма">
        <w:r>
          <w:rPr>
            <w:sz w:val="20"/>
            <w:color w:val="0000ff"/>
          </w:rPr>
          <w:t xml:space="preserve">подпрограммы</w:t>
        </w:r>
      </w:hyperlink>
      <w:r>
        <w:rPr>
          <w:sz w:val="20"/>
        </w:rPr>
        <w:t xml:space="preserve"> "Государственная поддержка при завершении строительства "проблемных" жилых домов" государственной программы Новосибирской области "Стимулирование развития жилищного строительства в Новосибирской области".</w:t>
      </w:r>
    </w:p>
    <w:p>
      <w:pPr>
        <w:pStyle w:val="0"/>
        <w:spacing w:before="200" w:line-rule="auto"/>
        <w:ind w:firstLine="540"/>
        <w:jc w:val="both"/>
      </w:pPr>
      <w:r>
        <w:rPr>
          <w:sz w:val="20"/>
        </w:rPr>
        <w:t xml:space="preserve">2. Главным распорядителем бюджетных средств является министерство строительства Новосибирской области (далее - министерство).</w:t>
      </w:r>
    </w:p>
    <w:p>
      <w:pPr>
        <w:pStyle w:val="0"/>
        <w:spacing w:before="200" w:line-rule="auto"/>
        <w:ind w:firstLine="540"/>
        <w:jc w:val="both"/>
      </w:pPr>
      <w:r>
        <w:rPr>
          <w:sz w:val="20"/>
        </w:rPr>
        <w:t xml:space="preserve">3. Условиями предоставления иных межбюджетных трансфертов из областного бюджета Новосибирской области местным бюджетам на цели, указанные в </w:t>
      </w:r>
      <w:hyperlink w:history="0" w:anchor="P9497" w:tooltip="1. Методика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в рамках подпрограммы &quot;Государственная поддержка при завершении строительства &quot;проблемных&quot; жилых домов&quot; государственной программы Новосибирской области &quot;Стимулирование развития жилищного строительства в Новосибирской области&quot; (далее - Методика) регламентирует предоставление и распределение иных межбюджетных трансфертов бюджетам муниципа...">
        <w:r>
          <w:rPr>
            <w:sz w:val="20"/>
            <w:color w:val="0000ff"/>
          </w:rPr>
          <w:t xml:space="preserve">пункте 1</w:t>
        </w:r>
      </w:hyperlink>
      <w:r>
        <w:rPr>
          <w:sz w:val="20"/>
        </w:rPr>
        <w:t xml:space="preserve"> настоящей Методики, являются:</w:t>
      </w:r>
    </w:p>
    <w:p>
      <w:pPr>
        <w:pStyle w:val="0"/>
        <w:spacing w:before="200" w:line-rule="auto"/>
        <w:ind w:firstLine="540"/>
        <w:jc w:val="both"/>
      </w:pPr>
      <w:r>
        <w:rPr>
          <w:sz w:val="20"/>
        </w:rPr>
        <w:t xml:space="preserve">1) наличие правовых актов муниципальных районов и городских округов Новосибирской области,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иных межбюджетных трансфертов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w:t>
      </w:r>
    </w:p>
    <w:p>
      <w:pPr>
        <w:pStyle w:val="0"/>
        <w:spacing w:before="200" w:line-rule="auto"/>
        <w:ind w:firstLine="540"/>
        <w:jc w:val="both"/>
      </w:pPr>
      <w:r>
        <w:rPr>
          <w:sz w:val="20"/>
        </w:rPr>
        <w:t xml:space="preserve">2) наличие в местных бюджетах бюджетных ассигнований на исполнение расходных обязательств муниципальных районов и городских округов Новосибирской области, в целях софинансирования которых предоставляются иные межбюджетные трансферты, в объеме, необходимом для их исполнения, включая объем планируемых к предоставлению иных межбюджетных трансфертов;</w:t>
      </w:r>
    </w:p>
    <w:p>
      <w:pPr>
        <w:pStyle w:val="0"/>
        <w:spacing w:before="200" w:line-rule="auto"/>
        <w:ind w:firstLine="540"/>
        <w:jc w:val="both"/>
      </w:pPr>
      <w:r>
        <w:rPr>
          <w:sz w:val="20"/>
        </w:rPr>
        <w:t xml:space="preserve">3)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района (городского округа) Новосибирской области по исполнению расходных обязательств, в целях софинансирования которых предоставляются иные межбюджетные трансферты,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pPr>
        <w:pStyle w:val="0"/>
        <w:spacing w:before="200" w:line-rule="auto"/>
        <w:ind w:firstLine="540"/>
        <w:jc w:val="both"/>
      </w:pPr>
      <w:r>
        <w:rPr>
          <w:sz w:val="20"/>
        </w:rPr>
        <w:t xml:space="preserve">4) представление в министерство отчетов о выполненных объемах работ в порядке и сроки, установленные в Соглашении;</w:t>
      </w:r>
    </w:p>
    <w:p>
      <w:pPr>
        <w:pStyle w:val="0"/>
        <w:spacing w:before="200" w:line-rule="auto"/>
        <w:ind w:firstLine="540"/>
        <w:jc w:val="both"/>
      </w:pPr>
      <w:r>
        <w:rPr>
          <w:sz w:val="20"/>
        </w:rPr>
        <w:t xml:space="preserve">5) отсутствие неиспользованных остатков данных иных межбюджетных трансфертов на счетах администраций муниципальных районов (городских округов) Новосибирской области, перечисленных в предшествующий период;</w:t>
      </w:r>
    </w:p>
    <w:p>
      <w:pPr>
        <w:pStyle w:val="0"/>
        <w:spacing w:before="200" w:line-rule="auto"/>
        <w:ind w:firstLine="540"/>
        <w:jc w:val="both"/>
      </w:pPr>
      <w:r>
        <w:rPr>
          <w:sz w:val="20"/>
        </w:rPr>
        <w:t xml:space="preserve">6) централизация закупок товаров, работ, услуг с начальной (максимальной) ценой контракта, превышающей 500000,0 рубля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в соответствии с </w:t>
      </w:r>
      <w:hyperlink w:history="0" r:id="rId878" w:tooltip="Постановление Правительства Новосибирской области от 19.01.2015 N 12-п (ред. от 23.05.2022) &quot;О наделении полномочиями министерства строительства Новосибирской области&quot; (вместе с &quot;Порядком взаимодействия заказчиков с уполномоченным органом при осуществлении закупок товаров, работ, услуг, финансовое обеспечение которых частично или полностью осуществляется за счет межбюджетных трансфертов, главным распорядителем бюджетных средств по которым является министерство стро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19.01.2015 N 12-п "О наделении полномочиями министерства строительства Новосибирской области";</w:t>
      </w:r>
    </w:p>
    <w:p>
      <w:pPr>
        <w:pStyle w:val="0"/>
        <w:spacing w:before="200" w:line-rule="auto"/>
        <w:ind w:firstLine="540"/>
        <w:jc w:val="both"/>
      </w:pPr>
      <w:r>
        <w:rPr>
          <w:sz w:val="20"/>
        </w:rPr>
        <w:t xml:space="preserve">7) строительство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 (далее - объект жилищного строительства) ведется с привлечением денежных средств, вкладываемых гражданами, пострадавшими от действий недобросовестных застройщиков, сверх цены договора об участии в строительстве многоквартирного дома в целях ввода объекта жилищного строительства в эксплуатацию, рассчитанных на основе проектной документации на строительство многоквартирного дома, в том числе сметной документации, выполненной по утвержденным государственным расценкам;</w:t>
      </w:r>
    </w:p>
    <w:p>
      <w:pPr>
        <w:pStyle w:val="0"/>
        <w:spacing w:before="200" w:line-rule="auto"/>
        <w:ind w:firstLine="540"/>
        <w:jc w:val="both"/>
      </w:pPr>
      <w:r>
        <w:rPr>
          <w:sz w:val="20"/>
        </w:rPr>
        <w:t xml:space="preserve">8) наличие разрешения на строительство объекта жилищного строительства;</w:t>
      </w:r>
    </w:p>
    <w:p>
      <w:pPr>
        <w:pStyle w:val="0"/>
        <w:spacing w:before="200" w:line-rule="auto"/>
        <w:ind w:firstLine="540"/>
        <w:jc w:val="both"/>
      </w:pPr>
      <w:r>
        <w:rPr>
          <w:sz w:val="20"/>
        </w:rPr>
        <w:t xml:space="preserve">9) наличие действующих технических условий и договоров технологического присоединения (в случае предоставления субсидии для покрытия части расходов на подключение к сетям инженерно-технической инфраструктуры);</w:t>
      </w:r>
    </w:p>
    <w:p>
      <w:pPr>
        <w:pStyle w:val="0"/>
        <w:spacing w:before="200" w:line-rule="auto"/>
        <w:ind w:firstLine="540"/>
        <w:jc w:val="both"/>
      </w:pPr>
      <w:r>
        <w:rPr>
          <w:sz w:val="20"/>
        </w:rPr>
        <w:t xml:space="preserve">10) наличие проектно-сметной документации на установку лифтового оборудования и (или) выполнение работ по благоустройству придомовой территории объекта жилищного строительства (в случае предоставления субсидии для покрытия части расходов на установку лифтового оборудования и (или) выполнение работ по благоустройству придомовой территории);</w:t>
      </w:r>
    </w:p>
    <w:p>
      <w:pPr>
        <w:pStyle w:val="0"/>
        <w:spacing w:before="200" w:line-rule="auto"/>
        <w:ind w:firstLine="540"/>
        <w:jc w:val="both"/>
      </w:pPr>
      <w:r>
        <w:rPr>
          <w:sz w:val="20"/>
        </w:rPr>
        <w:t xml:space="preserve">11) софинансирование из бюджета муниципальных районов и городских округов Новосибирской области не менее 5% от суммы контракта, заключенного на выполнение работ по договорам технологического присоединения, на установку лифтового оборудования, а также выполнение работ по благоустройству придомовой территории.</w:t>
      </w:r>
    </w:p>
    <w:p>
      <w:pPr>
        <w:pStyle w:val="0"/>
        <w:spacing w:before="200" w:line-rule="auto"/>
        <w:ind w:firstLine="540"/>
        <w:jc w:val="both"/>
      </w:pPr>
      <w:r>
        <w:rPr>
          <w:sz w:val="20"/>
        </w:rPr>
        <w:t xml:space="preserve">4. Порядок (методика) распределения иных межбюджетных трансфертов между местными бюджетами, включая критерии отбора муниципальных образований Новосибирской области:</w:t>
      </w:r>
    </w:p>
    <w:p>
      <w:pPr>
        <w:pStyle w:val="0"/>
        <w:spacing w:before="200" w:line-rule="auto"/>
        <w:ind w:firstLine="540"/>
        <w:jc w:val="both"/>
      </w:pPr>
      <w:r>
        <w:rPr>
          <w:sz w:val="20"/>
        </w:rPr>
        <w:t xml:space="preserve">1) иные межбюджетные трансферты для покрытия части расходов на оплату по договорам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и передачи гражданам жилых помещений, предоставляются бюджетам муниципальных районов и городских округов Новосибирской области, на территории которых расположены объекты жилищного строительства;</w:t>
      </w:r>
    </w:p>
    <w:p>
      <w:pPr>
        <w:pStyle w:val="0"/>
        <w:spacing w:before="200" w:line-rule="auto"/>
        <w:ind w:firstLine="540"/>
        <w:jc w:val="both"/>
      </w:pPr>
      <w:r>
        <w:rPr>
          <w:sz w:val="20"/>
        </w:rPr>
        <w:t xml:space="preserve">2) объем иных межбюджетных трансфертов определяется на основании заявок муниципальных районов (городских округов) Новосибирской области с учетом уровня софинансирования, представляемых муниципальными районами (городскими округами) Новосибирской области в срок не позднее 10 числа текущего месяца (заявки могут представляться ежемесячно);</w:t>
      </w:r>
    </w:p>
    <w:p>
      <w:pPr>
        <w:pStyle w:val="0"/>
        <w:spacing w:before="200" w:line-rule="auto"/>
        <w:ind w:firstLine="540"/>
        <w:jc w:val="both"/>
      </w:pPr>
      <w:r>
        <w:rPr>
          <w:sz w:val="20"/>
        </w:rPr>
        <w:t xml:space="preserve">3) организация и проведение отбора объектов жилищного строительства, по которым требуется покрытие части расходов на оплату по договорам технологического присоединения, на установку лифтового оборудования, а также на выполнение работ по благоустройству придомовой территории, осуществляется органами местного самоуправления муниципальных районов и городских округов Новосибирской области, на территории которых находятся объекты жилищного строительства;</w:t>
      </w:r>
    </w:p>
    <w:p>
      <w:pPr>
        <w:pStyle w:val="0"/>
        <w:spacing w:before="200" w:line-rule="auto"/>
        <w:ind w:firstLine="540"/>
        <w:jc w:val="both"/>
      </w:pPr>
      <w:r>
        <w:rPr>
          <w:sz w:val="20"/>
        </w:rPr>
        <w:t xml:space="preserve">4) в случае если сумма заявок превышает объем бюджетных ассигнований, направленных на мероприятия по покрытию части расходов на оплату по договорам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преимущество для получения иных межбюджетных трансфертов имеют муниципальные районы и городские округа Новосибирской области, на территории которых объекты жилищного строительства имеют высокую степень готовности.</w:t>
      </w:r>
    </w:p>
    <w:p>
      <w:pPr>
        <w:pStyle w:val="0"/>
        <w:spacing w:before="200" w:line-rule="auto"/>
        <w:ind w:firstLine="540"/>
        <w:jc w:val="both"/>
      </w:pPr>
      <w:r>
        <w:rPr>
          <w:sz w:val="20"/>
        </w:rPr>
        <w:t xml:space="preserve">5. Перечисление иных межбюджетных трансфертов местным бюджетам осуществляется на основании заключенных Соглашений о предоставлении иных межбюджетных трансфертов.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w:t>
      </w:r>
    </w:p>
    <w:p>
      <w:pPr>
        <w:pStyle w:val="0"/>
        <w:spacing w:before="200" w:line-rule="auto"/>
        <w:ind w:firstLine="540"/>
        <w:jc w:val="both"/>
      </w:pPr>
      <w:r>
        <w:rPr>
          <w:sz w:val="20"/>
        </w:rPr>
        <w:t xml:space="preserve">6. Условия расходования иных межбюджетных трансфертов:</w:t>
      </w:r>
    </w:p>
    <w:p>
      <w:pPr>
        <w:pStyle w:val="0"/>
        <w:spacing w:before="200" w:line-rule="auto"/>
        <w:ind w:firstLine="540"/>
        <w:jc w:val="both"/>
      </w:pPr>
      <w:r>
        <w:rPr>
          <w:sz w:val="20"/>
        </w:rPr>
        <w:t xml:space="preserve">1) иные межбюджетные трансферты направляются исключительно на цели, указанные в </w:t>
      </w:r>
      <w:hyperlink w:history="0" w:anchor="P9497" w:tooltip="1. Методика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в рамках подпрограммы &quot;Государственная поддержка при завершении строительства &quot;проблемных&quot; жилых домов&quot; государственной программы Новосибирской области &quot;Стимулирование развития жилищного строительства в Новосибирской области&quot; (далее - Методика) регламентирует предоставление и распределение иных межбюджетных трансфертов бюджетам муниципа...">
        <w:r>
          <w:rPr>
            <w:sz w:val="20"/>
            <w:color w:val="0000ff"/>
          </w:rPr>
          <w:t xml:space="preserve">пункте 1</w:t>
        </w:r>
      </w:hyperlink>
      <w:r>
        <w:rPr>
          <w:sz w:val="20"/>
        </w:rPr>
        <w:t xml:space="preserve"> настоящей Методики;</w:t>
      </w:r>
    </w:p>
    <w:p>
      <w:pPr>
        <w:pStyle w:val="0"/>
        <w:spacing w:before="200" w:line-rule="auto"/>
        <w:ind w:firstLine="540"/>
        <w:jc w:val="both"/>
      </w:pPr>
      <w:r>
        <w:rPr>
          <w:sz w:val="20"/>
        </w:rPr>
        <w:t xml:space="preserve">2) осуществление расходов производится с лицевых счетов администраций муниципальных районов и городских округов Новосибирской области или с лицевых счетов муниципальных казенных учреждений (получателей бюджетных средств), уполномоченных органами местного самоуправления муниципальных районов и городских округов Новосибирской области, на основании договоров, контрактов, заключенных в соответствии с Федеральным </w:t>
      </w:r>
      <w:hyperlink w:history="0" r:id="rId879"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4.2023)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 а также в соответствии с заключенным соглашением между органами местного самоуправления муниципальных районов и городских округов Новосибирской области и юридическими лицами;</w:t>
      </w:r>
    </w:p>
    <w:p>
      <w:pPr>
        <w:pStyle w:val="0"/>
        <w:spacing w:before="200" w:line-rule="auto"/>
        <w:ind w:firstLine="540"/>
        <w:jc w:val="both"/>
      </w:pPr>
      <w:r>
        <w:rPr>
          <w:sz w:val="20"/>
        </w:rPr>
        <w:t xml:space="preserve">3) предоставление муниципальными районами (городскими округами) Новосибирской области субсидий юридическим лицам для покрытия части расходов на оплату по договорам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и передачи гражданам жилых помещений, производится в соответствии с условиями и порядком предоставления субсидий, установленными органами местного самоуправления муниципальных районов и городских округов Новосибирской области, на территории которых находятся объекты жилищного строительства.</w:t>
      </w:r>
    </w:p>
    <w:p>
      <w:pPr>
        <w:pStyle w:val="0"/>
        <w:spacing w:before="200" w:line-rule="auto"/>
        <w:ind w:firstLine="540"/>
        <w:jc w:val="both"/>
      </w:pPr>
      <w:r>
        <w:rPr>
          <w:sz w:val="20"/>
        </w:rPr>
        <w:t xml:space="preserve">7. Контроль за соблюдением получателями иных межбюджетных трансфертов условий предоставления иных межбюджетных трансфертов осуществляет министерство и органы государственного финансового контроля Новосибирской области в соответствии с бюджетным законодательством Российской Федерации.</w:t>
      </w:r>
    </w:p>
    <w:p>
      <w:pPr>
        <w:pStyle w:val="0"/>
        <w:spacing w:before="200" w:line-rule="auto"/>
        <w:ind w:firstLine="540"/>
        <w:jc w:val="both"/>
      </w:pPr>
      <w:r>
        <w:rPr>
          <w:sz w:val="20"/>
        </w:rPr>
        <w:t xml:space="preserve">8. Стороны несут ответственность за неисполнение или ненадлежащее исполнение обязательств по заключенному Соглашению в соответствии с действующим законодательством Российской Федерации.</w:t>
      </w:r>
    </w:p>
    <w:p>
      <w:pPr>
        <w:pStyle w:val="0"/>
        <w:spacing w:before="200" w:line-rule="auto"/>
        <w:ind w:firstLine="540"/>
        <w:jc w:val="both"/>
      </w:pPr>
      <w:r>
        <w:rPr>
          <w:sz w:val="20"/>
        </w:rPr>
        <w:t xml:space="preserve">9. Остаток бюджетных средств, не использованный получателями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pPr>
        <w:pStyle w:val="0"/>
        <w:spacing w:before="200" w:line-rule="auto"/>
        <w:ind w:firstLine="540"/>
        <w:jc w:val="both"/>
      </w:pPr>
      <w:r>
        <w:rPr>
          <w:sz w:val="20"/>
        </w:rPr>
        <w:t xml:space="preserve">10. В случае нецелевого использования иных межбюджетных трансфертов к муниципальному району (городскому округу) Новосибирской области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pPr>
        <w:pStyle w:val="0"/>
        <w:spacing w:before="200" w:line-rule="auto"/>
        <w:ind w:firstLine="540"/>
        <w:jc w:val="both"/>
      </w:pPr>
      <w:r>
        <w:rPr>
          <w:sz w:val="20"/>
        </w:rPr>
        <w:t xml:space="preserve">11. Порядок оценки эффективности использования иных межбюджетных трансфертов:</w:t>
      </w:r>
    </w:p>
    <w:p>
      <w:pPr>
        <w:pStyle w:val="0"/>
        <w:spacing w:before="200" w:line-rule="auto"/>
        <w:ind w:firstLine="540"/>
        <w:jc w:val="both"/>
      </w:pPr>
      <w:r>
        <w:rPr>
          <w:sz w:val="20"/>
        </w:rPr>
        <w:t xml:space="preserve">Оценка эффективности использования иных межбюджетных трансфертов осуществляется министерством на основании отчета о достижении показателей результатов использования иных межбюджетных трансфертов, предоставляемого получателем в сроки, установленные в Соглашении.</w:t>
      </w:r>
    </w:p>
    <w:p>
      <w:pPr>
        <w:pStyle w:val="0"/>
        <w:spacing w:before="200" w:line-rule="auto"/>
        <w:ind w:firstLine="540"/>
        <w:jc w:val="both"/>
      </w:pPr>
      <w:r>
        <w:rPr>
          <w:sz w:val="20"/>
        </w:rPr>
        <w:t xml:space="preserve">Результатом использования иных межбюджетных трансфертов является количество "проблемных" объектов, по которым выполнены мероприятия по обеспечению инженерной инфраструктурой и благоустройством придомовой территории.</w:t>
      </w:r>
    </w:p>
    <w:p>
      <w:pPr>
        <w:pStyle w:val="0"/>
        <w:spacing w:before="200" w:line-rule="auto"/>
        <w:ind w:firstLine="540"/>
        <w:jc w:val="both"/>
      </w:pPr>
      <w:r>
        <w:rPr>
          <w:sz w:val="20"/>
        </w:rPr>
        <w:t xml:space="preserve">Значение показателя результата использования иных межбюджетных трансфертов, указанного в настоящем пункте, устанавливается в Соглашении.</w:t>
      </w:r>
    </w:p>
    <w:p>
      <w:pPr>
        <w:pStyle w:val="0"/>
        <w:spacing w:before="200" w:line-rule="auto"/>
        <w:ind w:firstLine="540"/>
        <w:jc w:val="both"/>
      </w:pPr>
      <w:r>
        <w:rPr>
          <w:sz w:val="20"/>
        </w:rPr>
        <w:t xml:space="preserve">12. В случае нецелевого использования иных межбюджетных трансфертов, недостижения муниципальными районами (городскими округами) Новосибирской области показателей результатов использования иных межбюджетных трансфертов, иной межбюджетный трансферт подлежит возврату в областной бюджет Новосибирской области в соответствии с законодательством Российской Федерации и Новосибирской области.</w:t>
      </w:r>
    </w:p>
    <w:p>
      <w:pPr>
        <w:pStyle w:val="0"/>
        <w:spacing w:before="200" w:line-rule="auto"/>
        <w:ind w:firstLine="540"/>
        <w:jc w:val="both"/>
      </w:pPr>
      <w:r>
        <w:rPr>
          <w:sz w:val="20"/>
        </w:rPr>
        <w:t xml:space="preserve">При выявлении указанных обстоятельств министерство в течение 10 рабочих дней со дня их обнаружения направляет получателю межбюджетных трансфертов письменное требование о возврате иных межбюджетных трансфертов с указанием суммы иных межбюджетных трансфертов, подлежащих возврату, реквизитов министерства и кодов бюджетной классификации иных межбюджетных трансфертов.</w:t>
      </w:r>
    </w:p>
    <w:p>
      <w:pPr>
        <w:pStyle w:val="0"/>
        <w:spacing w:before="200" w:line-rule="auto"/>
        <w:ind w:firstLine="540"/>
        <w:jc w:val="both"/>
      </w:pPr>
      <w:r>
        <w:rPr>
          <w:sz w:val="20"/>
        </w:rPr>
        <w:t xml:space="preserve">Получатель межбюджетных трансфертов в течение 5 рабочих дней с даты получения письменного требования о возврате производит возврат указанных финансовых средств министерству.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16</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9543" w:name="P9543"/>
    <w:bookmarkEnd w:id="9543"/>
    <w:p>
      <w:pPr>
        <w:pStyle w:val="2"/>
        <w:jc w:val="center"/>
      </w:pPr>
      <w:r>
        <w:rPr>
          <w:sz w:val="20"/>
        </w:rPr>
        <w:t xml:space="preserve">ПОРЯДОК</w:t>
      </w:r>
    </w:p>
    <w:p>
      <w:pPr>
        <w:pStyle w:val="2"/>
        <w:jc w:val="center"/>
      </w:pPr>
      <w:r>
        <w:rPr>
          <w:sz w:val="20"/>
        </w:rPr>
        <w:t xml:space="preserve">определения объема и предоставления субсидий</w:t>
      </w:r>
    </w:p>
    <w:p>
      <w:pPr>
        <w:pStyle w:val="2"/>
        <w:jc w:val="center"/>
      </w:pPr>
      <w:r>
        <w:rPr>
          <w:sz w:val="20"/>
        </w:rPr>
        <w:t xml:space="preserve">из областного бюджета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880" w:tooltip="Постановление Правительства Новосибирской области от 15.03.2022 N 8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15.03.2022 N 82-п;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26.04.2022 </w:t>
            </w:r>
            <w:hyperlink w:history="0" r:id="rId881"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color w:val="392c69"/>
              </w:rPr>
              <w:t xml:space="preserve">, от 29.12.2022 </w:t>
            </w:r>
            <w:hyperlink w:history="0" r:id="rId882"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color w:val="392c69"/>
              </w:rPr>
              <w:t xml:space="preserve">, от 21.03.2023 </w:t>
            </w:r>
            <w:hyperlink w:history="0" r:id="rId883"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N 100-п</w:t>
              </w:r>
            </w:hyperlink>
            <w:r>
              <w:rPr>
                <w:sz w:val="20"/>
                <w:color w:val="392c69"/>
              </w:rPr>
              <w:t xml:space="preserve">,</w:t>
            </w:r>
          </w:p>
          <w:p>
            <w:pPr>
              <w:pStyle w:val="0"/>
              <w:jc w:val="center"/>
            </w:pPr>
            <w:r>
              <w:rPr>
                <w:sz w:val="20"/>
                <w:color w:val="392c69"/>
              </w:rPr>
              <w:t xml:space="preserve">от 17.04.2023 </w:t>
            </w:r>
            <w:hyperlink w:history="0" r:id="rId884" w:tooltip="Постановление Правительства Новосибирской области от 17.04.2023 N 158-п &quot;О внесении изменений в постановление Правительства Новосибирской области от 20.02.2015 N 68-п&quot; {КонсультантПлюс}">
              <w:r>
                <w:rPr>
                  <w:sz w:val="20"/>
                  <w:color w:val="0000ff"/>
                </w:rPr>
                <w:t xml:space="preserve">N 158-п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Общие положения о предоставлении субсидий</w:t>
      </w:r>
    </w:p>
    <w:p>
      <w:pPr>
        <w:pStyle w:val="0"/>
        <w:ind w:firstLine="540"/>
        <w:jc w:val="both"/>
      </w:pPr>
      <w:r>
        <w:rPr>
          <w:sz w:val="20"/>
        </w:rPr>
      </w:r>
    </w:p>
    <w:bookmarkStart w:id="9555" w:name="P9555"/>
    <w:bookmarkEnd w:id="9555"/>
    <w:p>
      <w:pPr>
        <w:pStyle w:val="0"/>
        <w:ind w:firstLine="540"/>
        <w:jc w:val="both"/>
      </w:pPr>
      <w:r>
        <w:rPr>
          <w:sz w:val="20"/>
        </w:rPr>
        <w:t xml:space="preserve">1. Настоящий Порядок регулирует определение объема и предоставление субсидий из областного бюджета Новосибирской области акционерному обществу "Агентство развития жилищного строительства Новосибирской области" (далее соответственно - Порядок, Общество, областной бюджет).</w:t>
      </w:r>
    </w:p>
    <w:p>
      <w:pPr>
        <w:pStyle w:val="0"/>
        <w:spacing w:before="200" w:line-rule="auto"/>
        <w:ind w:firstLine="540"/>
        <w:jc w:val="both"/>
      </w:pPr>
      <w:r>
        <w:rPr>
          <w:sz w:val="20"/>
        </w:rPr>
        <w:t xml:space="preserve">Субсидии за счет средств областного бюджета предоставляются Обществу в пределах бюджетных ассигнований, утвержденных законом об областном бюджете на соответствующий финансовый год и плановый период (далее - Закон) в рамках </w:t>
      </w:r>
      <w:hyperlink w:history="0" w:anchor="P6143" w:tooltip="Подпрограмма">
        <w:r>
          <w:rPr>
            <w:sz w:val="20"/>
            <w:color w:val="0000ff"/>
          </w:rPr>
          <w:t xml:space="preserve">подпрограммы</w:t>
        </w:r>
      </w:hyperlink>
      <w:r>
        <w:rPr>
          <w:sz w:val="20"/>
        </w:rPr>
        <w:t xml:space="preserve"> "Земельные ресурсы и инфраструктура" государственной программы Новосибирской области "Стимулирование развития жилищного строительства в Новосибирской области", министерством строительства Новосибирской области (далее - Министерство), являющимся главным распорядителем бюджетных средств, в пределах лимитов бюджетных обязательств, доведенных министерством финансов и налоговой политики Новосибирской области до Министерства.</w:t>
      </w:r>
    </w:p>
    <w:p>
      <w:pPr>
        <w:pStyle w:val="0"/>
        <w:spacing w:before="200" w:line-rule="auto"/>
        <w:ind w:firstLine="540"/>
        <w:jc w:val="both"/>
      </w:pPr>
      <w:r>
        <w:rPr>
          <w:sz w:val="20"/>
        </w:rPr>
        <w:t xml:space="preserve">2. Предоставление субсидий осуществляется в соответствии с </w:t>
      </w:r>
      <w:hyperlink w:history="0" r:id="rId885" w:tooltip="Постановление Правительства РФ от 19.10.2020 N 1704 (ред. от 09.12.2022) &quot;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КонсультантПлюс}">
        <w:r>
          <w:rPr>
            <w:sz w:val="20"/>
            <w:color w:val="0000ff"/>
          </w:rPr>
          <w:t xml:space="preserve">постановлением</w:t>
        </w:r>
      </w:hyperlink>
      <w:r>
        <w:rPr>
          <w:sz w:val="20"/>
        </w:rP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для:</w:t>
      </w:r>
    </w:p>
    <w:p>
      <w:pPr>
        <w:pStyle w:val="0"/>
        <w:spacing w:before="200" w:line-rule="auto"/>
        <w:ind w:firstLine="540"/>
        <w:jc w:val="both"/>
      </w:pPr>
      <w:r>
        <w:rPr>
          <w:sz w:val="20"/>
        </w:rPr>
        <w:t xml:space="preserve">выполнения инженерных изысканий, разработки проектной, сметной и рабочей документации (в том числе корректировки) на объекты транспортной, инженерной, энергетической и коммунальной инфраструктуры, необходимые для реализации новых инвестиционных проектов, в отношении которых между Правительством Новосибирской области и Обществом заключены соответствующие соглашения (далее - объекты инфраструктуры);</w:t>
      </w:r>
    </w:p>
    <w:p>
      <w:pPr>
        <w:pStyle w:val="0"/>
        <w:jc w:val="both"/>
      </w:pPr>
      <w:r>
        <w:rPr>
          <w:sz w:val="20"/>
        </w:rPr>
        <w:t xml:space="preserve">(в ред. </w:t>
      </w:r>
      <w:hyperlink w:history="0" r:id="rId886" w:tooltip="Постановление Правительства Новосибирской области от 17.04.2023 N 15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17.04.2023 N 158-п)</w:t>
      </w:r>
    </w:p>
    <w:p>
      <w:pPr>
        <w:pStyle w:val="0"/>
        <w:spacing w:before="200" w:line-rule="auto"/>
        <w:ind w:firstLine="540"/>
        <w:jc w:val="both"/>
      </w:pPr>
      <w:r>
        <w:rPr>
          <w:sz w:val="20"/>
        </w:rPr>
        <w:t xml:space="preserve">оплаты государственной экспертизы проектной документации, оплаты проверки достоверности определения сметной стоимости объектов инфраструктуры;</w:t>
      </w:r>
    </w:p>
    <w:p>
      <w:pPr>
        <w:pStyle w:val="0"/>
        <w:spacing w:before="200" w:line-rule="auto"/>
        <w:ind w:firstLine="540"/>
        <w:jc w:val="both"/>
      </w:pPr>
      <w:r>
        <w:rPr>
          <w:sz w:val="20"/>
        </w:rPr>
        <w:t xml:space="preserve">строительства, реконструкции и ввода в эксплуатацию объектов инфраструктуры;</w:t>
      </w:r>
    </w:p>
    <w:p>
      <w:pPr>
        <w:pStyle w:val="0"/>
        <w:spacing w:before="200" w:line-rule="auto"/>
        <w:ind w:firstLine="540"/>
        <w:jc w:val="both"/>
      </w:pPr>
      <w:r>
        <w:rPr>
          <w:sz w:val="20"/>
        </w:rPr>
        <w:t xml:space="preserve">оплаты подключения (технологического присоединения) таких объектов к действующим сетям инженерно-технического обеспечения.</w:t>
      </w:r>
    </w:p>
    <w:p>
      <w:pPr>
        <w:pStyle w:val="0"/>
        <w:jc w:val="both"/>
      </w:pPr>
      <w:r>
        <w:rPr>
          <w:sz w:val="20"/>
        </w:rPr>
        <w:t xml:space="preserve">(п. 2 в ред. </w:t>
      </w:r>
      <w:hyperlink w:history="0" r:id="rId887"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29.12.2022 N 652-п)</w:t>
      </w:r>
    </w:p>
    <w:p>
      <w:pPr>
        <w:pStyle w:val="0"/>
        <w:spacing w:before="200" w:line-rule="auto"/>
        <w:ind w:firstLine="540"/>
        <w:jc w:val="both"/>
      </w:pPr>
      <w:r>
        <w:rPr>
          <w:sz w:val="20"/>
        </w:rPr>
        <w:t xml:space="preserve">3. Сведения о субсидиях из областного бюджета, предусматриваемых Обществу,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Новосибирской области о бюджете (закона Новосибирской области о внесении изменений в закон Новосибирской области о бюджете).</w:t>
      </w:r>
    </w:p>
    <w:p>
      <w:pPr>
        <w:pStyle w:val="0"/>
        <w:jc w:val="both"/>
      </w:pPr>
      <w:r>
        <w:rPr>
          <w:sz w:val="20"/>
        </w:rPr>
        <w:t xml:space="preserve">(п. 3 в ред. </w:t>
      </w:r>
      <w:hyperlink w:history="0" r:id="rId888"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29.12.2022 N 652-п)</w:t>
      </w:r>
    </w:p>
    <w:p>
      <w:pPr>
        <w:pStyle w:val="0"/>
        <w:ind w:firstLine="540"/>
        <w:jc w:val="both"/>
      </w:pPr>
      <w:r>
        <w:rPr>
          <w:sz w:val="20"/>
        </w:rPr>
      </w:r>
    </w:p>
    <w:p>
      <w:pPr>
        <w:pStyle w:val="2"/>
        <w:outlineLvl w:val="2"/>
        <w:jc w:val="center"/>
      </w:pPr>
      <w:r>
        <w:rPr>
          <w:sz w:val="20"/>
        </w:rPr>
        <w:t xml:space="preserve">II. Условия и порядок предоставления субсидий</w:t>
      </w:r>
    </w:p>
    <w:p>
      <w:pPr>
        <w:pStyle w:val="0"/>
        <w:ind w:firstLine="540"/>
        <w:jc w:val="both"/>
      </w:pPr>
      <w:r>
        <w:rPr>
          <w:sz w:val="20"/>
        </w:rPr>
      </w:r>
    </w:p>
    <w:p>
      <w:pPr>
        <w:pStyle w:val="0"/>
        <w:ind w:firstLine="540"/>
        <w:jc w:val="both"/>
      </w:pPr>
      <w:r>
        <w:rPr>
          <w:sz w:val="20"/>
        </w:rPr>
        <w:t xml:space="preserve">4. Субсидии предоставляются Обществу на основании соглашения, заключенного между Министерством и Обществом (далее соответственно - Соглашение, Стороны), на счета, открытые в Управлении Федерального казначейства по Новосибирской области.</w:t>
      </w:r>
    </w:p>
    <w:p>
      <w:pPr>
        <w:pStyle w:val="0"/>
        <w:spacing w:before="200" w:line-rule="auto"/>
        <w:ind w:firstLine="540"/>
        <w:jc w:val="both"/>
      </w:pPr>
      <w:r>
        <w:rPr>
          <w:sz w:val="20"/>
        </w:rPr>
        <w:t xml:space="preserve">Соглашение заключается не позднее 31 января соответствующего финансового года в соответствии с типовой формой, утвержденной </w:t>
      </w:r>
      <w:hyperlink w:history="0" r:id="rId889" w:tooltip="Приказ МФ и НП Новосибирской области от 27.12.2016 N 80-НПА (ред. от 30.03.2023) &quot;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quot; {КонсультантПлюс}">
        <w:r>
          <w:rPr>
            <w:sz w:val="20"/>
            <w:color w:val="0000ff"/>
          </w:rPr>
          <w:t xml:space="preserve">приказом</w:t>
        </w:r>
      </w:hyperlink>
      <w:r>
        <w:rPr>
          <w:sz w:val="20"/>
        </w:rP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приказ N 80-НПА), при условии доведения лимитов бюджетных обязательств до Министерства.</w:t>
      </w:r>
    </w:p>
    <w:p>
      <w:pPr>
        <w:pStyle w:val="0"/>
        <w:spacing w:before="200" w:line-rule="auto"/>
        <w:ind w:firstLine="540"/>
        <w:jc w:val="both"/>
      </w:pPr>
      <w:r>
        <w:rPr>
          <w:sz w:val="20"/>
        </w:rPr>
        <w:t xml:space="preserve">5. В Соглашении должны содержаться:</w:t>
      </w:r>
    </w:p>
    <w:p>
      <w:pPr>
        <w:pStyle w:val="0"/>
        <w:spacing w:before="200" w:line-rule="auto"/>
        <w:ind w:firstLine="540"/>
        <w:jc w:val="both"/>
      </w:pPr>
      <w:r>
        <w:rPr>
          <w:sz w:val="20"/>
        </w:rPr>
        <w:t xml:space="preserve">1) результаты и значения показателей, необходимых для достижения заданных результатов предоставления субсидии;</w:t>
      </w:r>
    </w:p>
    <w:p>
      <w:pPr>
        <w:pStyle w:val="0"/>
        <w:spacing w:before="200" w:line-rule="auto"/>
        <w:ind w:firstLine="540"/>
        <w:jc w:val="both"/>
      </w:pPr>
      <w:r>
        <w:rPr>
          <w:sz w:val="20"/>
        </w:rPr>
        <w:t xml:space="preserve">2) сроки и формы представления Обществом отчетности о достижении результатов и показателей, необходимых для достижения заданных результатов предоставления субсидии;</w:t>
      </w:r>
    </w:p>
    <w:p>
      <w:pPr>
        <w:pStyle w:val="0"/>
        <w:spacing w:before="200" w:line-rule="auto"/>
        <w:ind w:firstLine="540"/>
        <w:jc w:val="both"/>
      </w:pPr>
      <w:r>
        <w:rPr>
          <w:sz w:val="20"/>
        </w:rPr>
        <w:t xml:space="preserve">3) требование об осуществлении закупок проектных, изыскательских работ, работ по строительству (реконструкции) объектов инфраструктуры с соблюдением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объекты инфраструктуры подлежат передаче в государственную (муниципальную) собственность;</w:t>
      </w:r>
    </w:p>
    <w:p>
      <w:pPr>
        <w:pStyle w:val="0"/>
        <w:spacing w:before="200" w:line-rule="auto"/>
        <w:ind w:firstLine="540"/>
        <w:jc w:val="both"/>
      </w:pPr>
      <w:r>
        <w:rPr>
          <w:sz w:val="20"/>
        </w:rPr>
        <w:t xml:space="preserve">4) требование об обязательном проведении государственной экспертизы проектной документации объектов инфраструктуры и проверки достоверности определения их сметной стоимости;</w:t>
      </w:r>
    </w:p>
    <w:p>
      <w:pPr>
        <w:pStyle w:val="0"/>
        <w:spacing w:before="200" w:line-rule="auto"/>
        <w:ind w:firstLine="540"/>
        <w:jc w:val="both"/>
      </w:pPr>
      <w:r>
        <w:rPr>
          <w:sz w:val="20"/>
        </w:rPr>
        <w:t xml:space="preserve">5) график перечисления и размер субсидии;</w:t>
      </w:r>
    </w:p>
    <w:p>
      <w:pPr>
        <w:pStyle w:val="0"/>
        <w:spacing w:before="200" w:line-rule="auto"/>
        <w:ind w:firstLine="540"/>
        <w:jc w:val="both"/>
      </w:pPr>
      <w:r>
        <w:rPr>
          <w:sz w:val="20"/>
        </w:rPr>
        <w:t xml:space="preserve">6) согласие Общества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органом государственного финансового контроля проверок, предусмотренных </w:t>
      </w:r>
      <w:hyperlink w:history="0" r:id="rId890" w:tooltip="&quot;Бюджетный кодекс Российской Федерации&quot; от 31.07.1998 N 145-ФЗ (ред. от 14.04.2023) {КонсультантПлюс}">
        <w:r>
          <w:rPr>
            <w:sz w:val="20"/>
            <w:color w:val="0000ff"/>
          </w:rPr>
          <w:t xml:space="preserve">подпунктом 5 пункта 3 статьи 78</w:t>
        </w:r>
      </w:hyperlink>
      <w:r>
        <w:rPr>
          <w:sz w:val="20"/>
        </w:rPr>
        <w:t xml:space="preserve"> Бюджетного кодекса Российской Федерации;</w:t>
      </w:r>
    </w:p>
    <w:p>
      <w:pPr>
        <w:pStyle w:val="0"/>
        <w:jc w:val="both"/>
      </w:pPr>
      <w:r>
        <w:rPr>
          <w:sz w:val="20"/>
        </w:rPr>
        <w:t xml:space="preserve">(в ред. </w:t>
      </w:r>
      <w:hyperlink w:history="0" r:id="rId891"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29.12.2022 N 652-п)</w:t>
      </w:r>
    </w:p>
    <w:p>
      <w:pPr>
        <w:pStyle w:val="0"/>
        <w:spacing w:before="200" w:line-rule="auto"/>
        <w:ind w:firstLine="540"/>
        <w:jc w:val="both"/>
      </w:pPr>
      <w:r>
        <w:rPr>
          <w:sz w:val="20"/>
        </w:rPr>
        <w:t xml:space="preserve">7) запрет приобретения за счет субсидии иностранной валюты;</w:t>
      </w:r>
    </w:p>
    <w:p>
      <w:pPr>
        <w:pStyle w:val="0"/>
        <w:spacing w:before="200" w:line-rule="auto"/>
        <w:ind w:firstLine="540"/>
        <w:jc w:val="both"/>
      </w:pPr>
      <w:r>
        <w:rPr>
          <w:sz w:val="20"/>
        </w:rPr>
        <w:t xml:space="preserve">8) положение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9555" w:tooltip="1. Настоящий Порядок регулирует определение объема и предоставление субсидий из областного бюджета Новосибирской области акционерному обществу &quot;Агентство развития жилищного строительства Новосибирской области&quot; (далее соответственно - Порядок, Общество, областной бюджет).">
        <w:r>
          <w:rPr>
            <w:sz w:val="20"/>
            <w:color w:val="0000ff"/>
          </w:rPr>
          <w:t xml:space="preserve">пункте 1</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9)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pPr>
        <w:pStyle w:val="0"/>
        <w:jc w:val="both"/>
      </w:pPr>
      <w:r>
        <w:rPr>
          <w:sz w:val="20"/>
        </w:rPr>
        <w:t xml:space="preserve">(пп. 9 введен </w:t>
      </w:r>
      <w:hyperlink w:history="0" r:id="rId892" w:tooltip="Постановление Правительства Новосибирской области от 17.04.2023 N 15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17.04.2023 N 158-п)</w:t>
      </w:r>
    </w:p>
    <w:bookmarkStart w:id="9583" w:name="P9583"/>
    <w:bookmarkEnd w:id="9583"/>
    <w:p>
      <w:pPr>
        <w:pStyle w:val="0"/>
        <w:spacing w:before="200" w:line-rule="auto"/>
        <w:ind w:firstLine="540"/>
        <w:jc w:val="both"/>
      </w:pPr>
      <w:r>
        <w:rPr>
          <w:sz w:val="20"/>
        </w:rPr>
        <w:t xml:space="preserve">6. Результатами предоставления субсидии являются получение положительного заключения государственной экспертизы проектной документации, положительное заключение по результатам проверки достоверности определения сметной стоимости, разработка рабочей документации, ввод в эксплуатацию законченных строительством или реконструкцией объектов инфраструктуры, заключение договоров технологического присоединения.</w:t>
      </w:r>
    </w:p>
    <w:p>
      <w:pPr>
        <w:pStyle w:val="0"/>
        <w:jc w:val="both"/>
      </w:pPr>
      <w:r>
        <w:rPr>
          <w:sz w:val="20"/>
        </w:rPr>
        <w:t xml:space="preserve">(в ред. постановлений Правительства Новосибирской области от 26.04.2022 </w:t>
      </w:r>
      <w:hyperlink w:history="0" r:id="rId893"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rPr>
        <w:t xml:space="preserve">, от 29.12.2022 </w:t>
      </w:r>
      <w:hyperlink w:history="0" r:id="rId894"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 от 21.03.2023 </w:t>
      </w:r>
      <w:hyperlink w:history="0" r:id="rId895"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N 100-п</w:t>
        </w:r>
      </w:hyperlink>
      <w:r>
        <w:rPr>
          <w:sz w:val="20"/>
        </w:rPr>
        <w:t xml:space="preserve">)</w:t>
      </w:r>
    </w:p>
    <w:p>
      <w:pPr>
        <w:pStyle w:val="0"/>
        <w:spacing w:before="200" w:line-rule="auto"/>
        <w:ind w:firstLine="540"/>
        <w:jc w:val="both"/>
      </w:pPr>
      <w:r>
        <w:rPr>
          <w:sz w:val="20"/>
        </w:rPr>
        <w:t xml:space="preserve">Показателем, необходимым для достижения заданных результатов предоставления субсидии, является соблюдение графика выполнения инженерных изысканий, разработки проектной, сметной и рабочей документации, проведения государственной экспертизы проектной документации и проверки достоверности определения сметной стоимости объектов инфраструктуры, соблюдение графика выполнения строительно-монтажных работ, заключения договоров технологического присоединения (далее - График), согласованного Сторонами.</w:t>
      </w:r>
    </w:p>
    <w:p>
      <w:pPr>
        <w:pStyle w:val="0"/>
        <w:jc w:val="both"/>
      </w:pPr>
      <w:r>
        <w:rPr>
          <w:sz w:val="20"/>
        </w:rPr>
        <w:t xml:space="preserve">(в ред. постановлений Правительства Новосибирской области от 26.04.2022 </w:t>
      </w:r>
      <w:hyperlink w:history="0" r:id="rId896"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rPr>
        <w:t xml:space="preserve">, от 29.12.2022 </w:t>
      </w:r>
      <w:hyperlink w:history="0" r:id="rId897"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N 652-п</w:t>
        </w:r>
      </w:hyperlink>
      <w:r>
        <w:rPr>
          <w:sz w:val="20"/>
        </w:rPr>
        <w:t xml:space="preserve">)</w:t>
      </w:r>
    </w:p>
    <w:p>
      <w:pPr>
        <w:pStyle w:val="0"/>
        <w:spacing w:before="200" w:line-rule="auto"/>
        <w:ind w:firstLine="540"/>
        <w:jc w:val="both"/>
      </w:pPr>
      <w:r>
        <w:rPr>
          <w:sz w:val="20"/>
        </w:rPr>
        <w:t xml:space="preserve">7. Перечисление субсидии осуществляется на счета, открытые в Управлении Федерального казначейства по Новосибирской области, указанные в Соглашении.</w:t>
      </w:r>
    </w:p>
    <w:p>
      <w:pPr>
        <w:pStyle w:val="0"/>
        <w:spacing w:before="200" w:line-rule="auto"/>
        <w:ind w:firstLine="540"/>
        <w:jc w:val="both"/>
      </w:pPr>
      <w:r>
        <w:rPr>
          <w:sz w:val="20"/>
        </w:rPr>
        <w:t xml:space="preserve">8. Размер субсидии определяется на основании подготовленного Обществом и согласованного с Министерством (или подведомственным учреждением) расчета стоимости выполнения инженерных изысканий, разработки проектной, сметной и рабочей документации, оплаты государственной экспертизы проектной документации, расчета стоимости строительно-монтажных работ, оплаты подключения (технологического присоединения) к действующим сетям инженерно-технического обеспечения, исходя из технических параметров и мощностей объектов, и подлежит уточнению по результатам проверки достоверности определения сметной стоимости строительства и заключения договоров технологического присоединения.</w:t>
      </w:r>
    </w:p>
    <w:p>
      <w:pPr>
        <w:pStyle w:val="0"/>
        <w:jc w:val="both"/>
      </w:pPr>
      <w:r>
        <w:rPr>
          <w:sz w:val="20"/>
        </w:rPr>
        <w:t xml:space="preserve">(п. 8 в ред. </w:t>
      </w:r>
      <w:hyperlink w:history="0" r:id="rId898"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29.12.2022 N 652-п)</w:t>
      </w:r>
    </w:p>
    <w:p>
      <w:pPr>
        <w:pStyle w:val="0"/>
        <w:spacing w:before="200" w:line-rule="auto"/>
        <w:ind w:firstLine="540"/>
        <w:jc w:val="both"/>
      </w:pPr>
      <w:r>
        <w:rPr>
          <w:sz w:val="20"/>
        </w:rPr>
        <w:t xml:space="preserve">9. Перечисление субсидии осуществляется в соответствии с графиком перечисления субсидии, установленным Соглашением.</w:t>
      </w:r>
    </w:p>
    <w:bookmarkStart w:id="9591" w:name="P9591"/>
    <w:bookmarkEnd w:id="9591"/>
    <w:p>
      <w:pPr>
        <w:pStyle w:val="0"/>
        <w:spacing w:before="200" w:line-rule="auto"/>
        <w:ind w:firstLine="540"/>
        <w:jc w:val="both"/>
      </w:pPr>
      <w:r>
        <w:rPr>
          <w:sz w:val="20"/>
        </w:rPr>
        <w:t xml:space="preserve">10. Для получения субсидии Общество представляет в Министерство заявку на предоставление субсидии (далее - заявка) в срок не позднее 10 числа месяца, в котором планируется получение субсидии. Заявка представляется в форме письма, содержащего информацию о соблюдении требований, установленных </w:t>
      </w:r>
      <w:hyperlink w:history="0" w:anchor="P9600" w:tooltip="12. Требования, которым должно соответствовать Общество на дату не ранее первого числа месяца, в котором планируется предоставление субсидии:">
        <w:r>
          <w:rPr>
            <w:sz w:val="20"/>
            <w:color w:val="0000ff"/>
          </w:rPr>
          <w:t xml:space="preserve">пунктом 12</w:t>
        </w:r>
      </w:hyperlink>
      <w:r>
        <w:rPr>
          <w:sz w:val="20"/>
        </w:rPr>
        <w:t xml:space="preserve"> Порядка, а также согласие Общества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органом государственного финансового контроля проверок, предусмотренных </w:t>
      </w:r>
      <w:hyperlink w:history="0" r:id="rId899" w:tooltip="&quot;Бюджетный кодекс Российской Федерации&quot; от 31.07.1998 N 145-ФЗ (ред. от 14.04.2023) {КонсультантПлюс}">
        <w:r>
          <w:rPr>
            <w:sz w:val="20"/>
            <w:color w:val="0000ff"/>
          </w:rPr>
          <w:t xml:space="preserve">подпунктом 5 пункта 3 статьи 78</w:t>
        </w:r>
      </w:hyperlink>
      <w:r>
        <w:rPr>
          <w:sz w:val="20"/>
        </w:rPr>
        <w:t xml:space="preserve"> Бюджетного кодекса Российской Федерации.</w:t>
      </w:r>
    </w:p>
    <w:p>
      <w:pPr>
        <w:pStyle w:val="0"/>
        <w:jc w:val="both"/>
      </w:pPr>
      <w:r>
        <w:rPr>
          <w:sz w:val="20"/>
        </w:rPr>
        <w:t xml:space="preserve">(в ред. </w:t>
      </w:r>
      <w:hyperlink w:history="0" r:id="rId900"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29.12.2022 N 652-п)</w:t>
      </w:r>
    </w:p>
    <w:p>
      <w:pPr>
        <w:pStyle w:val="0"/>
        <w:spacing w:before="200" w:line-rule="auto"/>
        <w:ind w:firstLine="540"/>
        <w:jc w:val="both"/>
      </w:pPr>
      <w:r>
        <w:rPr>
          <w:sz w:val="20"/>
        </w:rPr>
        <w:t xml:space="preserve">Министерство в течение 5 рабочих дней с момента представления заявки рассматривает заявку, осуществляет проверку Общества с учетом нормы, предусмотренной </w:t>
      </w:r>
      <w:hyperlink w:history="0" w:anchor="P9608" w:tooltip="13. Министерство на стадии проверки документов, представленных в соответствии с пунктом 10 Порядка, в рамках межведомственного информационного взаимодействия запрашивает в соответствующих органах и организациях следующие документы:">
        <w:r>
          <w:rPr>
            <w:sz w:val="20"/>
            <w:color w:val="0000ff"/>
          </w:rPr>
          <w:t xml:space="preserve">пунктом 13</w:t>
        </w:r>
      </w:hyperlink>
      <w:r>
        <w:rPr>
          <w:sz w:val="20"/>
        </w:rPr>
        <w:t xml:space="preserve"> Порядка, на соответствие требованиям, указанным в </w:t>
      </w:r>
      <w:hyperlink w:history="0" w:anchor="P9600" w:tooltip="12. Требования, которым должно соответствовать Общество на дату не ранее первого числа месяца, в котором планируется предоставление субсидии:">
        <w:r>
          <w:rPr>
            <w:sz w:val="20"/>
            <w:color w:val="0000ff"/>
          </w:rPr>
          <w:t xml:space="preserve">пункте 12</w:t>
        </w:r>
      </w:hyperlink>
      <w:r>
        <w:rPr>
          <w:sz w:val="20"/>
        </w:rPr>
        <w:t xml:space="preserve"> Порядка, и принимает решение о предоставлении субсидии Обществу либо об отказе в предоставлении субсидии Обществу.</w:t>
      </w:r>
    </w:p>
    <w:p>
      <w:pPr>
        <w:pStyle w:val="0"/>
        <w:spacing w:before="200" w:line-rule="auto"/>
        <w:ind w:firstLine="540"/>
        <w:jc w:val="both"/>
      </w:pPr>
      <w:r>
        <w:rPr>
          <w:sz w:val="20"/>
        </w:rPr>
        <w:t xml:space="preserve">В случае принятия решения об отказе в предоставлении субсидии Министерство в течение 5 рабочих дней со дня принятия решения направляет Обществу по адресу, указанному в заявке, письменное уведомление с указанием причины такого отказа.</w:t>
      </w:r>
    </w:p>
    <w:p>
      <w:pPr>
        <w:pStyle w:val="0"/>
        <w:spacing w:before="200" w:line-rule="auto"/>
        <w:ind w:firstLine="540"/>
        <w:jc w:val="both"/>
      </w:pPr>
      <w:r>
        <w:rPr>
          <w:sz w:val="20"/>
        </w:rPr>
        <w:t xml:space="preserve">В случае принятия решения о предоставлении субсидии Министерство осуществляет перечисление субсидии до конца текущего месяца.</w:t>
      </w:r>
    </w:p>
    <w:p>
      <w:pPr>
        <w:pStyle w:val="0"/>
        <w:spacing w:before="200" w:line-rule="auto"/>
        <w:ind w:firstLine="540"/>
        <w:jc w:val="both"/>
      </w:pPr>
      <w:r>
        <w:rPr>
          <w:sz w:val="20"/>
        </w:rPr>
        <w:t xml:space="preserve">11. Основаниями для отказа Обществу в предоставлении субсидии являются:</w:t>
      </w:r>
    </w:p>
    <w:p>
      <w:pPr>
        <w:pStyle w:val="0"/>
        <w:spacing w:before="200" w:line-rule="auto"/>
        <w:ind w:firstLine="540"/>
        <w:jc w:val="both"/>
      </w:pPr>
      <w:r>
        <w:rPr>
          <w:sz w:val="20"/>
        </w:rPr>
        <w:t xml:space="preserve">1) несоответствие заявки требованиям, установленным </w:t>
      </w:r>
      <w:hyperlink w:history="0" w:anchor="P9591" w:tooltip="10. Для получения субсидии Общество представляет в Министерство заявку на предоставление субсидии (далее - заявка) в срок не позднее 10 числа месяца, в котором планируется получение субсидии. Заявка представляется в форме письма, содержащего информацию о соблюдении требований, установленных пунктом 12 Порядка, а также согласие Обществ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
        <w:r>
          <w:rPr>
            <w:sz w:val="20"/>
            <w:color w:val="0000ff"/>
          </w:rPr>
          <w:t xml:space="preserve">пунктом 10</w:t>
        </w:r>
      </w:hyperlink>
      <w:r>
        <w:rPr>
          <w:sz w:val="20"/>
        </w:rPr>
        <w:t xml:space="preserve"> Порядка;</w:t>
      </w:r>
    </w:p>
    <w:p>
      <w:pPr>
        <w:pStyle w:val="0"/>
        <w:spacing w:before="200" w:line-rule="auto"/>
        <w:ind w:firstLine="540"/>
        <w:jc w:val="both"/>
      </w:pPr>
      <w:r>
        <w:rPr>
          <w:sz w:val="20"/>
        </w:rPr>
        <w:t xml:space="preserve">2) недостоверность представленной Обществом информации;</w:t>
      </w:r>
    </w:p>
    <w:p>
      <w:pPr>
        <w:pStyle w:val="0"/>
        <w:spacing w:before="200" w:line-rule="auto"/>
        <w:ind w:firstLine="540"/>
        <w:jc w:val="both"/>
      </w:pPr>
      <w:r>
        <w:rPr>
          <w:sz w:val="20"/>
        </w:rPr>
        <w:t xml:space="preserve">3) несоответствие Общества требованиям, установленным </w:t>
      </w:r>
      <w:hyperlink w:history="0" w:anchor="P9600" w:tooltip="12. Требования, которым должно соответствовать Общество на дату не ранее первого числа месяца, в котором планируется предоставление субсидии:">
        <w:r>
          <w:rPr>
            <w:sz w:val="20"/>
            <w:color w:val="0000ff"/>
          </w:rPr>
          <w:t xml:space="preserve">пунктом 12</w:t>
        </w:r>
      </w:hyperlink>
      <w:r>
        <w:rPr>
          <w:sz w:val="20"/>
        </w:rPr>
        <w:t xml:space="preserve"> Порядка.</w:t>
      </w:r>
    </w:p>
    <w:bookmarkStart w:id="9600" w:name="P9600"/>
    <w:bookmarkEnd w:id="9600"/>
    <w:p>
      <w:pPr>
        <w:pStyle w:val="0"/>
        <w:spacing w:before="200" w:line-rule="auto"/>
        <w:ind w:firstLine="540"/>
        <w:jc w:val="both"/>
      </w:pPr>
      <w:r>
        <w:rPr>
          <w:sz w:val="20"/>
        </w:rPr>
        <w:t xml:space="preserve">12. Требования, которым должно соответствовать Общество на дату не ранее первого числа месяца, в котором планируется предоставление субсидии:</w:t>
      </w:r>
    </w:p>
    <w:p>
      <w:pPr>
        <w:pStyle w:val="0"/>
        <w:jc w:val="both"/>
      </w:pPr>
      <w:r>
        <w:rPr>
          <w:sz w:val="20"/>
        </w:rPr>
        <w:t xml:space="preserve">(в ред. </w:t>
      </w:r>
      <w:hyperlink w:history="0" r:id="rId901" w:tooltip="Постановление Правительства Новосибирской области от 17.04.2023 N 15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17.04.2023 N 158-п)</w:t>
      </w:r>
    </w:p>
    <w:p>
      <w:pPr>
        <w:pStyle w:val="0"/>
        <w:spacing w:before="200" w:line-rule="auto"/>
        <w:ind w:firstLine="540"/>
        <w:jc w:val="both"/>
      </w:pPr>
      <w:r>
        <w:rPr>
          <w:sz w:val="20"/>
        </w:rPr>
        <w:t xml:space="preserve">1) у Общества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у Общества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Новосибирской областью;</w:t>
      </w:r>
    </w:p>
    <w:p>
      <w:pPr>
        <w:pStyle w:val="0"/>
        <w:spacing w:before="200" w:line-rule="auto"/>
        <w:ind w:firstLine="540"/>
        <w:jc w:val="both"/>
      </w:pPr>
      <w:r>
        <w:rPr>
          <w:sz w:val="20"/>
        </w:rPr>
        <w:t xml:space="preserve">3) Общество не должно находиться в процессе реорганизации (за исключением реорганизации в форме присоединения к Обществу другого юридического лица), ликвидации, банкротства, деятельность Общества не должна быть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4) Общество не должно получать средства из областного бюджета на основании иных нормативных правовых актов Новосибирской области на цели, указанные в </w:t>
      </w:r>
      <w:hyperlink w:history="0" w:anchor="P9583" w:tooltip="6. Результатами предоставления субсидии являются получение положительного заключения государственной экспертизы проектной документации, положительное заключение по результатам проверки достоверности определения сметной стоимости, разработка рабочей документации, ввод в эксплуатацию законченных строительством или реконструкцией объектов инфраструктуры, заключение договоров технологического присоединения.">
        <w:r>
          <w:rPr>
            <w:sz w:val="20"/>
            <w:color w:val="0000ff"/>
          </w:rPr>
          <w:t xml:space="preserve">пункте 6</w:t>
        </w:r>
      </w:hyperlink>
      <w:r>
        <w:rPr>
          <w:sz w:val="20"/>
        </w:rPr>
        <w:t xml:space="preserve"> Порядка;</w:t>
      </w:r>
    </w:p>
    <w:p>
      <w:pPr>
        <w:pStyle w:val="0"/>
        <w:spacing w:before="200" w:line-rule="auto"/>
        <w:ind w:firstLine="540"/>
        <w:jc w:val="both"/>
      </w:pPr>
      <w:r>
        <w:rPr>
          <w:sz w:val="20"/>
        </w:rPr>
        <w:t xml:space="preserve">5) Общество не должно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(пп. 5 введен </w:t>
      </w:r>
      <w:hyperlink w:history="0" r:id="rId902" w:tooltip="Постановление Правительства Новосибирской области от 17.04.2023 N 15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17.04.2023 N 158-п)</w:t>
      </w:r>
    </w:p>
    <w:bookmarkStart w:id="9608" w:name="P9608"/>
    <w:bookmarkEnd w:id="9608"/>
    <w:p>
      <w:pPr>
        <w:pStyle w:val="0"/>
        <w:spacing w:before="200" w:line-rule="auto"/>
        <w:ind w:firstLine="540"/>
        <w:jc w:val="both"/>
      </w:pPr>
      <w:r>
        <w:rPr>
          <w:sz w:val="20"/>
        </w:rPr>
        <w:t xml:space="preserve">13. Министерство на стадии проверки документов, представленных в соответствии с </w:t>
      </w:r>
      <w:hyperlink w:history="0" w:anchor="P9591" w:tooltip="10. Для получения субсидии Общество представляет в Министерство заявку на предоставление субсидии (далее - заявка) в срок не позднее 10 числа месяца, в котором планируется получение субсидии. Заявка представляется в форме письма, содержащего информацию о соблюдении требований, установленных пунктом 12 Порядка, а также согласие Обществ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
        <w:r>
          <w:rPr>
            <w:sz w:val="20"/>
            <w:color w:val="0000ff"/>
          </w:rPr>
          <w:t xml:space="preserve">пунктом 10</w:t>
        </w:r>
      </w:hyperlink>
      <w:r>
        <w:rPr>
          <w:sz w:val="20"/>
        </w:rPr>
        <w:t xml:space="preserve"> Порядка, в рамках межведомственного информационного взаимодействия запрашивает в соответствующих органах и организациях следующие документы:</w:t>
      </w:r>
    </w:p>
    <w:bookmarkStart w:id="9609" w:name="P9609"/>
    <w:bookmarkEnd w:id="9609"/>
    <w:p>
      <w:pPr>
        <w:pStyle w:val="0"/>
        <w:spacing w:before="200" w:line-rule="auto"/>
        <w:ind w:firstLine="540"/>
        <w:jc w:val="both"/>
      </w:pPr>
      <w:r>
        <w:rPr>
          <w:sz w:val="20"/>
        </w:rPr>
        <w:t xml:space="preserve">1) справку об исполнении обязанности по уплате налогов, сборов, пеней, штрафов, процентов, сформированную на основании данных налогового органа не ранее первого числа месяца, в котором планируется предоставление субсидии;</w:t>
      </w:r>
    </w:p>
    <w:p>
      <w:pPr>
        <w:pStyle w:val="0"/>
        <w:jc w:val="both"/>
      </w:pPr>
      <w:r>
        <w:rPr>
          <w:sz w:val="20"/>
        </w:rPr>
        <w:t xml:space="preserve">(пп. 1 в ред. </w:t>
      </w:r>
      <w:hyperlink w:history="0" r:id="rId903" w:tooltip="Постановление Правительства Новосибирской области от 17.04.2023 N 15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17.04.2023 N 158-п)</w:t>
      </w:r>
    </w:p>
    <w:bookmarkStart w:id="9611" w:name="P9611"/>
    <w:bookmarkEnd w:id="9611"/>
    <w:p>
      <w:pPr>
        <w:pStyle w:val="0"/>
        <w:spacing w:before="200" w:line-rule="auto"/>
        <w:ind w:firstLine="540"/>
        <w:jc w:val="both"/>
      </w:pPr>
      <w:r>
        <w:rPr>
          <w:sz w:val="20"/>
        </w:rPr>
        <w:t xml:space="preserve">2) выписку из Единого государственного реестра юридических лиц, содержащую актуальные сведения об Обществе.</w:t>
      </w:r>
    </w:p>
    <w:p>
      <w:pPr>
        <w:pStyle w:val="0"/>
        <w:spacing w:before="200" w:line-rule="auto"/>
        <w:ind w:firstLine="540"/>
        <w:jc w:val="both"/>
      </w:pPr>
      <w:r>
        <w:rPr>
          <w:sz w:val="20"/>
        </w:rPr>
        <w:t xml:space="preserve">14. Общество имеет право представить в Министерство документы, указанные в </w:t>
      </w:r>
      <w:hyperlink w:history="0" w:anchor="P9609" w:tooltip="1) справку об исполнении обязанности по уплате налогов, сборов, пеней, штрафов, процентов, сформированную на основании данных налогового органа не ранее первого числа месяца, в котором планируется предоставление субсидии;">
        <w:r>
          <w:rPr>
            <w:sz w:val="20"/>
            <w:color w:val="0000ff"/>
          </w:rPr>
          <w:t xml:space="preserve">подпунктах 1</w:t>
        </w:r>
      </w:hyperlink>
      <w:r>
        <w:rPr>
          <w:sz w:val="20"/>
        </w:rPr>
        <w:t xml:space="preserve">, </w:t>
      </w:r>
      <w:hyperlink w:history="0" w:anchor="P9611" w:tooltip="2) выписку из Единого государственного реестра юридических лиц, содержащую актуальные сведения об Обществе.">
        <w:r>
          <w:rPr>
            <w:sz w:val="20"/>
            <w:color w:val="0000ff"/>
          </w:rPr>
          <w:t xml:space="preserve">2 пункта 13</w:t>
        </w:r>
      </w:hyperlink>
      <w:r>
        <w:rPr>
          <w:sz w:val="20"/>
        </w:rPr>
        <w:t xml:space="preserve"> Порядка, по собственной инициативе.</w:t>
      </w:r>
    </w:p>
    <w:p>
      <w:pPr>
        <w:pStyle w:val="0"/>
        <w:ind w:firstLine="540"/>
        <w:jc w:val="both"/>
      </w:pPr>
      <w:r>
        <w:rPr>
          <w:sz w:val="20"/>
        </w:rPr>
      </w:r>
    </w:p>
    <w:p>
      <w:pPr>
        <w:pStyle w:val="2"/>
        <w:outlineLvl w:val="2"/>
        <w:jc w:val="center"/>
      </w:pPr>
      <w:r>
        <w:rPr>
          <w:sz w:val="20"/>
        </w:rPr>
        <w:t xml:space="preserve">III. Требования к отчетности</w:t>
      </w:r>
    </w:p>
    <w:p>
      <w:pPr>
        <w:pStyle w:val="0"/>
        <w:ind w:firstLine="540"/>
        <w:jc w:val="both"/>
      </w:pPr>
      <w:r>
        <w:rPr>
          <w:sz w:val="20"/>
        </w:rPr>
      </w:r>
    </w:p>
    <w:p>
      <w:pPr>
        <w:pStyle w:val="0"/>
        <w:ind w:firstLine="540"/>
        <w:jc w:val="both"/>
      </w:pPr>
      <w:r>
        <w:rPr>
          <w:sz w:val="20"/>
        </w:rPr>
        <w:t xml:space="preserve">15. Общество ежеквартально не позднее 10 числа месяца, следующего за отчетным, представляет в Министерство отчет о реализации нового инвестиционного проекта в соответствии с Графиком (с направлением копии отчета в министерство экономического развития Новосибирской области), отчет об осуществлении расходов, источником финансового обеспечения которых является субсидия, отчет о достижении значений результатов и показателей, необходимых для достижения результатов предоставления субсидии, по формам, установленным </w:t>
      </w:r>
      <w:hyperlink w:history="0" r:id="rId904" w:tooltip="Приказ МФ и НП Новосибирской области от 27.12.2016 N 80-НПА (ред. от 30.03.2023) &quot;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quot; {КонсультантПлюс}">
        <w:r>
          <w:rPr>
            <w:sz w:val="20"/>
            <w:color w:val="0000ff"/>
          </w:rPr>
          <w:t xml:space="preserve">приказом</w:t>
        </w:r>
      </w:hyperlink>
      <w:r>
        <w:rPr>
          <w:sz w:val="20"/>
        </w:rPr>
        <w:t xml:space="preserve"> N 80-НПА.</w:t>
      </w:r>
    </w:p>
    <w:p>
      <w:pPr>
        <w:pStyle w:val="0"/>
        <w:jc w:val="both"/>
      </w:pPr>
      <w:r>
        <w:rPr>
          <w:sz w:val="20"/>
        </w:rPr>
        <w:t xml:space="preserve">(п. 15 в ред. </w:t>
      </w:r>
      <w:hyperlink w:history="0" r:id="rId905"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16. Министерство имеет право устанавливать в Соглашении сроки и формы предоставления дополнительной отчетности.</w:t>
      </w:r>
    </w:p>
    <w:p>
      <w:pPr>
        <w:pStyle w:val="0"/>
        <w:ind w:firstLine="540"/>
        <w:jc w:val="both"/>
      </w:pPr>
      <w:r>
        <w:rPr>
          <w:sz w:val="20"/>
        </w:rPr>
      </w:r>
    </w:p>
    <w:p>
      <w:pPr>
        <w:pStyle w:val="2"/>
        <w:outlineLvl w:val="2"/>
        <w:jc w:val="center"/>
      </w:pPr>
      <w:r>
        <w:rPr>
          <w:sz w:val="20"/>
        </w:rPr>
        <w:t xml:space="preserve">IV. Требования об осуществлении контроля за соблюдением</w:t>
      </w:r>
    </w:p>
    <w:p>
      <w:pPr>
        <w:pStyle w:val="2"/>
        <w:jc w:val="center"/>
      </w:pPr>
      <w:r>
        <w:rPr>
          <w:sz w:val="20"/>
        </w:rPr>
        <w:t xml:space="preserve">условий и порядка предоставления субсидии</w:t>
      </w:r>
    </w:p>
    <w:p>
      <w:pPr>
        <w:pStyle w:val="2"/>
        <w:jc w:val="center"/>
      </w:pPr>
      <w:r>
        <w:rPr>
          <w:sz w:val="20"/>
        </w:rPr>
        <w:t xml:space="preserve">и ответственности за их нарушение</w:t>
      </w:r>
    </w:p>
    <w:p>
      <w:pPr>
        <w:pStyle w:val="0"/>
        <w:jc w:val="center"/>
      </w:pPr>
      <w:r>
        <w:rPr>
          <w:sz w:val="20"/>
        </w:rPr>
        <w:t xml:space="preserve">(в ред. </w:t>
      </w:r>
      <w:hyperlink w:history="0" r:id="rId906"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29.12.2022 N 652-п)</w:t>
      </w:r>
    </w:p>
    <w:p>
      <w:pPr>
        <w:pStyle w:val="0"/>
        <w:ind w:firstLine="540"/>
        <w:jc w:val="both"/>
      </w:pPr>
      <w:r>
        <w:rPr>
          <w:sz w:val="20"/>
        </w:rPr>
      </w:r>
    </w:p>
    <w:p>
      <w:pPr>
        <w:pStyle w:val="0"/>
        <w:ind w:firstLine="540"/>
        <w:jc w:val="both"/>
      </w:pPr>
      <w:r>
        <w:rPr>
          <w:sz w:val="20"/>
        </w:rPr>
        <w:t xml:space="preserve">17. Министерство осуществляет проверку соблюдения Обществом порядка и условий предоставления субсидий, в том числе в части достижения результатов предоставления субсидий.</w:t>
      </w:r>
    </w:p>
    <w:p>
      <w:pPr>
        <w:pStyle w:val="0"/>
        <w:spacing w:before="200" w:line-rule="auto"/>
        <w:ind w:firstLine="540"/>
        <w:jc w:val="both"/>
      </w:pPr>
      <w:r>
        <w:rPr>
          <w:sz w:val="20"/>
        </w:rPr>
        <w:t xml:space="preserve">Органы государственного финансового контроля осуществляют проверку в соответствии со </w:t>
      </w:r>
      <w:hyperlink w:history="0" r:id="rId907" w:tooltip="&quot;Бюджетный кодекс Российской Федерации&quot; от 31.07.1998 N 145-ФЗ (ред. от 14.04.2023) {КонсультантПлюс}">
        <w:r>
          <w:rPr>
            <w:sz w:val="20"/>
            <w:color w:val="0000ff"/>
          </w:rPr>
          <w:t xml:space="preserve">статьями 268.1</w:t>
        </w:r>
      </w:hyperlink>
      <w:r>
        <w:rPr>
          <w:sz w:val="20"/>
        </w:rPr>
        <w:t xml:space="preserve"> и </w:t>
      </w:r>
      <w:hyperlink w:history="0" r:id="rId908" w:tooltip="&quot;Бюджетный кодекс Российской Федерации&quot; от 31.07.1998 N 145-ФЗ (ред. от 14.04.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17 в ред. </w:t>
      </w:r>
      <w:hyperlink w:history="0" r:id="rId909" w:tooltip="Постановление Правительства Новосибирской области от 17.04.2023 N 15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17.04.2023 N 158-п)</w:t>
      </w:r>
    </w:p>
    <w:p>
      <w:pPr>
        <w:pStyle w:val="0"/>
        <w:spacing w:before="200" w:line-rule="auto"/>
        <w:ind w:firstLine="540"/>
        <w:jc w:val="both"/>
      </w:pPr>
      <w:r>
        <w:rPr>
          <w:sz w:val="20"/>
        </w:rPr>
        <w:t xml:space="preserve">17.1.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(п. 17.1 введен </w:t>
      </w:r>
      <w:hyperlink w:history="0" r:id="rId910" w:tooltip="Постановление Правительства Новосибирской области от 17.04.2023 N 15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17.04.2023 N 158-п)</w:t>
      </w:r>
    </w:p>
    <w:p>
      <w:pPr>
        <w:pStyle w:val="0"/>
        <w:spacing w:before="200" w:line-rule="auto"/>
        <w:ind w:firstLine="540"/>
        <w:jc w:val="both"/>
      </w:pPr>
      <w:r>
        <w:rPr>
          <w:sz w:val="20"/>
        </w:rPr>
        <w:t xml:space="preserve">18. В случае наличия неиспользованного остатка субсидии на конец отчетного года при отсутствии решения Министерства о наличии потребности в направлении в текущем финансовом году остатка субсидии, не использованного в отчетном финансовом году, на цели предоставления субсидии (далее - потребность) сумма неиспользованного остатка субсидии подлежит возврату в областной бюджет в срок до 1 марта текущего финансового года.</w:t>
      </w:r>
    </w:p>
    <w:p>
      <w:pPr>
        <w:pStyle w:val="0"/>
        <w:spacing w:before="200" w:line-rule="auto"/>
        <w:ind w:firstLine="540"/>
        <w:jc w:val="both"/>
      </w:pPr>
      <w:r>
        <w:rPr>
          <w:sz w:val="20"/>
        </w:rPr>
        <w:t xml:space="preserve">19. В случае направления Обществом в Министерство документов, обосновывающих потребность, Министерство в течение десяти рабочих дней со дня получения документов принимает решение о наличии (либо об отсутствии) потребности, которое подлежит согласованию с министерством финансов и налоговой политики Новосибирской области в порядке и сроки, установленные </w:t>
      </w:r>
      <w:hyperlink w:history="0" r:id="rId911" w:tooltip="Постановление Правительства Новосибирской области от 31.08.2021 N 338-п &quot;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 {КонсультантПлюс}">
        <w:r>
          <w:rPr>
            <w:sz w:val="20"/>
            <w:color w:val="0000ff"/>
          </w:rPr>
          <w:t xml:space="preserve">постановлением</w:t>
        </w:r>
      </w:hyperlink>
      <w:r>
        <w:rPr>
          <w:sz w:val="20"/>
        </w:rPr>
        <w:t xml:space="preserve"> Правительства Новосибирской области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w:t>
      </w:r>
    </w:p>
    <w:p>
      <w:pPr>
        <w:pStyle w:val="0"/>
        <w:spacing w:before="200" w:line-rule="auto"/>
        <w:ind w:firstLine="540"/>
        <w:jc w:val="both"/>
      </w:pPr>
      <w:r>
        <w:rPr>
          <w:sz w:val="20"/>
        </w:rPr>
        <w:t xml:space="preserve">В случае согласования министерством финансов и налоговой политики Новосибирской области положительного решения, Министерство в течение пяти рабочих дней готовит приказ о наличии потребности, в случае принятия решения об отсутствии потребности - направляет мотивированный отказ в адрес Общества.</w:t>
      </w:r>
    </w:p>
    <w:p>
      <w:pPr>
        <w:pStyle w:val="0"/>
        <w:jc w:val="both"/>
      </w:pPr>
      <w:r>
        <w:rPr>
          <w:sz w:val="20"/>
        </w:rPr>
        <w:t xml:space="preserve">(п. 19 в ред. </w:t>
      </w:r>
      <w:hyperlink w:history="0" r:id="rId912"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p>
      <w:pPr>
        <w:pStyle w:val="0"/>
        <w:spacing w:before="200" w:line-rule="auto"/>
        <w:ind w:firstLine="540"/>
        <w:jc w:val="both"/>
      </w:pPr>
      <w:r>
        <w:rPr>
          <w:sz w:val="20"/>
        </w:rPr>
        <w:t xml:space="preserve">20. В случае нарушений Обществом условий предоставления субсидии, выявленных в том числе по фактам проверок, проведенных Министерством и органом государственного финансового контроля, Министерство в течение 10 рабочих дней со дня установления факта нарушения направляет Обществу письмо с требованием о возврате субсидии. Субсидия подлежит возврату в областной бюджет в объеме допущенного нарушения в течение 30 рабочих дней со дня получения Обществом требования о возврате. В случае невозврата субсидии в указанные сроки Министерство обязано принять меры для возврата субсидии в судебном порядке.</w:t>
      </w:r>
    </w:p>
    <w:p>
      <w:pPr>
        <w:pStyle w:val="0"/>
        <w:spacing w:before="200" w:line-rule="auto"/>
        <w:ind w:firstLine="540"/>
        <w:jc w:val="both"/>
      </w:pPr>
      <w:r>
        <w:rPr>
          <w:sz w:val="20"/>
        </w:rPr>
        <w:t xml:space="preserve">21. В случае если Обществом по состоянию на 31 декабря года предоставления субсидии допущены нарушения обязательств по достижению результатов предоставления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определяется по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0,01 x (V</w:t>
      </w:r>
      <w:r>
        <w:rPr>
          <w:sz w:val="20"/>
          <w:vertAlign w:val="subscript"/>
        </w:rPr>
        <w:t xml:space="preserve">субсидии</w:t>
      </w:r>
      <w:r>
        <w:rPr>
          <w:sz w:val="20"/>
        </w:rPr>
        <w:t xml:space="preserve"> - (V</w:t>
      </w:r>
      <w:r>
        <w:rPr>
          <w:sz w:val="20"/>
          <w:vertAlign w:val="subscript"/>
        </w:rPr>
        <w:t xml:space="preserve">субсидии</w:t>
      </w:r>
      <w:r>
        <w:rPr>
          <w:sz w:val="20"/>
        </w:rPr>
        <w:t xml:space="preserve"> x</w:t>
      </w:r>
    </w:p>
    <w:p>
      <w:pPr>
        <w:pStyle w:val="0"/>
        <w:jc w:val="center"/>
      </w:pPr>
      <w:r>
        <w:rPr>
          <w:sz w:val="20"/>
        </w:rPr>
      </w:r>
    </w:p>
    <w:p>
      <w:pPr>
        <w:pStyle w:val="0"/>
        <w:jc w:val="center"/>
      </w:pPr>
      <w:r>
        <w:rPr>
          <w:sz w:val="20"/>
        </w:rPr>
        <w:t xml:space="preserve">x R </w:t>
      </w:r>
      <w:r>
        <w:rPr>
          <w:sz w:val="20"/>
          <w:vertAlign w:val="subscript"/>
        </w:rPr>
        <w:t xml:space="preserve">факт</w:t>
      </w:r>
      <w:r>
        <w:rPr>
          <w:sz w:val="20"/>
        </w:rPr>
        <w:t xml:space="preserve"> / R </w:t>
      </w:r>
      <w:r>
        <w:rPr>
          <w:sz w:val="20"/>
          <w:vertAlign w:val="subscript"/>
        </w:rPr>
        <w:t xml:space="preserve">план</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предоставленной субсидии;</w:t>
      </w:r>
    </w:p>
    <w:p>
      <w:pPr>
        <w:pStyle w:val="0"/>
        <w:spacing w:before="200" w:line-rule="auto"/>
        <w:ind w:firstLine="540"/>
        <w:jc w:val="both"/>
      </w:pPr>
      <w:r>
        <w:rPr>
          <w:sz w:val="20"/>
        </w:rPr>
        <w:t xml:space="preserve">R </w:t>
      </w:r>
      <w:r>
        <w:rPr>
          <w:sz w:val="20"/>
          <w:vertAlign w:val="subscript"/>
        </w:rPr>
        <w:t xml:space="preserve">факт</w:t>
      </w:r>
      <w:r>
        <w:rPr>
          <w:sz w:val="20"/>
        </w:rPr>
        <w:t xml:space="preserve"> - фактически достигнутый результат предоставления субсидии;</w:t>
      </w:r>
    </w:p>
    <w:p>
      <w:pPr>
        <w:pStyle w:val="0"/>
        <w:spacing w:before="200" w:line-rule="auto"/>
        <w:ind w:firstLine="540"/>
        <w:jc w:val="both"/>
      </w:pPr>
      <w:r>
        <w:rPr>
          <w:sz w:val="20"/>
        </w:rPr>
        <w:t xml:space="preserve">R </w:t>
      </w:r>
      <w:r>
        <w:rPr>
          <w:sz w:val="20"/>
          <w:vertAlign w:val="subscript"/>
        </w:rPr>
        <w:t xml:space="preserve">план</w:t>
      </w:r>
      <w:r>
        <w:rPr>
          <w:sz w:val="20"/>
        </w:rPr>
        <w:t xml:space="preserve"> - плановый результат предоставления субсидии.</w:t>
      </w:r>
    </w:p>
    <w:p>
      <w:pPr>
        <w:pStyle w:val="0"/>
        <w:spacing w:before="200" w:line-rule="auto"/>
        <w:ind w:firstLine="540"/>
        <w:jc w:val="both"/>
      </w:pPr>
      <w:r>
        <w:rPr>
          <w:sz w:val="20"/>
        </w:rPr>
        <w:t xml:space="preserve">22. Министерство не позднее 10 апреля года, следующего за годом предоставления субсидии, направляет Обществу письмо с требованием о возврате субсидии с указанием объема возврата. Субсидия подлежит возврату в областной бюджет в указанном в требовании объеме до 1 мая текущего финансового года. В случае невозврата субсидии в указанные сроки Министерство обязано принять меры для возврата субсидии в судебном порядке.</w:t>
      </w:r>
    </w:p>
    <w:p>
      <w:pPr>
        <w:pStyle w:val="0"/>
        <w:spacing w:before="200" w:line-rule="auto"/>
        <w:ind w:firstLine="540"/>
        <w:jc w:val="both"/>
      </w:pPr>
      <w:r>
        <w:rPr>
          <w:sz w:val="20"/>
        </w:rPr>
        <w:t xml:space="preserve">23. Общество несет ответственность за нецелевое использование субсидии в соответствии с Бюджетным </w:t>
      </w:r>
      <w:hyperlink w:history="0" r:id="rId913" w:tooltip="&quot;Бюджетный кодекс Российской Федерации&quot; от 31.07.1998 N 145-ФЗ (ред. от 14.04.2023)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17</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"Стимулирование</w:t>
      </w:r>
    </w:p>
    <w:p>
      <w:pPr>
        <w:pStyle w:val="0"/>
        <w:jc w:val="right"/>
      </w:pPr>
      <w:r>
        <w:rPr>
          <w:sz w:val="20"/>
        </w:rPr>
        <w:t xml:space="preserve">развития жилищного строительства</w:t>
      </w:r>
    </w:p>
    <w:p>
      <w:pPr>
        <w:pStyle w:val="0"/>
        <w:jc w:val="right"/>
      </w:pPr>
      <w:r>
        <w:rPr>
          <w:sz w:val="20"/>
        </w:rPr>
        <w:t xml:space="preserve">в Новосибирской области"</w:t>
      </w:r>
    </w:p>
    <w:p>
      <w:pPr>
        <w:pStyle w:val="0"/>
        <w:ind w:firstLine="540"/>
        <w:jc w:val="both"/>
      </w:pPr>
      <w:r>
        <w:rPr>
          <w:sz w:val="20"/>
        </w:rPr>
      </w:r>
    </w:p>
    <w:bookmarkStart w:id="9659" w:name="P9659"/>
    <w:bookmarkEnd w:id="9659"/>
    <w:p>
      <w:pPr>
        <w:pStyle w:val="2"/>
        <w:jc w:val="center"/>
      </w:pPr>
      <w:r>
        <w:rPr>
          <w:sz w:val="20"/>
        </w:rPr>
        <w:t xml:space="preserve">МЕТОДИКА</w:t>
      </w:r>
    </w:p>
    <w:p>
      <w:pPr>
        <w:pStyle w:val="2"/>
        <w:jc w:val="center"/>
      </w:pPr>
      <w:r>
        <w:rPr>
          <w:sz w:val="20"/>
        </w:rPr>
        <w:t xml:space="preserve">распределения иных межбюджетных трансфертов из бюджета</w:t>
      </w:r>
    </w:p>
    <w:p>
      <w:pPr>
        <w:pStyle w:val="2"/>
        <w:jc w:val="center"/>
      </w:pPr>
      <w:r>
        <w:rPr>
          <w:sz w:val="20"/>
        </w:rPr>
        <w:t xml:space="preserve">Новосибирской области и правила их предоставления</w:t>
      </w:r>
    </w:p>
    <w:p>
      <w:pPr>
        <w:pStyle w:val="2"/>
        <w:jc w:val="center"/>
      </w:pPr>
      <w:r>
        <w:rPr>
          <w:sz w:val="20"/>
        </w:rPr>
        <w:t xml:space="preserve">из областного бюджета Новосибирской области бюджетам</w:t>
      </w:r>
    </w:p>
    <w:p>
      <w:pPr>
        <w:pStyle w:val="2"/>
        <w:jc w:val="center"/>
      </w:pPr>
      <w:r>
        <w:rPr>
          <w:sz w:val="20"/>
        </w:rPr>
        <w:t xml:space="preserve">муниципальных образований Новосибирской области</w:t>
      </w:r>
    </w:p>
    <w:p>
      <w:pPr>
        <w:pStyle w:val="2"/>
        <w:jc w:val="center"/>
      </w:pPr>
      <w:r>
        <w:rPr>
          <w:sz w:val="20"/>
        </w:rPr>
        <w:t xml:space="preserve">на реализацию мероприятий в рамках подпрограммы "Земельные</w:t>
      </w:r>
    </w:p>
    <w:p>
      <w:pPr>
        <w:pStyle w:val="2"/>
        <w:jc w:val="center"/>
      </w:pPr>
      <w:r>
        <w:rPr>
          <w:sz w:val="20"/>
        </w:rPr>
        <w:t xml:space="preserve">ресурсы и инфраструктура" государственной программы</w:t>
      </w:r>
    </w:p>
    <w:p>
      <w:pPr>
        <w:pStyle w:val="2"/>
        <w:jc w:val="center"/>
      </w:pPr>
      <w:r>
        <w:rPr>
          <w:sz w:val="20"/>
        </w:rPr>
        <w:t xml:space="preserve">Новосибирской области "Стимулирование развития жилищного</w:t>
      </w:r>
    </w:p>
    <w:p>
      <w:pPr>
        <w:pStyle w:val="2"/>
        <w:jc w:val="center"/>
      </w:pPr>
      <w:r>
        <w:rPr>
          <w:sz w:val="20"/>
        </w:rPr>
        <w:t xml:space="preserve">строительства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914" w:tooltip="Постановление Правительства Новосибирской области от 29.12.2022 N 652-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29.12.2022 N 652-п;</w:t>
            </w:r>
          </w:p>
          <w:p>
            <w:pPr>
              <w:pStyle w:val="0"/>
              <w:jc w:val="center"/>
            </w:pPr>
            <w:r>
              <w:rPr>
                <w:sz w:val="20"/>
                <w:color w:val="392c69"/>
              </w:rPr>
              <w:t xml:space="preserve">в ред. </w:t>
            </w:r>
            <w:hyperlink w:history="0" r:id="rId915"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21.03.2023 N 100-п)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9674" w:name="P9674"/>
    <w:bookmarkEnd w:id="9674"/>
    <w:p>
      <w:pPr>
        <w:pStyle w:val="0"/>
        <w:ind w:firstLine="540"/>
        <w:jc w:val="both"/>
      </w:pPr>
      <w:r>
        <w:rPr>
          <w:sz w:val="20"/>
        </w:rPr>
        <w:t xml:space="preserve">1. Методика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в рамках </w:t>
      </w:r>
      <w:hyperlink w:history="0" w:anchor="P6143" w:tooltip="Подпрограмма">
        <w:r>
          <w:rPr>
            <w:sz w:val="20"/>
            <w:color w:val="0000ff"/>
          </w:rPr>
          <w:t xml:space="preserve">подпрограммы</w:t>
        </w:r>
      </w:hyperlink>
      <w:r>
        <w:rPr>
          <w:sz w:val="20"/>
        </w:rPr>
        <w:t xml:space="preserve"> "Земельные ресурсы и инфраструктура" государственной программы Новосибирской области "Стимулирование развития жилищного строительства в Новосибирской области" (далее - Методика) устанавливают порядок предоставления и правила распределения иных межбюджетных трансфертов бюджетам муниципальных образований Новосибирской области (далее - местные бюджеты) в целях финансирования расходных обязательств муниципальных районов, муниципальных и городских округов Новосибирской области на выполнение инженерных изысканий, разработку проектной, сметной и рабочей документации (в том числе корректировку) на объекты инженерной, энергетической и коммунальной инфраструктуры площадок комплексного жилищного строительства (далее - объекты инфраструктуры), оплату государственной экспертизы проектной документации, оплату проверки достоверности определения сметной стоимости объектов инфраструктуры, оплату по договорам подключения (технологического присоединения) таких объектов к действующим объектам инфраструктуры, выполнение работ, связанных со строительством (реконструкцией) объектов инфраструктуры в рамках </w:t>
      </w:r>
      <w:hyperlink w:history="0" w:anchor="P6143" w:tooltip="Подпрограмма">
        <w:r>
          <w:rPr>
            <w:sz w:val="20"/>
            <w:color w:val="0000ff"/>
          </w:rPr>
          <w:t xml:space="preserve">подпрограммы</w:t>
        </w:r>
      </w:hyperlink>
      <w:r>
        <w:rPr>
          <w:sz w:val="20"/>
        </w:rPr>
        <w:t xml:space="preserve"> "Земельные ресурсы и инфраструктура" государственной программы Новосибирской области "Стимулирование развития жилищного строительства в Новосибирской области".</w:t>
      </w:r>
    </w:p>
    <w:p>
      <w:pPr>
        <w:pStyle w:val="0"/>
        <w:spacing w:before="200" w:line-rule="auto"/>
        <w:ind w:firstLine="540"/>
        <w:jc w:val="both"/>
      </w:pPr>
      <w:r>
        <w:rPr>
          <w:sz w:val="20"/>
        </w:rPr>
        <w:t xml:space="preserve">2. Главным распорядителем бюджетных средств является министерство строительства Новосибирской области (далее - министерство).</w:t>
      </w:r>
    </w:p>
    <w:p>
      <w:pPr>
        <w:pStyle w:val="0"/>
        <w:spacing w:before="200" w:line-rule="auto"/>
        <w:ind w:firstLine="540"/>
        <w:jc w:val="both"/>
      </w:pPr>
      <w:r>
        <w:rPr>
          <w:sz w:val="20"/>
        </w:rPr>
        <w:t xml:space="preserve">3. Условиями предоставления иных межбюджетных трансфертов из областного бюджета Новосибирской области местным бюджетам на цели, указанные в </w:t>
      </w:r>
      <w:hyperlink w:history="0" w:anchor="P9674" w:tooltip="1. Методика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в рамках подпрограммы &quot;Земельные ресурсы и инфраструктура&quot; государственной программы Новосибирской области &quot;Стимулирование развития жилищного строительства в Новосибирской области&quot; (далее - Методика) устанавливают порядок предоставления и правила распределения иных межбюджетных трансфертов бюджетам муниципальных образований Новосибирско...">
        <w:r>
          <w:rPr>
            <w:sz w:val="20"/>
            <w:color w:val="0000ff"/>
          </w:rPr>
          <w:t xml:space="preserve">пункте 1</w:t>
        </w:r>
      </w:hyperlink>
      <w:r>
        <w:rPr>
          <w:sz w:val="20"/>
        </w:rPr>
        <w:t xml:space="preserve"> настоящей Методики, являются:</w:t>
      </w:r>
    </w:p>
    <w:p>
      <w:pPr>
        <w:pStyle w:val="0"/>
        <w:spacing w:before="200" w:line-rule="auto"/>
        <w:ind w:firstLine="540"/>
        <w:jc w:val="both"/>
      </w:pPr>
      <w:r>
        <w:rPr>
          <w:sz w:val="20"/>
        </w:rPr>
        <w:t xml:space="preserve">1) наличие правовых актов муниципальных районов, муниципальных и городских округов Новосибирской области,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финансируются за счет средств иных межбюджетных трансфертов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pPr>
        <w:pStyle w:val="0"/>
        <w:jc w:val="both"/>
      </w:pPr>
      <w:r>
        <w:rPr>
          <w:sz w:val="20"/>
        </w:rPr>
        <w:t xml:space="preserve">(пп. 1 в ред. </w:t>
      </w:r>
      <w:hyperlink w:history="0" r:id="rId916"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p>
      <w:pPr>
        <w:pStyle w:val="0"/>
        <w:spacing w:before="200" w:line-rule="auto"/>
        <w:ind w:firstLine="540"/>
        <w:jc w:val="both"/>
      </w:pPr>
      <w:r>
        <w:rPr>
          <w:sz w:val="20"/>
        </w:rPr>
        <w:t xml:space="preserve">2) наличие в местном бюджете неиспользованного остатка иного межбюджетного трансферта, предоставленного ранее на аналогичные цели, в размере не более 5% от общего объема иного межбюджетного трансферта, запланированного к предоставлению в соответствующем финансовом году;</w:t>
      </w:r>
    </w:p>
    <w:p>
      <w:pPr>
        <w:pStyle w:val="0"/>
        <w:jc w:val="both"/>
      </w:pPr>
      <w:r>
        <w:rPr>
          <w:sz w:val="20"/>
        </w:rPr>
        <w:t xml:space="preserve">(пп. 2 в ред. </w:t>
      </w:r>
      <w:hyperlink w:history="0" r:id="rId917"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p>
      <w:pPr>
        <w:pStyle w:val="0"/>
        <w:spacing w:before="200" w:line-rule="auto"/>
        <w:ind w:firstLine="540"/>
        <w:jc w:val="both"/>
      </w:pPr>
      <w:r>
        <w:rPr>
          <w:sz w:val="20"/>
        </w:rPr>
        <w:t xml:space="preserve">3) централизация закупок товаров, работ, услуг с начальной (максимальной) ценой контракта, превышающей 500000,0 рубля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в соответствии с </w:t>
      </w:r>
      <w:hyperlink w:history="0" r:id="rId918" w:tooltip="Постановление Правительства Новосибирской области от 19.01.2015 N 12-п (ред. от 23.05.2022) &quot;О наделении полномочиями министерства строительства Новосибирской области&quot; (вместе с &quot;Порядком взаимодействия заказчиков с уполномоченным органом при осуществлении закупок товаров, работ, услуг, финансовое обеспечение которых частично или полностью осуществляется за счет межбюджетных трансфертов, главным распорядителем бюджетных средств по которым является министерство стро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19.01.2015 N 12-п "О наделении полномочиями министерства строительства Новосибирской области".</w:t>
      </w:r>
    </w:p>
    <w:p>
      <w:pPr>
        <w:pStyle w:val="0"/>
        <w:spacing w:before="200" w:line-rule="auto"/>
        <w:ind w:firstLine="540"/>
        <w:jc w:val="both"/>
      </w:pPr>
      <w:r>
        <w:rPr>
          <w:sz w:val="20"/>
        </w:rPr>
        <w:t xml:space="preserve">4. Для предоставления иных межбюджетных трансфертов из областного бюджета Новосибирской области местным бюджетам на цели, указанные в </w:t>
      </w:r>
      <w:hyperlink w:history="0" w:anchor="P9674" w:tooltip="1. Методика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в рамках подпрограммы &quot;Земельные ресурсы и инфраструктура&quot; государственной программы Новосибирской области &quot;Стимулирование развития жилищного строительства в Новосибирской области&quot; (далее - Методика) устанавливают порядок предоставления и правила распределения иных межбюджетных трансфертов бюджетам муниципальных образований Новосибирско...">
        <w:r>
          <w:rPr>
            <w:sz w:val="20"/>
            <w:color w:val="0000ff"/>
          </w:rPr>
          <w:t xml:space="preserve">пункте 1</w:t>
        </w:r>
      </w:hyperlink>
      <w:r>
        <w:rPr>
          <w:sz w:val="20"/>
        </w:rPr>
        <w:t xml:space="preserve"> настоящей Методики, в министерство предоставляется заявление за подписью главы администрации муниципального района (муниципального или городского округа) с приложением:</w:t>
      </w:r>
    </w:p>
    <w:p>
      <w:pPr>
        <w:pStyle w:val="0"/>
        <w:spacing w:before="200" w:line-rule="auto"/>
        <w:ind w:firstLine="540"/>
        <w:jc w:val="both"/>
      </w:pPr>
      <w:r>
        <w:rPr>
          <w:sz w:val="20"/>
        </w:rPr>
        <w:t xml:space="preserve">пояснительной записки, содержащей описание проекта жилищного строительства, объема и сроков ввода жилья в эксплуатацию;</w:t>
      </w:r>
    </w:p>
    <w:p>
      <w:pPr>
        <w:pStyle w:val="0"/>
        <w:spacing w:before="200" w:line-rule="auto"/>
        <w:ind w:firstLine="540"/>
        <w:jc w:val="both"/>
      </w:pPr>
      <w:r>
        <w:rPr>
          <w:sz w:val="20"/>
        </w:rPr>
        <w:t xml:space="preserve">пояснительной записки, содержащей описание состава мероприятий по развитию инженерной инфраструктуры, обоснование необходимости мероприятий для реализации проекта жилищного строительства, расчетной стоимости проектирования и строительства, согласованной с министерством жилищно-коммунального хозяйства и энергетики Новосибирской области;</w:t>
      </w:r>
    </w:p>
    <w:p>
      <w:pPr>
        <w:pStyle w:val="0"/>
        <w:spacing w:before="200" w:line-rule="auto"/>
        <w:ind w:firstLine="540"/>
        <w:jc w:val="both"/>
      </w:pPr>
      <w:r>
        <w:rPr>
          <w:sz w:val="20"/>
        </w:rPr>
        <w:t xml:space="preserve">титульных списков вновь начинаемых и переходящих объектов капитального строительства, утвержденных заказчиком (в случае, если осуществляется строительство, реконструкция объектов инфраструктуры);</w:t>
      </w:r>
    </w:p>
    <w:p>
      <w:pPr>
        <w:pStyle w:val="0"/>
        <w:jc w:val="both"/>
      </w:pPr>
      <w:r>
        <w:rPr>
          <w:sz w:val="20"/>
        </w:rPr>
        <w:t xml:space="preserve">(в ред. </w:t>
      </w:r>
      <w:hyperlink w:history="0" r:id="rId919"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p>
      <w:pPr>
        <w:pStyle w:val="0"/>
        <w:spacing w:before="200" w:line-rule="auto"/>
        <w:ind w:firstLine="540"/>
        <w:jc w:val="both"/>
      </w:pPr>
      <w:r>
        <w:rPr>
          <w:sz w:val="20"/>
        </w:rPr>
        <w:t xml:space="preserve">при выполнении инженерных изысканий, разработки проектной, сметной и рабочей документации (в том числе корректировки) объектов инфраструктуры, оплаты государственной экспертизы проектной документации, оплаты проверки достоверности определения сметной стоимости объектов инфраструктуры, строительства (реконструкции) объектов инфраструктуры, оплаты подключения (технологического присоединения) таких объектов к действующим объектам инфраструктуры - предварительный расчет стоимости таких работ.</w:t>
      </w:r>
    </w:p>
    <w:p>
      <w:pPr>
        <w:pStyle w:val="0"/>
        <w:spacing w:before="200" w:line-rule="auto"/>
        <w:ind w:firstLine="540"/>
        <w:jc w:val="both"/>
      </w:pPr>
      <w:r>
        <w:rPr>
          <w:sz w:val="20"/>
        </w:rPr>
        <w:t xml:space="preserve">Заявление и приложения к нему должны быть прошиты, подписаны главой муниципального образования и заверены печатью.</w:t>
      </w:r>
    </w:p>
    <w:p>
      <w:pPr>
        <w:pStyle w:val="0"/>
        <w:jc w:val="both"/>
      </w:pPr>
      <w:r>
        <w:rPr>
          <w:sz w:val="20"/>
        </w:rPr>
        <w:t xml:space="preserve">(абзац введен </w:t>
      </w:r>
      <w:hyperlink w:history="0" r:id="rId920"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21.03.2023 N 100-п)</w:t>
      </w:r>
    </w:p>
    <w:p>
      <w:pPr>
        <w:pStyle w:val="0"/>
        <w:spacing w:before="200" w:line-rule="auto"/>
        <w:ind w:firstLine="540"/>
        <w:jc w:val="both"/>
      </w:pPr>
      <w:r>
        <w:rPr>
          <w:sz w:val="20"/>
        </w:rPr>
        <w:t xml:space="preserve">5. Порядок распределения иных межбюджетных трансфертов местным бюджетам:</w:t>
      </w:r>
    </w:p>
    <w:p>
      <w:pPr>
        <w:pStyle w:val="0"/>
        <w:spacing w:before="200" w:line-rule="auto"/>
        <w:ind w:firstLine="540"/>
        <w:jc w:val="both"/>
      </w:pPr>
      <w:r>
        <w:rPr>
          <w:sz w:val="20"/>
        </w:rPr>
        <w:t xml:space="preserve">1) иные межбюджетные трансферты на цели, указанные в </w:t>
      </w:r>
      <w:hyperlink w:history="0" w:anchor="P9674" w:tooltip="1. Методика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в рамках подпрограммы &quot;Земельные ресурсы и инфраструктура&quot; государственной программы Новосибирской области &quot;Стимулирование развития жилищного строительства в Новосибирской области&quot; (далее - Методика) устанавливают порядок предоставления и правила распределения иных межбюджетных трансфертов бюджетам муниципальных образований Новосибирско...">
        <w:r>
          <w:rPr>
            <w:sz w:val="20"/>
            <w:color w:val="0000ff"/>
          </w:rPr>
          <w:t xml:space="preserve">пункте 1</w:t>
        </w:r>
      </w:hyperlink>
      <w:r>
        <w:rPr>
          <w:sz w:val="20"/>
        </w:rPr>
        <w:t xml:space="preserve"> настоящей Методики, предоставляются бюджетам муниципальных районов, муниципальных и городских округов Новосибирской области, на территории которых расположены проекты жилищного строительства, включенные:</w:t>
      </w:r>
    </w:p>
    <w:p>
      <w:pPr>
        <w:pStyle w:val="0"/>
        <w:jc w:val="both"/>
      </w:pPr>
      <w:r>
        <w:rPr>
          <w:sz w:val="20"/>
        </w:rPr>
        <w:t xml:space="preserve">(в ред. </w:t>
      </w:r>
      <w:hyperlink w:history="0" r:id="rId921"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p>
      <w:pPr>
        <w:pStyle w:val="0"/>
        <w:spacing w:before="200" w:line-rule="auto"/>
        <w:ind w:firstLine="540"/>
        <w:jc w:val="both"/>
      </w:pPr>
      <w:r>
        <w:rPr>
          <w:sz w:val="20"/>
        </w:rPr>
        <w:t xml:space="preserve">приказом Министерства экономического развития Российской Федерации в сводный перечень новых инвестиционных проектов в соответствии с </w:t>
      </w:r>
      <w:hyperlink w:history="0" r:id="rId922" w:tooltip="Постановление Правительства РФ от 19.10.2020 N 1704 (ред. от 09.12.2022) &quot;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КонсультантПлюс}">
        <w:r>
          <w:rPr>
            <w:sz w:val="20"/>
            <w:color w:val="0000ff"/>
          </w:rPr>
          <w:t xml:space="preserve">постановлением</w:t>
        </w:r>
      </w:hyperlink>
      <w:r>
        <w:rPr>
          <w:sz w:val="20"/>
        </w:rP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(далее - постановление Правительства Российской Федерации от 19.10.2020 N 1704);</w:t>
      </w:r>
    </w:p>
    <w:p>
      <w:pPr>
        <w:pStyle w:val="0"/>
        <w:spacing w:before="200" w:line-rule="auto"/>
        <w:ind w:firstLine="540"/>
        <w:jc w:val="both"/>
      </w:pPr>
      <w:r>
        <w:rPr>
          <w:sz w:val="20"/>
        </w:rPr>
        <w:t xml:space="preserve">приказом Министерства строительства и жилищно-коммунального хозяйства Российской Федерации в перечень инфраструктурных проектов в соответствии с </w:t>
      </w:r>
      <w:hyperlink w:history="0" r:id="rId923" w:tooltip="Постановление Правительства РФ от 14.07.2021 N 1189 (ред. от 16.01.2023) &quo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14.07.2021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pPr>
        <w:pStyle w:val="0"/>
        <w:spacing w:before="200" w:line-rule="auto"/>
        <w:ind w:firstLine="540"/>
        <w:jc w:val="both"/>
      </w:pPr>
      <w:r>
        <w:rPr>
          <w:sz w:val="20"/>
        </w:rPr>
        <w:t xml:space="preserve">2) объем иных межбюджетных трансфертов местным бюджетам определяется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утвержденных министерством.</w:t>
      </w:r>
    </w:p>
    <w:p>
      <w:pPr>
        <w:pStyle w:val="0"/>
        <w:spacing w:before="200" w:line-rule="auto"/>
        <w:ind w:firstLine="540"/>
        <w:jc w:val="both"/>
      </w:pPr>
      <w:r>
        <w:rPr>
          <w:sz w:val="20"/>
        </w:rPr>
        <w:t xml:space="preserve">6. Перечисление иных межбюджетных трансфертов местным бюджетам осуществляется на основании заключенных соглашений, предусматривающих обязательства муниципального района (муниципального, городского округа) Новосибирской области по исполнению расходных обязательств, в целях финансирования которых предоставляются иные межбюджетные трансферты, и ответственность за неисполнение предусмотренных указанными соглашениями обязательств, в соответствии с типовой формой, утвержденной </w:t>
      </w:r>
      <w:hyperlink w:history="0" r:id="rId924" w:tooltip="Приказ МФ и НП Новосибирской области от 30.12.2021 N 116-НПА &quot;Об утверждении типовых форм соглашений о предоставлении из областного бюджета Новосибирской области бюджету муниципального образования Новосибирской области иного межбюджетного трансферта&quot; {КонсультантПлюс}">
        <w:r>
          <w:rPr>
            <w:sz w:val="20"/>
            <w:color w:val="0000ff"/>
          </w:rPr>
          <w:t xml:space="preserve">приказом</w:t>
        </w:r>
      </w:hyperlink>
      <w:r>
        <w:rPr>
          <w:sz w:val="20"/>
        </w:rPr>
        <w:t xml:space="preserve"> министерства финансов и налоговой политики Новосибирской области от 30.12.2021 N 116-НПА "Об утверждении типовых форм соглашений о предоставлении из областного бюджета Новосибирской области бюджету муниципального образования Новосибирской области иного межбюджетного трансферта" (далее - Соглашение).</w:t>
      </w:r>
    </w:p>
    <w:p>
      <w:pPr>
        <w:pStyle w:val="0"/>
        <w:spacing w:before="200" w:line-rule="auto"/>
        <w:ind w:firstLine="540"/>
        <w:jc w:val="both"/>
      </w:pPr>
      <w:r>
        <w:rPr>
          <w:sz w:val="20"/>
        </w:rPr>
        <w:t xml:space="preserve">7. В целях закупки товаров и услуг на цели, указанные в </w:t>
      </w:r>
      <w:hyperlink w:history="0" w:anchor="P9674" w:tooltip="1. Методика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в рамках подпрограммы &quot;Земельные ресурсы и инфраструктура&quot; государственной программы Новосибирской области &quot;Стимулирование развития жилищного строительства в Новосибирской области&quot; (далее - Методика) устанавливают порядок предоставления и правила распределения иных межбюджетных трансфертов бюджетам муниципальных образований Новосибирско...">
        <w:r>
          <w:rPr>
            <w:sz w:val="20"/>
            <w:color w:val="0000ff"/>
          </w:rPr>
          <w:t xml:space="preserve">пункте 1</w:t>
        </w:r>
      </w:hyperlink>
      <w:r>
        <w:rPr>
          <w:sz w:val="20"/>
        </w:rPr>
        <w:t xml:space="preserve"> настоящей Методики, в соответствии с Федеральным </w:t>
      </w:r>
      <w:hyperlink w:history="0" r:id="rId925"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4.2023)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описание объекта закупки подлежит согласованию с министерством жилищно-коммунального хозяйства и энергетики Новосибирской области.</w:t>
      </w:r>
    </w:p>
    <w:p>
      <w:pPr>
        <w:pStyle w:val="0"/>
        <w:spacing w:before="200" w:line-rule="auto"/>
        <w:ind w:firstLine="540"/>
        <w:jc w:val="both"/>
      </w:pPr>
      <w:r>
        <w:rPr>
          <w:sz w:val="20"/>
        </w:rPr>
        <w:t xml:space="preserve">8. Условия расходования иных межбюджетных трансфертов:</w:t>
      </w:r>
    </w:p>
    <w:p>
      <w:pPr>
        <w:pStyle w:val="0"/>
        <w:spacing w:before="200" w:line-rule="auto"/>
        <w:ind w:firstLine="540"/>
        <w:jc w:val="both"/>
      </w:pPr>
      <w:r>
        <w:rPr>
          <w:sz w:val="20"/>
        </w:rPr>
        <w:t xml:space="preserve">1) иные межбюджетные трансферты направляются исключительно на цели, указанные в </w:t>
      </w:r>
      <w:hyperlink w:history="0" w:anchor="P9674" w:tooltip="1. Методика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в рамках подпрограммы &quot;Земельные ресурсы и инфраструктура&quot; государственной программы Новосибирской области &quot;Стимулирование развития жилищного строительства в Новосибирской области&quot; (далее - Методика) устанавливают порядок предоставления и правила распределения иных межбюджетных трансфертов бюджетам муниципальных образований Новосибирско...">
        <w:r>
          <w:rPr>
            <w:sz w:val="20"/>
            <w:color w:val="0000ff"/>
          </w:rPr>
          <w:t xml:space="preserve">пункте 1</w:t>
        </w:r>
      </w:hyperlink>
      <w:r>
        <w:rPr>
          <w:sz w:val="20"/>
        </w:rPr>
        <w:t xml:space="preserve"> настоящей Методики;</w:t>
      </w:r>
    </w:p>
    <w:p>
      <w:pPr>
        <w:pStyle w:val="0"/>
        <w:spacing w:before="200" w:line-rule="auto"/>
        <w:ind w:firstLine="540"/>
        <w:jc w:val="both"/>
      </w:pPr>
      <w:r>
        <w:rPr>
          <w:sz w:val="20"/>
        </w:rPr>
        <w:t xml:space="preserve">2) при выполнении работ по строительству объектов инфраструктуры - положительное заключение государственной экспертизы проектной документации и заключение о достоверности определения сметной стоимости строительства;</w:t>
      </w:r>
    </w:p>
    <w:p>
      <w:pPr>
        <w:pStyle w:val="0"/>
        <w:spacing w:before="200" w:line-rule="auto"/>
        <w:ind w:firstLine="540"/>
        <w:jc w:val="both"/>
      </w:pPr>
      <w:r>
        <w:rPr>
          <w:sz w:val="20"/>
        </w:rPr>
        <w:t xml:space="preserve">3) при подключении (технологическом присоединении) к сетям электро-, тепло-, водоснабжения и водоотведения - договор о подключении (технологическом присоединении) к сетям электро-, тепло-, водоснабжения и водоотведения (далее - договор о подключении). Договор о подключении, заключенный между муниципальным образованием Новосибирской области, застройщиком и ресурсоснабжающей организацией, может предусматривать условие частичной оплаты подключения (технологического присоединения) муниципальным образованием Новосибирской области в объеме, установленном областным бюджетом Новосибирской области;</w:t>
      </w:r>
    </w:p>
    <w:p>
      <w:pPr>
        <w:pStyle w:val="0"/>
        <w:spacing w:before="200" w:line-rule="auto"/>
        <w:ind w:firstLine="540"/>
        <w:jc w:val="both"/>
      </w:pPr>
      <w:r>
        <w:rPr>
          <w:sz w:val="20"/>
        </w:rPr>
        <w:t xml:space="preserve">4) осуществление строительного контроля за ходом строительства:</w:t>
      </w:r>
    </w:p>
    <w:p>
      <w:pPr>
        <w:pStyle w:val="0"/>
        <w:spacing w:before="200" w:line-rule="auto"/>
        <w:ind w:firstLine="540"/>
        <w:jc w:val="both"/>
      </w:pPr>
      <w:r>
        <w:rPr>
          <w:sz w:val="20"/>
        </w:rPr>
        <w:t xml:space="preserve">в случае, если источником финансового обеспечения расходов на объекты инфраструктуры являются бюджетные кредиты из федерального бюджета - федеральное бюджетное учреждение "Федеральный центр строительного контроля";</w:t>
      </w:r>
    </w:p>
    <w:p>
      <w:pPr>
        <w:pStyle w:val="0"/>
        <w:spacing w:before="200" w:line-rule="auto"/>
        <w:ind w:firstLine="540"/>
        <w:jc w:val="both"/>
      </w:pPr>
      <w:r>
        <w:rPr>
          <w:sz w:val="20"/>
        </w:rPr>
        <w:t xml:space="preserve">в иных случаях - в соответствии с Градостроительным </w:t>
      </w:r>
      <w:hyperlink w:history="0" r:id="rId926"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 при сопровождении государственного казенного учреждения Новосибирской области "Проектная дирекция Министерства жилищно-коммунального хозяйства Новосибирской области" на основании заключенного соглашения о взаимодействии;</w:t>
      </w:r>
    </w:p>
    <w:p>
      <w:pPr>
        <w:pStyle w:val="0"/>
        <w:spacing w:before="200" w:line-rule="auto"/>
        <w:ind w:firstLine="540"/>
        <w:jc w:val="both"/>
      </w:pPr>
      <w:r>
        <w:rPr>
          <w:sz w:val="20"/>
        </w:rPr>
        <w:t xml:space="preserve">5) осуществление расходов производится с лицевых счетов администраций муниципальных районов, муниципальных и городских округов Новосибирской области или с лицевых счетов муниципальных казенных учреждений (получателей бюджетных средств), уполномоченных органами местного самоуправления муниципальных районов, муниципальных и городских округов Новосибирской области, открытых в Управлении Федерального казначейства по Новосибирской области на основании договоров, контрактов, заключенных в соответствии с Федеральным </w:t>
      </w:r>
      <w:hyperlink w:history="0" r:id="rId927"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4.2023)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договоров подключения (технологического присоединения) к объектам инфраструктуры, счетов-фактур, с учетом авансовых платежей в размере, определенном действующим законодательством, а также в соответствии с заключенным соглашением между органами местного самоуправления муниципальных районов, муниципальных и городских округов Новосибирской области и юридическими лицами согласно </w:t>
      </w:r>
      <w:hyperlink w:history="0" r:id="rId928" w:tooltip="&quot;Бюджетный кодекс Российской Федерации&quot; от 31.07.1998 N 145-ФЗ (ред. от 14.04.2023) {КонсультантПлюс}">
        <w:r>
          <w:rPr>
            <w:sz w:val="20"/>
            <w:color w:val="0000ff"/>
          </w:rPr>
          <w:t xml:space="preserve">статьи 78</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9. Получатели в порядки и сроки, установленные в соглашении, представляют в министерство отчет о выполненных объемах работ в соответствии с формами, определенными соглашением, заключенным между Министерством экономического развития Российской Федерации и министерством экономического развития Новосибирской области, в случае реализации проектов в рамках </w:t>
      </w:r>
      <w:hyperlink w:history="0" r:id="rId929" w:tooltip="Постановление Правительства РФ от 19.10.2020 N 1704 (ред. от 09.12.2022) &quot;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КонсультантПлюс}">
        <w:r>
          <w:rPr>
            <w:sz w:val="20"/>
            <w:color w:val="0000ff"/>
          </w:rPr>
          <w:t xml:space="preserve">постановления</w:t>
        </w:r>
      </w:hyperlink>
      <w:r>
        <w:rPr>
          <w:sz w:val="20"/>
        </w:rPr>
        <w:t xml:space="preserve"> Правительства Российской Федерации от 19.10.2020 N 1704, а также соглашением, заключенным между Министерством строительства и жилищно-коммунального хозяйства Российской Федерации и Правительством Новосибирской области, в случае реализации проектов в рамках </w:t>
      </w:r>
      <w:hyperlink w:history="0" r:id="rId930" w:tooltip="Постановление Правительства РФ от 14.07.2021 N 1190 (ред. от 26.01.2023) &quot;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quot; {КонсультантПлюс}">
        <w:r>
          <w:rPr>
            <w:sz w:val="20"/>
            <w:color w:val="0000ff"/>
          </w:rPr>
          <w:t xml:space="preserve">постановления</w:t>
        </w:r>
      </w:hyperlink>
      <w:r>
        <w:rPr>
          <w:sz w:val="20"/>
        </w:rPr>
        <w:t xml:space="preserve"> Правительства Российской Федерации от 14.07.2021 N 1190 "Об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w:t>
      </w:r>
    </w:p>
    <w:p>
      <w:pPr>
        <w:pStyle w:val="0"/>
        <w:spacing w:before="200" w:line-rule="auto"/>
        <w:ind w:firstLine="540"/>
        <w:jc w:val="both"/>
      </w:pPr>
      <w:r>
        <w:rPr>
          <w:sz w:val="20"/>
        </w:rPr>
        <w:t xml:space="preserve">10. Контроль за соблюдением получателями иных межбюджетных трансфертов условий предоставления иных межбюджетных трансфертов осуществляет министерство и органы государственного финансового контроля Новосибирской области в соответствии с бюджетным законодательством Российской Федерации.</w:t>
      </w:r>
    </w:p>
    <w:p>
      <w:pPr>
        <w:pStyle w:val="0"/>
        <w:spacing w:before="200" w:line-rule="auto"/>
        <w:ind w:firstLine="540"/>
        <w:jc w:val="both"/>
      </w:pPr>
      <w:r>
        <w:rPr>
          <w:sz w:val="20"/>
        </w:rPr>
        <w:t xml:space="preserve">11. Стороны несут ответственность за неисполнение или ненадлежащее исполнение обязательств по заключенному Соглашению в соответствии с действующим законодательством Российской Федерации.</w:t>
      </w:r>
    </w:p>
    <w:p>
      <w:pPr>
        <w:pStyle w:val="0"/>
        <w:spacing w:before="200" w:line-rule="auto"/>
        <w:ind w:firstLine="540"/>
        <w:jc w:val="both"/>
      </w:pPr>
      <w:r>
        <w:rPr>
          <w:sz w:val="20"/>
        </w:rPr>
        <w:t xml:space="preserve">12. Остаток бюджетных средств, не использованный получателями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pPr>
        <w:pStyle w:val="0"/>
        <w:spacing w:before="200" w:line-rule="auto"/>
        <w:ind w:firstLine="540"/>
        <w:jc w:val="both"/>
      </w:pPr>
      <w:r>
        <w:rPr>
          <w:sz w:val="20"/>
        </w:rPr>
        <w:t xml:space="preserve">13. В случае нецелевого использования иных межбюджетных трансфертов к муниципальному району (муниципальному, городскому округу) Новосибирской области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pPr>
        <w:pStyle w:val="0"/>
        <w:spacing w:before="200" w:line-rule="auto"/>
        <w:ind w:firstLine="540"/>
        <w:jc w:val="both"/>
      </w:pPr>
      <w:r>
        <w:rPr>
          <w:sz w:val="20"/>
        </w:rPr>
        <w:t xml:space="preserve">14. Порядок оценки эффективности использования иных межбюджетных трансфертов:</w:t>
      </w:r>
    </w:p>
    <w:p>
      <w:pPr>
        <w:pStyle w:val="0"/>
        <w:spacing w:before="200" w:line-rule="auto"/>
        <w:ind w:firstLine="540"/>
        <w:jc w:val="both"/>
      </w:pPr>
      <w:r>
        <w:rPr>
          <w:sz w:val="20"/>
        </w:rPr>
        <w:t xml:space="preserve">Оценка эффективности использования иных межбюджетных трансфертов осуществляется министерством на основании отчета о достижении показателей результатов использования иных межбюджетных трансфертов, предоставляемого получателем в сроки, установленные в Соглашении.</w:t>
      </w:r>
    </w:p>
    <w:p>
      <w:pPr>
        <w:pStyle w:val="0"/>
        <w:spacing w:before="200" w:line-rule="auto"/>
        <w:ind w:firstLine="540"/>
        <w:jc w:val="both"/>
      </w:pPr>
      <w:r>
        <w:rPr>
          <w:sz w:val="20"/>
        </w:rPr>
        <w:t xml:space="preserve">Результат оценки эффективности использования иных межбюджетных трансфертов и копия отчета о достижении показателей результатов использования иных межбюджетных трансфертов направляется министерством в министерство экономического развития Новосибирской области.</w:t>
      </w:r>
    </w:p>
    <w:p>
      <w:pPr>
        <w:pStyle w:val="0"/>
        <w:spacing w:before="200" w:line-rule="auto"/>
        <w:ind w:firstLine="540"/>
        <w:jc w:val="both"/>
      </w:pPr>
      <w:r>
        <w:rPr>
          <w:sz w:val="20"/>
        </w:rPr>
        <w:t xml:space="preserve">Результатом использования иных межбюджетных трансфертов является ввод в эксплуатацию объектов инфраструктуры, и (или) заключение договора подключения (технологического присоединения) к объектам инфраструктуры.</w:t>
      </w:r>
    </w:p>
    <w:p>
      <w:pPr>
        <w:pStyle w:val="0"/>
        <w:jc w:val="both"/>
      </w:pPr>
      <w:r>
        <w:rPr>
          <w:sz w:val="20"/>
        </w:rPr>
        <w:t xml:space="preserve">(в ред. </w:t>
      </w:r>
      <w:hyperlink w:history="0" r:id="rId931" w:tooltip="Постановление Правительства Новосибирской области от 21.03.2023 N 100-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21.03.2023 N 100-п)</w:t>
      </w:r>
    </w:p>
    <w:p>
      <w:pPr>
        <w:pStyle w:val="0"/>
        <w:spacing w:before="200" w:line-rule="auto"/>
        <w:ind w:firstLine="540"/>
        <w:jc w:val="both"/>
      </w:pPr>
      <w:r>
        <w:rPr>
          <w:sz w:val="20"/>
        </w:rPr>
        <w:t xml:space="preserve">Значение показателя результата использования иных межбюджетных трансфертов, указанного в настоящем пункте, устанавливается в Соглашении.</w:t>
      </w:r>
    </w:p>
    <w:p>
      <w:pPr>
        <w:pStyle w:val="0"/>
        <w:spacing w:before="200" w:line-rule="auto"/>
        <w:ind w:firstLine="540"/>
        <w:jc w:val="both"/>
      </w:pPr>
      <w:r>
        <w:rPr>
          <w:sz w:val="20"/>
        </w:rPr>
        <w:t xml:space="preserve">15. В случае нецелевого использования иных межбюджетных трансфертов, недостижения муниципальными районами (муниципальными, городскими округами) Новосибирской области показателей результатов использования иных межбюджетных трансфертов, иной межбюджетный трансферт подлежит возврату в областной бюджет Новосибирской области в соответствии с законодательством Российской Федерации и Новосибирской области.</w:t>
      </w:r>
    </w:p>
    <w:p>
      <w:pPr>
        <w:pStyle w:val="0"/>
        <w:spacing w:before="200" w:line-rule="auto"/>
        <w:ind w:firstLine="540"/>
        <w:jc w:val="both"/>
      </w:pPr>
      <w:r>
        <w:rPr>
          <w:sz w:val="20"/>
        </w:rPr>
        <w:t xml:space="preserve">При выявлении указанных обстоятельств министерство в течение десяти рабочих дней со дня их обнаружения направляет получателю межбюджетных трансфертов письменное требование о возврате иных межбюджетных трансфертов с указанием суммы иных межбюджетных трансфертов, подлежащих возврату, реквизитов министерства и кодов бюджетной классификации иных межбюджетных трансфертов.</w:t>
      </w:r>
    </w:p>
    <w:p>
      <w:pPr>
        <w:pStyle w:val="0"/>
        <w:spacing w:before="200" w:line-rule="auto"/>
        <w:ind w:firstLine="540"/>
        <w:jc w:val="both"/>
      </w:pPr>
      <w:r>
        <w:rPr>
          <w:sz w:val="20"/>
        </w:rPr>
        <w:t xml:space="preserve">Получатель межбюджетных трансфертов в течение пяти рабочих дней с даты получения письменного требования о возврате производит возврат указанных финансовых средств министерству.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20.02.2015 N 68-п</w:t>
      </w:r>
    </w:p>
    <w:p>
      <w:pPr>
        <w:pStyle w:val="0"/>
        <w:ind w:firstLine="540"/>
        <w:jc w:val="both"/>
      </w:pPr>
      <w:r>
        <w:rPr>
          <w:sz w:val="20"/>
        </w:rPr>
      </w:r>
    </w:p>
    <w:bookmarkStart w:id="9730" w:name="P9730"/>
    <w:bookmarkEnd w:id="9730"/>
    <w:p>
      <w:pPr>
        <w:pStyle w:val="2"/>
        <w:jc w:val="center"/>
      </w:pPr>
      <w:r>
        <w:rPr>
          <w:sz w:val="20"/>
        </w:rPr>
        <w:t xml:space="preserve">ПОРЯДОК</w:t>
      </w:r>
    </w:p>
    <w:p>
      <w:pPr>
        <w:pStyle w:val="2"/>
        <w:jc w:val="center"/>
      </w:pPr>
      <w:r>
        <w:rPr>
          <w:sz w:val="20"/>
        </w:rPr>
        <w:t xml:space="preserve">ФИНАНСИРОВАНИЯ МЕРОПРИЯТИЙ, ПРЕДУСМОТРЕННЫХ</w:t>
      </w:r>
    </w:p>
    <w:p>
      <w:pPr>
        <w:pStyle w:val="2"/>
        <w:jc w:val="center"/>
      </w:pPr>
      <w:r>
        <w:rPr>
          <w:sz w:val="20"/>
        </w:rPr>
        <w:t xml:space="preserve">ГОСУДАРСТВЕННОЙ ПРОГРАММОЙ НОВОСИБИРСКОЙ ОБЛАСТИ</w:t>
      </w:r>
    </w:p>
    <w:p>
      <w:pPr>
        <w:pStyle w:val="2"/>
        <w:jc w:val="center"/>
      </w:pPr>
      <w:r>
        <w:rPr>
          <w:sz w:val="20"/>
        </w:rPr>
        <w:t xml:space="preserve">"СТИМУЛИРОВАНИЕ РАЗВИТИЯ ЖИЛИЩНОГО СТРОИТЕЛЬСТВА</w:t>
      </w:r>
    </w:p>
    <w:p>
      <w:pPr>
        <w:pStyle w:val="2"/>
        <w:jc w:val="center"/>
      </w:pPr>
      <w:r>
        <w:rPr>
          <w:sz w:val="20"/>
        </w:rPr>
        <w:t xml:space="preserve">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15.02.2016 </w:t>
            </w:r>
            <w:hyperlink w:history="0" r:id="rId932"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color w:val="392c69"/>
              </w:rPr>
              <w:t xml:space="preserve">, от 15.02.2017 </w:t>
            </w:r>
            <w:hyperlink w:history="0" r:id="rId933"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color w:val="392c69"/>
              </w:rPr>
              <w:t xml:space="preserve">, от 23.10.2017 </w:t>
            </w:r>
            <w:hyperlink w:history="0" r:id="rId934"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color w:val="392c69"/>
              </w:rPr>
              <w:t xml:space="preserve">,</w:t>
            </w:r>
          </w:p>
          <w:p>
            <w:pPr>
              <w:pStyle w:val="0"/>
              <w:jc w:val="center"/>
            </w:pPr>
            <w:r>
              <w:rPr>
                <w:sz w:val="20"/>
                <w:color w:val="392c69"/>
              </w:rPr>
              <w:t xml:space="preserve">от 06.07.2018 </w:t>
            </w:r>
            <w:hyperlink w:history="0" r:id="rId93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color w:val="392c69"/>
              </w:rPr>
              <w:t xml:space="preserve">, от 19.03.2019 </w:t>
            </w:r>
            <w:hyperlink w:history="0" r:id="rId93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color w:val="392c69"/>
              </w:rPr>
              <w:t xml:space="preserve">, от 02.06.2020 </w:t>
            </w:r>
            <w:hyperlink w:history="0" r:id="rId937"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color w:val="392c69"/>
              </w:rPr>
              <w:t xml:space="preserve">,</w:t>
            </w:r>
          </w:p>
          <w:p>
            <w:pPr>
              <w:pStyle w:val="0"/>
              <w:jc w:val="center"/>
            </w:pPr>
            <w:r>
              <w:rPr>
                <w:sz w:val="20"/>
                <w:color w:val="392c69"/>
              </w:rPr>
              <w:t xml:space="preserve">от 25.03.2021 </w:t>
            </w:r>
            <w:hyperlink w:history="0" r:id="rId938"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N 88-п</w:t>
              </w:r>
            </w:hyperlink>
            <w:r>
              <w:rPr>
                <w:sz w:val="20"/>
                <w:color w:val="392c69"/>
              </w:rPr>
              <w:t xml:space="preserve">, от 26.04.2022 </w:t>
            </w:r>
            <w:hyperlink w:history="0" r:id="rId939"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9741" w:name="P9741"/>
    <w:bookmarkEnd w:id="9741"/>
    <w:p>
      <w:pPr>
        <w:pStyle w:val="0"/>
        <w:ind w:firstLine="540"/>
        <w:jc w:val="both"/>
      </w:pPr>
      <w:r>
        <w:rPr>
          <w:sz w:val="20"/>
        </w:rPr>
        <w:t xml:space="preserve">1. Настоящий Порядок регламентирует финансирование мероприятий, предусмотренных государственной </w:t>
      </w:r>
      <w:hyperlink w:history="0" w:anchor="P45" w:tooltip="ГОСУДАРСТВЕННАЯ ПРОГРАММА">
        <w:r>
          <w:rPr>
            <w:sz w:val="20"/>
            <w:color w:val="0000ff"/>
          </w:rPr>
          <w:t xml:space="preserve">программой</w:t>
        </w:r>
      </w:hyperlink>
      <w:r>
        <w:rPr>
          <w:sz w:val="20"/>
        </w:rPr>
        <w:t xml:space="preserve"> Новосибирской области "Стимулирование развития жилищного строительства в Новосибирской области" (далее - государственная программа), по следующим ее подпрограммам:</w:t>
      </w:r>
    </w:p>
    <w:p>
      <w:pPr>
        <w:pStyle w:val="0"/>
        <w:jc w:val="both"/>
      </w:pPr>
      <w:r>
        <w:rPr>
          <w:sz w:val="20"/>
        </w:rPr>
        <w:t xml:space="preserve">(в ред. </w:t>
      </w:r>
      <w:hyperlink w:history="0" r:id="rId940"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bookmarkStart w:id="9743" w:name="P9743"/>
    <w:bookmarkEnd w:id="9743"/>
    <w:p>
      <w:pPr>
        <w:pStyle w:val="0"/>
        <w:spacing w:before="200" w:line-rule="auto"/>
        <w:ind w:firstLine="540"/>
        <w:jc w:val="both"/>
      </w:pPr>
      <w:r>
        <w:rPr>
          <w:sz w:val="20"/>
        </w:rPr>
        <w:t xml:space="preserve">1) "</w:t>
      </w:r>
      <w:hyperlink w:history="0" w:anchor="P5438" w:tooltip="Подпрограмма">
        <w:r>
          <w:rPr>
            <w:sz w:val="20"/>
            <w:color w:val="0000ff"/>
          </w:rPr>
          <w:t xml:space="preserve">Градостроительная подготовка</w:t>
        </w:r>
      </w:hyperlink>
      <w:r>
        <w:rPr>
          <w:sz w:val="20"/>
        </w:rPr>
        <w:t xml:space="preserve"> территорий Новосибирской области";</w:t>
      </w:r>
    </w:p>
    <w:p>
      <w:pPr>
        <w:pStyle w:val="0"/>
        <w:spacing w:before="200" w:line-rule="auto"/>
        <w:ind w:firstLine="540"/>
        <w:jc w:val="both"/>
      </w:pPr>
      <w:r>
        <w:rPr>
          <w:sz w:val="20"/>
        </w:rPr>
        <w:t xml:space="preserve">2) "</w:t>
      </w:r>
      <w:hyperlink w:history="0" w:anchor="P5959" w:tooltip="Подпрограмма">
        <w:r>
          <w:rPr>
            <w:sz w:val="20"/>
            <w:color w:val="0000ff"/>
          </w:rPr>
          <w:t xml:space="preserve">Инженерное обустройство</w:t>
        </w:r>
      </w:hyperlink>
      <w:r>
        <w:rPr>
          <w:sz w:val="20"/>
        </w:rPr>
        <w:t xml:space="preserve"> площадок комплексной застройки Новосибирской области" (окончание действия 31.12.2016), "</w:t>
      </w:r>
      <w:hyperlink w:history="0" w:anchor="P6143" w:tooltip="Подпрограмма">
        <w:r>
          <w:rPr>
            <w:sz w:val="20"/>
            <w:color w:val="0000ff"/>
          </w:rPr>
          <w:t xml:space="preserve">Земельные ресурсы</w:t>
        </w:r>
      </w:hyperlink>
      <w:r>
        <w:rPr>
          <w:sz w:val="20"/>
        </w:rPr>
        <w:t xml:space="preserve"> и инфраструктура" (начало действия 01.01.2017);</w:t>
      </w:r>
    </w:p>
    <w:p>
      <w:pPr>
        <w:pStyle w:val="0"/>
        <w:jc w:val="both"/>
      </w:pPr>
      <w:r>
        <w:rPr>
          <w:sz w:val="20"/>
        </w:rPr>
        <w:t xml:space="preserve">(пп. 2 в ред. </w:t>
      </w:r>
      <w:hyperlink w:history="0" r:id="rId941"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p>
      <w:pPr>
        <w:pStyle w:val="0"/>
        <w:spacing w:before="200" w:line-rule="auto"/>
        <w:ind w:firstLine="540"/>
        <w:jc w:val="both"/>
      </w:pPr>
      <w:r>
        <w:rPr>
          <w:sz w:val="20"/>
        </w:rPr>
        <w:t xml:space="preserve">3) "</w:t>
      </w:r>
      <w:hyperlink w:history="0" w:anchor="P6695" w:tooltip="Подпрограмма">
        <w:r>
          <w:rPr>
            <w:sz w:val="20"/>
            <w:color w:val="0000ff"/>
          </w:rPr>
          <w:t xml:space="preserve">Строительство</w:t>
        </w:r>
      </w:hyperlink>
      <w:r>
        <w:rPr>
          <w:sz w:val="20"/>
        </w:rPr>
        <w:t xml:space="preserve"> (приобретение на первичном рынке) служебного жилья для отдельных категорий граждан, проживающих и работающих на территории Новосибирской области";</w:t>
      </w:r>
    </w:p>
    <w:bookmarkStart w:id="9747" w:name="P9747"/>
    <w:bookmarkEnd w:id="9747"/>
    <w:p>
      <w:pPr>
        <w:pStyle w:val="0"/>
        <w:spacing w:before="200" w:line-rule="auto"/>
        <w:ind w:firstLine="540"/>
        <w:jc w:val="both"/>
      </w:pPr>
      <w:r>
        <w:rPr>
          <w:sz w:val="20"/>
        </w:rPr>
        <w:t xml:space="preserve">4) "</w:t>
      </w:r>
      <w:hyperlink w:history="0" w:anchor="P6600" w:tooltip="Подпрограмма">
        <w:r>
          <w:rPr>
            <w:sz w:val="20"/>
            <w:color w:val="0000ff"/>
          </w:rPr>
          <w:t xml:space="preserve">Государственная поддержка</w:t>
        </w:r>
      </w:hyperlink>
      <w:r>
        <w:rPr>
          <w:sz w:val="20"/>
        </w:rPr>
        <w:t xml:space="preserve"> муниципальных образований Новосибирской области в обеспечении жилыми помещениями многодетных малообеспеченных семей";</w:t>
      </w:r>
    </w:p>
    <w:p>
      <w:pPr>
        <w:pStyle w:val="0"/>
        <w:spacing w:before="200" w:line-rule="auto"/>
        <w:ind w:firstLine="540"/>
        <w:jc w:val="both"/>
      </w:pPr>
      <w:r>
        <w:rPr>
          <w:sz w:val="20"/>
        </w:rPr>
        <w:t xml:space="preserve">5) "</w:t>
      </w:r>
      <w:hyperlink w:history="0" w:anchor="P6436" w:tooltip="Подпрограмма">
        <w:r>
          <w:rPr>
            <w:sz w:val="20"/>
            <w:color w:val="0000ff"/>
          </w:rPr>
          <w:t xml:space="preserve">Государственная поддержка</w:t>
        </w:r>
      </w:hyperlink>
      <w:r>
        <w:rPr>
          <w:sz w:val="20"/>
        </w:rPr>
        <w:t xml:space="preserve"> граждан при приобретении (строительстве) жилья";</w:t>
      </w:r>
    </w:p>
    <w:p>
      <w:pPr>
        <w:pStyle w:val="0"/>
        <w:spacing w:before="200" w:line-rule="auto"/>
        <w:ind w:firstLine="540"/>
        <w:jc w:val="both"/>
      </w:pPr>
      <w:r>
        <w:rPr>
          <w:sz w:val="20"/>
        </w:rPr>
        <w:t xml:space="preserve">6) "</w:t>
      </w:r>
      <w:hyperlink w:history="0" w:anchor="P6901" w:tooltip="Подпрограмма">
        <w:r>
          <w:rPr>
            <w:sz w:val="20"/>
            <w:color w:val="0000ff"/>
          </w:rPr>
          <w:t xml:space="preserve">Государственная поддержка</w:t>
        </w:r>
      </w:hyperlink>
      <w:r>
        <w:rPr>
          <w:sz w:val="20"/>
        </w:rPr>
        <w:t xml:space="preserve"> отдельных категорий работников бюджетной сферы при ипотечном жилищном кредитовании" (окончание действия 31.12.2017);</w:t>
      </w:r>
    </w:p>
    <w:p>
      <w:pPr>
        <w:pStyle w:val="0"/>
        <w:jc w:val="both"/>
      </w:pPr>
      <w:r>
        <w:rPr>
          <w:sz w:val="20"/>
        </w:rPr>
        <w:t xml:space="preserve">(пп. 6 в ред. </w:t>
      </w:r>
      <w:hyperlink w:history="0" r:id="rId94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7) "</w:t>
      </w:r>
      <w:hyperlink w:history="0" w:anchor="P7008" w:tooltip="Подпрограмма">
        <w:r>
          <w:rPr>
            <w:sz w:val="20"/>
            <w:color w:val="0000ff"/>
          </w:rPr>
          <w:t xml:space="preserve">Государственная поддержка</w:t>
        </w:r>
      </w:hyperlink>
      <w:r>
        <w:rPr>
          <w:sz w:val="20"/>
        </w:rPr>
        <w:t xml:space="preserve"> отдельных категорий граждан, являющихся нанимателями по договорам коммерческого найма жилых помещений" (окончание действия 31.12.2016), "</w:t>
      </w:r>
      <w:hyperlink w:history="0" w:anchor="P7109" w:tooltip="Подпрограмма">
        <w:r>
          <w:rPr>
            <w:sz w:val="20"/>
            <w:color w:val="0000ff"/>
          </w:rPr>
          <w:t xml:space="preserve">Развитие рынка</w:t>
        </w:r>
      </w:hyperlink>
      <w:r>
        <w:rPr>
          <w:sz w:val="20"/>
        </w:rPr>
        <w:t xml:space="preserve"> наемного жилья" (начало действия 01.01.2017);</w:t>
      </w:r>
    </w:p>
    <w:p>
      <w:pPr>
        <w:pStyle w:val="0"/>
        <w:jc w:val="both"/>
      </w:pPr>
      <w:r>
        <w:rPr>
          <w:sz w:val="20"/>
        </w:rPr>
        <w:t xml:space="preserve">(пп. 7 в ред. </w:t>
      </w:r>
      <w:hyperlink w:history="0" r:id="rId943"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15.02.2017 N 44-п)</w:t>
      </w:r>
    </w:p>
    <w:bookmarkStart w:id="9753" w:name="P9753"/>
    <w:bookmarkEnd w:id="9753"/>
    <w:p>
      <w:pPr>
        <w:pStyle w:val="0"/>
        <w:spacing w:before="200" w:line-rule="auto"/>
        <w:ind w:firstLine="540"/>
        <w:jc w:val="both"/>
      </w:pPr>
      <w:r>
        <w:rPr>
          <w:sz w:val="20"/>
        </w:rPr>
        <w:t xml:space="preserve">8) "</w:t>
      </w:r>
      <w:hyperlink w:history="0" w:anchor="P6315" w:tooltip="Подпрограмма">
        <w:r>
          <w:rPr>
            <w:sz w:val="20"/>
            <w:color w:val="0000ff"/>
          </w:rPr>
          <w:t xml:space="preserve">Государственная поддержка</w:t>
        </w:r>
      </w:hyperlink>
      <w:r>
        <w:rPr>
          <w:sz w:val="20"/>
        </w:rPr>
        <w:t xml:space="preserve"> при завершении строительства "проблемных" жилых домов" (начало действия 01.01.2018);</w:t>
      </w:r>
    </w:p>
    <w:p>
      <w:pPr>
        <w:pStyle w:val="0"/>
        <w:jc w:val="both"/>
      </w:pPr>
      <w:r>
        <w:rPr>
          <w:sz w:val="20"/>
        </w:rPr>
        <w:t xml:space="preserve">(пп. 8 введен </w:t>
      </w:r>
      <w:hyperlink w:history="0" r:id="rId944"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9) "</w:t>
      </w:r>
      <w:hyperlink w:history="0" w:anchor="P5667" w:tooltip="Подпрограмма">
        <w:r>
          <w:rPr>
            <w:sz w:val="20"/>
            <w:color w:val="0000ff"/>
          </w:rPr>
          <w:t xml:space="preserve">Фонд пространственных данных</w:t>
        </w:r>
      </w:hyperlink>
      <w:r>
        <w:rPr>
          <w:sz w:val="20"/>
        </w:rPr>
        <w:t xml:space="preserve"> Новосибирской области" (начало действия 01.01.2018);</w:t>
      </w:r>
    </w:p>
    <w:p>
      <w:pPr>
        <w:pStyle w:val="0"/>
        <w:jc w:val="both"/>
      </w:pPr>
      <w:r>
        <w:rPr>
          <w:sz w:val="20"/>
        </w:rPr>
        <w:t xml:space="preserve">(пп. 9 введен </w:t>
      </w:r>
      <w:hyperlink w:history="0" r:id="rId945"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06.07.2018 N 287-п)</w:t>
      </w:r>
    </w:p>
    <w:bookmarkStart w:id="9757" w:name="P9757"/>
    <w:bookmarkEnd w:id="9757"/>
    <w:p>
      <w:pPr>
        <w:pStyle w:val="0"/>
        <w:spacing w:before="200" w:line-rule="auto"/>
        <w:ind w:firstLine="540"/>
        <w:jc w:val="both"/>
      </w:pPr>
      <w:r>
        <w:rPr>
          <w:sz w:val="20"/>
        </w:rPr>
        <w:t xml:space="preserve">10) "</w:t>
      </w:r>
      <w:hyperlink w:history="0" w:anchor="P5822" w:tooltip="Подпрограмма">
        <w:r>
          <w:rPr>
            <w:sz w:val="20"/>
            <w:color w:val="0000ff"/>
          </w:rPr>
          <w:t xml:space="preserve">Градостроительная подготовка</w:t>
        </w:r>
      </w:hyperlink>
      <w:r>
        <w:rPr>
          <w:sz w:val="20"/>
        </w:rPr>
        <w:t xml:space="preserve"> территорий Новосибирской области и фонд пространственных данных Новосибирской области";</w:t>
      </w:r>
    </w:p>
    <w:p>
      <w:pPr>
        <w:pStyle w:val="0"/>
        <w:jc w:val="both"/>
      </w:pPr>
      <w:r>
        <w:rPr>
          <w:sz w:val="20"/>
        </w:rPr>
        <w:t xml:space="preserve">(пп. 10 введен </w:t>
      </w:r>
      <w:hyperlink w:history="0" r:id="rId946"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02.06.2020 N 215-п)</w:t>
      </w:r>
    </w:p>
    <w:p>
      <w:pPr>
        <w:pStyle w:val="0"/>
        <w:spacing w:before="200" w:line-rule="auto"/>
        <w:ind w:firstLine="540"/>
        <w:jc w:val="both"/>
      </w:pPr>
      <w:r>
        <w:rPr>
          <w:sz w:val="20"/>
        </w:rPr>
        <w:t xml:space="preserve">11) "</w:t>
      </w:r>
      <w:hyperlink w:history="0" w:anchor="P6812" w:tooltip="ПОДПРОГРАММА">
        <w:r>
          <w:rPr>
            <w:sz w:val="20"/>
            <w:color w:val="0000ff"/>
          </w:rPr>
          <w:t xml:space="preserve">Государственная поддержка</w:t>
        </w:r>
      </w:hyperlink>
      <w:r>
        <w:rPr>
          <w:sz w:val="20"/>
        </w:rPr>
        <w:t xml:space="preserve"> муниципальных образований Новосибирской области при строительстве специализированного жилищного фонда".</w:t>
      </w:r>
    </w:p>
    <w:p>
      <w:pPr>
        <w:pStyle w:val="0"/>
        <w:jc w:val="both"/>
      </w:pPr>
      <w:r>
        <w:rPr>
          <w:sz w:val="20"/>
        </w:rPr>
        <w:t xml:space="preserve">(пп. 11 введен </w:t>
      </w:r>
      <w:hyperlink w:history="0" r:id="rId947" w:tooltip="Постановление Правительства Новосибирской области от 25.03.2021 N 88-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25.03.2021 N 88-п)</w:t>
      </w:r>
    </w:p>
    <w:p>
      <w:pPr>
        <w:pStyle w:val="0"/>
        <w:spacing w:before="200" w:line-rule="auto"/>
        <w:ind w:firstLine="540"/>
        <w:jc w:val="both"/>
      </w:pPr>
      <w:r>
        <w:rPr>
          <w:sz w:val="20"/>
        </w:rPr>
        <w:t xml:space="preserve">2. Главными распорядителями бюджетных средств в рамках государственной программы являются министерство строительства Новосибирской области, министерство жилищно-коммунального хозяйства и энергетики Новосибирской области.</w:t>
      </w:r>
    </w:p>
    <w:p>
      <w:pPr>
        <w:pStyle w:val="0"/>
        <w:spacing w:before="200" w:line-rule="auto"/>
        <w:ind w:firstLine="540"/>
        <w:jc w:val="both"/>
      </w:pPr>
      <w:r>
        <w:rPr>
          <w:sz w:val="20"/>
        </w:rPr>
        <w:t xml:space="preserve">Финансирование мероприятий государственной программы по подпрограммам, указанным в </w:t>
      </w:r>
      <w:hyperlink w:history="0" w:anchor="P9741" w:tooltip="1. Настоящий Порядок регламентирует финансирование мероприятий, предусмотренных государственной программой Новосибирской области &quot;Стимулирование развития жилищного строительства в Новосибирской области&quot; (далее - государственная программа), по следующим ее подпрограммам:">
        <w:r>
          <w:rPr>
            <w:sz w:val="20"/>
            <w:color w:val="0000ff"/>
          </w:rPr>
          <w:t xml:space="preserve">пункте 1</w:t>
        </w:r>
      </w:hyperlink>
      <w:r>
        <w:rPr>
          <w:sz w:val="20"/>
        </w:rPr>
        <w:t xml:space="preserve"> настоящего Порядка, за исключением мероприятия "Региональный проект "Жилье" в рамках </w:t>
      </w:r>
      <w:hyperlink w:history="0" w:anchor="P6143" w:tooltip="Подпрограмма">
        <w:r>
          <w:rPr>
            <w:sz w:val="20"/>
            <w:color w:val="0000ff"/>
          </w:rPr>
          <w:t xml:space="preserve">подпрограммы</w:t>
        </w:r>
      </w:hyperlink>
      <w:r>
        <w:rPr>
          <w:sz w:val="20"/>
        </w:rPr>
        <w:t xml:space="preserve"> "Земельные ресурсы и инфраструктура", осуществляется главным распорядителем бюджетных средств - министерством строительства Новосибирской области в пределах бюджетных ассигнований и лимитов бюджетных обязательств, утвержденных на эти цели законом Новосибирской области об областном бюджете Новосибирской области на текущий финансовый год и плановый период.</w:t>
      </w:r>
    </w:p>
    <w:p>
      <w:pPr>
        <w:pStyle w:val="0"/>
        <w:spacing w:before="200" w:line-rule="auto"/>
        <w:ind w:firstLine="540"/>
        <w:jc w:val="both"/>
      </w:pPr>
      <w:r>
        <w:rPr>
          <w:sz w:val="20"/>
        </w:rPr>
        <w:t xml:space="preserve">Финансирование мероприятия "Региональный проект "Жилье" в рамках </w:t>
      </w:r>
      <w:hyperlink w:history="0" w:anchor="P6143" w:tooltip="Подпрограмма">
        <w:r>
          <w:rPr>
            <w:sz w:val="20"/>
            <w:color w:val="0000ff"/>
          </w:rPr>
          <w:t xml:space="preserve">подпрограммы</w:t>
        </w:r>
      </w:hyperlink>
      <w:r>
        <w:rPr>
          <w:sz w:val="20"/>
        </w:rPr>
        <w:t xml:space="preserve"> "Земельные ресурсы и инфраструктура" государственной программы осуществляется главным распорядителем бюджетных средств - министерством жилищно-коммунального хозяйства и энергетики Новосибирской области в пределах бюджетных ассигнований и лимитов бюджетных обязательств, утвержденных на эти цели законом Новосибирской области об областном бюджете Новосибирской области на текущий финансовый год и плановый период.</w:t>
      </w:r>
    </w:p>
    <w:p>
      <w:pPr>
        <w:pStyle w:val="0"/>
        <w:jc w:val="both"/>
      </w:pPr>
      <w:r>
        <w:rPr>
          <w:sz w:val="20"/>
        </w:rPr>
        <w:t xml:space="preserve">(п. 2 в ред. </w:t>
      </w:r>
      <w:hyperlink w:history="0" r:id="rId948"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3. Финансирование мероприятий государственной программы по подпрограммам "</w:t>
      </w:r>
      <w:hyperlink w:history="0" w:anchor="P5438" w:tooltip="Подпрограмма">
        <w:r>
          <w:rPr>
            <w:sz w:val="20"/>
            <w:color w:val="0000ff"/>
          </w:rPr>
          <w:t xml:space="preserve">Градостроительная подготовка</w:t>
        </w:r>
      </w:hyperlink>
      <w:r>
        <w:rPr>
          <w:sz w:val="20"/>
        </w:rPr>
        <w:t xml:space="preserve"> территорий Новосибирской области", "</w:t>
      </w:r>
      <w:hyperlink w:history="0" w:anchor="P5822" w:tooltip="Подпрограмма">
        <w:r>
          <w:rPr>
            <w:sz w:val="20"/>
            <w:color w:val="0000ff"/>
          </w:rPr>
          <w:t xml:space="preserve">Градостроительная подготовка</w:t>
        </w:r>
      </w:hyperlink>
      <w:r>
        <w:rPr>
          <w:sz w:val="20"/>
        </w:rPr>
        <w:t xml:space="preserve"> территорий Новосибирской области и фонд пространственных данных Новосибирской области" и "</w:t>
      </w:r>
      <w:hyperlink w:history="0" w:anchor="P5959" w:tooltip="Подпрограмма">
        <w:r>
          <w:rPr>
            <w:sz w:val="20"/>
            <w:color w:val="0000ff"/>
          </w:rPr>
          <w:t xml:space="preserve">Инженерное обустройство</w:t>
        </w:r>
      </w:hyperlink>
      <w:r>
        <w:rPr>
          <w:sz w:val="20"/>
        </w:rPr>
        <w:t xml:space="preserve"> площадок комплексной застройки Новосибирской области" (окончание действия 31.12.2016), "</w:t>
      </w:r>
      <w:hyperlink w:history="0" w:anchor="P6143" w:tooltip="Подпрограмма">
        <w:r>
          <w:rPr>
            <w:sz w:val="20"/>
            <w:color w:val="0000ff"/>
          </w:rPr>
          <w:t xml:space="preserve">Земельные ресурсы</w:t>
        </w:r>
      </w:hyperlink>
      <w:r>
        <w:rPr>
          <w:sz w:val="20"/>
        </w:rPr>
        <w:t xml:space="preserve"> и инфраструктура" (начало действия 01.01.2017), за исключением предоставления субсидий местным бюджетам, осуществляется с лицевых счетов главных распорядителей бюджетных средств или с лицевого счета государственного казенного учреждения Новосибирской области - получателя бюджетных средств, находящегося в ведении главного распорядителя, имеющего право на принятие и исполнение бюджетных обязательств за счет средств областного бюджета Новосибирской области, на основании контрактов, заключенных в соответствии с Федеральным </w:t>
      </w:r>
      <w:hyperlink w:history="0" r:id="rId949"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4.2023)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постановлений Правительства Новосибирской области от 15.02.2017 </w:t>
      </w:r>
      <w:hyperlink w:history="0" r:id="rId950"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02.06.2020 </w:t>
      </w:r>
      <w:hyperlink w:history="0" r:id="rId951"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26.04.2022 </w:t>
      </w:r>
      <w:hyperlink w:history="0" r:id="rId952"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rPr>
        <w:t xml:space="preserve">)</w:t>
      </w:r>
    </w:p>
    <w:p>
      <w:pPr>
        <w:pStyle w:val="0"/>
        <w:spacing w:before="200" w:line-rule="auto"/>
        <w:ind w:firstLine="540"/>
        <w:jc w:val="both"/>
      </w:pPr>
      <w:r>
        <w:rPr>
          <w:sz w:val="20"/>
        </w:rPr>
        <w:t xml:space="preserve">4. Перечисление субсидий местным бюджетам на реализацию государственной программы (далее - субсидии) по подпрограммам, указанным в </w:t>
      </w:r>
      <w:hyperlink w:history="0" w:anchor="P9743" w:tooltip="1) &quot;Градостроительная подготовка территорий Новосибирской области&quot;;">
        <w:r>
          <w:rPr>
            <w:sz w:val="20"/>
            <w:color w:val="0000ff"/>
          </w:rPr>
          <w:t xml:space="preserve">подпунктах 1</w:t>
        </w:r>
      </w:hyperlink>
      <w:r>
        <w:rPr>
          <w:sz w:val="20"/>
        </w:rPr>
        <w:t xml:space="preserve"> - </w:t>
      </w:r>
      <w:hyperlink w:history="0" w:anchor="P9747" w:tooltip="4) &quot;Государственная поддержка муниципальных образований Новосибирской области в обеспечении жилыми помещениями многодетных малообеспеченных семей&quot;;">
        <w:r>
          <w:rPr>
            <w:sz w:val="20"/>
            <w:color w:val="0000ff"/>
          </w:rPr>
          <w:t xml:space="preserve">4</w:t>
        </w:r>
      </w:hyperlink>
      <w:r>
        <w:rPr>
          <w:sz w:val="20"/>
        </w:rPr>
        <w:t xml:space="preserve">, </w:t>
      </w:r>
      <w:hyperlink w:history="0" w:anchor="P9753" w:tooltip="8) &quot;Государственная поддержка при завершении строительства &quot;проблемных&quot; жилых домов&quot; (начало действия 01.01.2018);">
        <w:r>
          <w:rPr>
            <w:sz w:val="20"/>
            <w:color w:val="0000ff"/>
          </w:rPr>
          <w:t xml:space="preserve">8</w:t>
        </w:r>
      </w:hyperlink>
      <w:r>
        <w:rPr>
          <w:sz w:val="20"/>
        </w:rPr>
        <w:t xml:space="preserve">, </w:t>
      </w:r>
      <w:hyperlink w:history="0" w:anchor="P9757" w:tooltip="10) &quot;Градостроительная подготовка территорий Новосибирской области и фонд пространственных данных Новосибирской области&quot;;">
        <w:r>
          <w:rPr>
            <w:sz w:val="20"/>
            <w:color w:val="0000ff"/>
          </w:rPr>
          <w:t xml:space="preserve">10 пункта 1</w:t>
        </w:r>
      </w:hyperlink>
      <w:r>
        <w:rPr>
          <w:sz w:val="20"/>
        </w:rPr>
        <w:t xml:space="preserve"> настоящего Порядка, осуществляется с лицевых счетов главных распорядителей бюджетных средств в доход местных бюджетов на основании соглашений с администрациями муниципальных образований Новосибирской области.</w:t>
      </w:r>
    </w:p>
    <w:p>
      <w:pPr>
        <w:pStyle w:val="0"/>
        <w:jc w:val="both"/>
      </w:pPr>
      <w:r>
        <w:rPr>
          <w:sz w:val="20"/>
        </w:rPr>
        <w:t xml:space="preserve">(в ред. постановлений Правительства Новосибирской области от 06.07.2018 </w:t>
      </w:r>
      <w:hyperlink w:history="0" r:id="rId953"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N 287-п</w:t>
        </w:r>
      </w:hyperlink>
      <w:r>
        <w:rPr>
          <w:sz w:val="20"/>
        </w:rPr>
        <w:t xml:space="preserve">, от 02.06.2020 </w:t>
      </w:r>
      <w:hyperlink w:history="0" r:id="rId954"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 от 26.04.2022 </w:t>
      </w:r>
      <w:hyperlink w:history="0" r:id="rId955"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rPr>
        <w:t xml:space="preserve">)</w:t>
      </w:r>
    </w:p>
    <w:p>
      <w:pPr>
        <w:pStyle w:val="0"/>
        <w:spacing w:before="200" w:line-rule="auto"/>
        <w:ind w:firstLine="540"/>
        <w:jc w:val="both"/>
      </w:pPr>
      <w:r>
        <w:rPr>
          <w:sz w:val="20"/>
        </w:rPr>
        <w:t xml:space="preserve">5. Главные распорядители бюджетных средств:</w:t>
      </w:r>
    </w:p>
    <w:p>
      <w:pPr>
        <w:pStyle w:val="0"/>
        <w:jc w:val="both"/>
      </w:pPr>
      <w:r>
        <w:rPr>
          <w:sz w:val="20"/>
        </w:rPr>
        <w:t xml:space="preserve">(в ред. </w:t>
      </w:r>
      <w:hyperlink w:history="0" r:id="rId956"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1) заключают с администрациями муниципальных образований Новосибирской области соглашения о предоставлении субсидий (далее соответственно - муниципальные образования, соглашение), которые должны содержать следующие положения:</w:t>
      </w:r>
    </w:p>
    <w:p>
      <w:pPr>
        <w:pStyle w:val="0"/>
        <w:jc w:val="both"/>
      </w:pPr>
      <w:r>
        <w:rPr>
          <w:sz w:val="20"/>
        </w:rPr>
        <w:t xml:space="preserve">(в ред. </w:t>
      </w:r>
      <w:hyperlink w:history="0" r:id="rId957"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абзац утратил силу. - </w:t>
      </w:r>
      <w:hyperlink w:history="0" r:id="rId958"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а) размер субсидии местному бюджету, объем софинансирования за счет средств местного бюджета;</w:t>
      </w:r>
    </w:p>
    <w:p>
      <w:pPr>
        <w:pStyle w:val="0"/>
        <w:spacing w:before="200" w:line-rule="auto"/>
        <w:ind w:firstLine="540"/>
        <w:jc w:val="both"/>
      </w:pPr>
      <w:r>
        <w:rPr>
          <w:sz w:val="20"/>
        </w:rPr>
        <w:t xml:space="preserve">б) форму, сроки и порядок представления отчетности об осуществлении расходов местного бюджета, связанных с предоставлением субсидии;</w:t>
      </w:r>
    </w:p>
    <w:p>
      <w:pPr>
        <w:pStyle w:val="0"/>
        <w:spacing w:before="200" w:line-rule="auto"/>
        <w:ind w:firstLine="540"/>
        <w:jc w:val="both"/>
      </w:pPr>
      <w:r>
        <w:rPr>
          <w:sz w:val="20"/>
        </w:rPr>
        <w:t xml:space="preserve">в) возврат субсидии в случае нецелевого использования субсидий и неиспользования субсидии в сроки, установленные соглашением;</w:t>
      </w:r>
    </w:p>
    <w:p>
      <w:pPr>
        <w:pStyle w:val="0"/>
        <w:spacing w:before="200" w:line-rule="auto"/>
        <w:ind w:firstLine="540"/>
        <w:jc w:val="both"/>
      </w:pPr>
      <w:r>
        <w:rPr>
          <w:sz w:val="20"/>
        </w:rPr>
        <w:t xml:space="preserve">г) критерии оценки эффективности использования субсидии в соответствии с обязательствами, принятыми администрацией муниципального образования по использованию субсидии в объеме, установленном государственной программой по реализации программных мероприятий подпрограмм и достижению соответствующих результатов от реализации программных мероприятий подпрограмм:</w:t>
      </w:r>
    </w:p>
    <w:p>
      <w:pPr>
        <w:pStyle w:val="0"/>
        <w:spacing w:before="200" w:line-rule="auto"/>
        <w:ind w:firstLine="540"/>
        <w:jc w:val="both"/>
      </w:pPr>
      <w:r>
        <w:rPr>
          <w:sz w:val="20"/>
        </w:rPr>
        <w:t xml:space="preserve">по подпрограммам "</w:t>
      </w:r>
      <w:hyperlink w:history="0" w:anchor="P5438" w:tooltip="Подпрограмма">
        <w:r>
          <w:rPr>
            <w:sz w:val="20"/>
            <w:color w:val="0000ff"/>
          </w:rPr>
          <w:t xml:space="preserve">Градостроительная подготовка</w:t>
        </w:r>
      </w:hyperlink>
      <w:r>
        <w:rPr>
          <w:sz w:val="20"/>
        </w:rPr>
        <w:t xml:space="preserve"> территорий Новосибирской области", "</w:t>
      </w:r>
      <w:hyperlink w:history="0" w:anchor="P5822" w:tooltip="Подпрограмма">
        <w:r>
          <w:rPr>
            <w:sz w:val="20"/>
            <w:color w:val="0000ff"/>
          </w:rPr>
          <w:t xml:space="preserve">Градостроительная подготовка</w:t>
        </w:r>
      </w:hyperlink>
      <w:r>
        <w:rPr>
          <w:sz w:val="20"/>
        </w:rPr>
        <w:t xml:space="preserve"> территорий Новосибирской области и фонд пространственных данных Новосибирской области" - наличие документов территориального планирования и градостроительного зонирования, в которые внесены изменения, количество разработанных и утвержденных документов по планировке территорий;</w:t>
      </w:r>
    </w:p>
    <w:p>
      <w:pPr>
        <w:pStyle w:val="0"/>
        <w:jc w:val="both"/>
      </w:pPr>
      <w:r>
        <w:rPr>
          <w:sz w:val="20"/>
        </w:rPr>
        <w:t xml:space="preserve">(в ред. постановлений Правительства Новосибирской области от 15.02.2016 </w:t>
      </w:r>
      <w:hyperlink w:history="0" r:id="rId959"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N 41-п</w:t>
        </w:r>
      </w:hyperlink>
      <w:r>
        <w:rPr>
          <w:sz w:val="20"/>
        </w:rPr>
        <w:t xml:space="preserve">, от 02.06.2020 </w:t>
      </w:r>
      <w:hyperlink w:history="0" r:id="rId960" w:tooltip="Постановление Правительства Новосибирской области от 02.06.2020 N 215-п &quot;О внесении изменений в постановление Правительства Новосибирской области от 20.02.2015 N 68-п&quot; {КонсультантПлюс}">
        <w:r>
          <w:rPr>
            <w:sz w:val="20"/>
            <w:color w:val="0000ff"/>
          </w:rPr>
          <w:t xml:space="preserve">N 215-п</w:t>
        </w:r>
      </w:hyperlink>
      <w:r>
        <w:rPr>
          <w:sz w:val="20"/>
        </w:rPr>
        <w:t xml:space="preserve">)</w:t>
      </w:r>
    </w:p>
    <w:p>
      <w:pPr>
        <w:pStyle w:val="0"/>
        <w:spacing w:before="200" w:line-rule="auto"/>
        <w:ind w:firstLine="540"/>
        <w:jc w:val="both"/>
      </w:pPr>
      <w:r>
        <w:rPr>
          <w:sz w:val="20"/>
        </w:rPr>
        <w:t xml:space="preserve">по подпрограммам "</w:t>
      </w:r>
      <w:hyperlink w:history="0" w:anchor="P5959" w:tooltip="Подпрограмма">
        <w:r>
          <w:rPr>
            <w:sz w:val="20"/>
            <w:color w:val="0000ff"/>
          </w:rPr>
          <w:t xml:space="preserve">Инженерное обустройство</w:t>
        </w:r>
      </w:hyperlink>
      <w:r>
        <w:rPr>
          <w:sz w:val="20"/>
        </w:rPr>
        <w:t xml:space="preserve"> площадок комплексной застройки Новосибирской области" (окончание действия 31.12.2016), "</w:t>
      </w:r>
      <w:hyperlink w:history="0" w:anchor="P6143" w:tooltip="Подпрограмма">
        <w:r>
          <w:rPr>
            <w:sz w:val="20"/>
            <w:color w:val="0000ff"/>
          </w:rPr>
          <w:t xml:space="preserve">Земельные ресурсы</w:t>
        </w:r>
      </w:hyperlink>
      <w:r>
        <w:rPr>
          <w:sz w:val="20"/>
        </w:rPr>
        <w:t xml:space="preserve"> и инфраструктура" (начало действия 01.01.2017) - отношение вложенных средств областного бюджета Новосибирской области (руб.) к вводу жилья (кв. м) не более 5500,0 руб./кв. м;</w:t>
      </w:r>
    </w:p>
    <w:p>
      <w:pPr>
        <w:pStyle w:val="0"/>
        <w:jc w:val="both"/>
      </w:pPr>
      <w:r>
        <w:rPr>
          <w:sz w:val="20"/>
        </w:rPr>
        <w:t xml:space="preserve">(в ред. постановлений Правительства Новосибирской области от 15.02.2017 </w:t>
      </w:r>
      <w:hyperlink w:history="0" r:id="rId961" w:tooltip="Постановление Правительства Новосибирской области от 15.02.2017 N 44-п &quot;О внесении изменений в постановление Правительства Новосибирской области от 20.02.2015 N 68-п&quot; {КонсультантПлюс}">
        <w:r>
          <w:rPr>
            <w:sz w:val="20"/>
            <w:color w:val="0000ff"/>
          </w:rPr>
          <w:t xml:space="preserve">N 44-п</w:t>
        </w:r>
      </w:hyperlink>
      <w:r>
        <w:rPr>
          <w:sz w:val="20"/>
        </w:rPr>
        <w:t xml:space="preserve">, от 23.10.2017 </w:t>
      </w:r>
      <w:hyperlink w:history="0" r:id="rId962" w:tooltip="Постановление Правительства Новосибирской области от 23.10.2017 N 399-п &quot;О внесении изменений в постановление Правительства Новосибирской области от 20.02.2015 N 68-п&quot; {КонсультантПлюс}">
        <w:r>
          <w:rPr>
            <w:sz w:val="20"/>
            <w:color w:val="0000ff"/>
          </w:rPr>
          <w:t xml:space="preserve">N 399-п</w:t>
        </w:r>
      </w:hyperlink>
      <w:r>
        <w:rPr>
          <w:sz w:val="20"/>
        </w:rPr>
        <w:t xml:space="preserve">)</w:t>
      </w:r>
    </w:p>
    <w:p>
      <w:pPr>
        <w:pStyle w:val="0"/>
        <w:spacing w:before="200" w:line-rule="auto"/>
        <w:ind w:firstLine="540"/>
        <w:jc w:val="both"/>
      </w:pPr>
      <w:r>
        <w:rPr>
          <w:sz w:val="20"/>
        </w:rPr>
        <w:t xml:space="preserve">по </w:t>
      </w:r>
      <w:hyperlink w:history="0" w:anchor="P6695" w:tooltip="Подпрограмма">
        <w:r>
          <w:rPr>
            <w:sz w:val="20"/>
            <w:color w:val="0000ff"/>
          </w:rPr>
          <w:t xml:space="preserve">подпрограмме</w:t>
        </w:r>
      </w:hyperlink>
      <w:r>
        <w:rPr>
          <w:sz w:val="20"/>
        </w:rPr>
        <w:t xml:space="preserve">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 количество построенных и приобретаемых квартир;</w:t>
      </w:r>
    </w:p>
    <w:p>
      <w:pPr>
        <w:pStyle w:val="0"/>
        <w:jc w:val="both"/>
      </w:pPr>
      <w:r>
        <w:rPr>
          <w:sz w:val="20"/>
        </w:rPr>
        <w:t xml:space="preserve">(в ред. </w:t>
      </w:r>
      <w:hyperlink w:history="0" r:id="rId963"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19.03.2019 N 106-п)</w:t>
      </w:r>
    </w:p>
    <w:p>
      <w:pPr>
        <w:pStyle w:val="0"/>
        <w:spacing w:before="200" w:line-rule="auto"/>
        <w:ind w:firstLine="540"/>
        <w:jc w:val="both"/>
      </w:pPr>
      <w:r>
        <w:rPr>
          <w:sz w:val="20"/>
        </w:rPr>
        <w:t xml:space="preserve">по </w:t>
      </w:r>
      <w:hyperlink w:history="0" w:anchor="P6600" w:tooltip="Подпрограмма">
        <w:r>
          <w:rPr>
            <w:sz w:val="20"/>
            <w:color w:val="0000ff"/>
          </w:rPr>
          <w:t xml:space="preserve">подпрограмме</w:t>
        </w:r>
      </w:hyperlink>
      <w:r>
        <w:rPr>
          <w:sz w:val="20"/>
        </w:rPr>
        <w:t xml:space="preserve"> "Государственная поддержка муниципальных образований Новосибирской области в обеспечении жилыми помещениями многодетных малообеспеченных семей" - количество многодетных семей, обеспеченных жилыми помещениями;</w:t>
      </w:r>
    </w:p>
    <w:p>
      <w:pPr>
        <w:pStyle w:val="0"/>
        <w:spacing w:before="200" w:line-rule="auto"/>
        <w:ind w:firstLine="540"/>
        <w:jc w:val="both"/>
      </w:pPr>
      <w:r>
        <w:rPr>
          <w:sz w:val="20"/>
        </w:rPr>
        <w:t xml:space="preserve">д) в случае если объем бюджетных ассигнований, предусмотренных в бюджете муниципального образования на софинансирование мероприятий подпрограмм, указанных в </w:t>
      </w:r>
      <w:hyperlink w:history="0" w:anchor="P9743" w:tooltip="1) &quot;Градостроительная подготовка территорий Новосибирской области&quot;;">
        <w:r>
          <w:rPr>
            <w:sz w:val="20"/>
            <w:color w:val="0000ff"/>
          </w:rPr>
          <w:t xml:space="preserve">подпунктах 1</w:t>
        </w:r>
      </w:hyperlink>
      <w:r>
        <w:rPr>
          <w:sz w:val="20"/>
        </w:rPr>
        <w:t xml:space="preserve"> - </w:t>
      </w:r>
      <w:hyperlink w:history="0" w:anchor="P9747" w:tooltip="4) &quot;Государственная поддержка муниципальных образований Новосибирской области в обеспечении жилыми помещениями многодетных малообеспеченных семей&quot;;">
        <w:r>
          <w:rPr>
            <w:sz w:val="20"/>
            <w:color w:val="0000ff"/>
          </w:rPr>
          <w:t xml:space="preserve">4</w:t>
        </w:r>
      </w:hyperlink>
      <w:r>
        <w:rPr>
          <w:sz w:val="20"/>
        </w:rPr>
        <w:t xml:space="preserve">, </w:t>
      </w:r>
      <w:hyperlink w:history="0" w:anchor="P9753" w:tooltip="8) &quot;Государственная поддержка при завершении строительства &quot;проблемных&quot; жилых домов&quot; (начало действия 01.01.2018);">
        <w:r>
          <w:rPr>
            <w:sz w:val="20"/>
            <w:color w:val="0000ff"/>
          </w:rPr>
          <w:t xml:space="preserve">8 пункта 1</w:t>
        </w:r>
      </w:hyperlink>
      <w:r>
        <w:rPr>
          <w:sz w:val="20"/>
        </w:rPr>
        <w:t xml:space="preserve"> настоящего Порядка, ниже установленного уровня, размер субсидии, предоставляемой местному бюджету, подлежит сокращению пропорционально снижению объема софинансирования за счет средств местного бюджета;</w:t>
      </w:r>
    </w:p>
    <w:p>
      <w:pPr>
        <w:pStyle w:val="0"/>
        <w:jc w:val="both"/>
      </w:pPr>
      <w:r>
        <w:rPr>
          <w:sz w:val="20"/>
        </w:rPr>
        <w:t xml:space="preserve">(в ред. </w:t>
      </w:r>
      <w:hyperlink w:history="0" r:id="rId964"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е) положения, содержащие условия предоставления и расходования субсидии местному бюджету;</w:t>
      </w:r>
    </w:p>
    <w:p>
      <w:pPr>
        <w:pStyle w:val="0"/>
        <w:spacing w:before="200" w:line-rule="auto"/>
        <w:ind w:firstLine="540"/>
        <w:jc w:val="both"/>
      </w:pPr>
      <w:r>
        <w:rPr>
          <w:sz w:val="20"/>
        </w:rPr>
        <w:t xml:space="preserve">ж) последствия недостижения муниципальным образованием установленных значений показателей результативности предоставления субсидии;</w:t>
      </w:r>
    </w:p>
    <w:p>
      <w:pPr>
        <w:pStyle w:val="0"/>
        <w:jc w:val="both"/>
      </w:pPr>
      <w:r>
        <w:rPr>
          <w:sz w:val="20"/>
        </w:rPr>
        <w:t xml:space="preserve">(пп. "ж" введен </w:t>
      </w:r>
      <w:hyperlink w:history="0" r:id="rId965" w:tooltip="Постановление Правительства Новосибирской области от 15.02.2016 N 4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15.02.2016 N 41-п)</w:t>
      </w:r>
    </w:p>
    <w:p>
      <w:pPr>
        <w:pStyle w:val="0"/>
        <w:spacing w:before="200" w:line-rule="auto"/>
        <w:ind w:firstLine="540"/>
        <w:jc w:val="both"/>
      </w:pPr>
      <w:r>
        <w:rPr>
          <w:sz w:val="20"/>
        </w:rPr>
        <w:t xml:space="preserve">2) ежеквартально формируют предельные объемы финансирования за счет средств областного бюджета Новосибирской области с помесячной разбивкой, распределяют объемы финансирования по муниципальным образованиям на основании предложений, представленных муниципальными образованиями Новосибирской области;</w:t>
      </w:r>
    </w:p>
    <w:p>
      <w:pPr>
        <w:pStyle w:val="0"/>
        <w:jc w:val="both"/>
      </w:pPr>
      <w:r>
        <w:rPr>
          <w:sz w:val="20"/>
        </w:rPr>
        <w:t xml:space="preserve">(в ред. постановлений Правительства Новосибирской области от 19.03.2019 </w:t>
      </w:r>
      <w:hyperlink w:history="0" r:id="rId966" w:tooltip="Постановление Правительства Новосибирской области от 19.03.2019 N 106-п &quot;О внесении изменений в постановление Правительства Новосибирской области от 20.02.2015 N 68-п&quot; {КонсультантПлюс}">
        <w:r>
          <w:rPr>
            <w:sz w:val="20"/>
            <w:color w:val="0000ff"/>
          </w:rPr>
          <w:t xml:space="preserve">N 106-п</w:t>
        </w:r>
      </w:hyperlink>
      <w:r>
        <w:rPr>
          <w:sz w:val="20"/>
        </w:rPr>
        <w:t xml:space="preserve">, от 26.04.2022 </w:t>
      </w:r>
      <w:hyperlink w:history="0" r:id="rId967"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N 174-п</w:t>
        </w:r>
      </w:hyperlink>
      <w:r>
        <w:rPr>
          <w:sz w:val="20"/>
        </w:rPr>
        <w:t xml:space="preserve">)</w:t>
      </w:r>
    </w:p>
    <w:p>
      <w:pPr>
        <w:pStyle w:val="0"/>
        <w:spacing w:before="200" w:line-rule="auto"/>
        <w:ind w:firstLine="540"/>
        <w:jc w:val="both"/>
      </w:pPr>
      <w:r>
        <w:rPr>
          <w:sz w:val="20"/>
        </w:rPr>
        <w:t xml:space="preserve">3) осуществляют контроль за использованием субсидий администрациями муниципальных образований на основании представленных ими отчетов о выполненных объемах работ;</w:t>
      </w:r>
    </w:p>
    <w:p>
      <w:pPr>
        <w:pStyle w:val="0"/>
        <w:jc w:val="both"/>
      </w:pPr>
      <w:r>
        <w:rPr>
          <w:sz w:val="20"/>
        </w:rPr>
        <w:t xml:space="preserve">(в ред. </w:t>
      </w:r>
      <w:hyperlink w:history="0" r:id="rId968"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4) не позднее 15 числа каждого месяца представляют в министерство финансов и налоговой политики Новосибирской области отчет о выполненных объемах работ в рамках государственной программы;</w:t>
      </w:r>
    </w:p>
    <w:p>
      <w:pPr>
        <w:pStyle w:val="0"/>
        <w:jc w:val="both"/>
      </w:pPr>
      <w:r>
        <w:rPr>
          <w:sz w:val="20"/>
        </w:rPr>
        <w:t xml:space="preserve">(в ред. </w:t>
      </w:r>
      <w:hyperlink w:history="0" r:id="rId969"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5) ежеквартально обеспечивают контроль за осуществлением органами местного самоуправления муниципальных образований софинансирования расходных обязательств, источником финансового обеспечения которых являются указанные субсидии, при нарушении условий софинансирования органами местного самоуправления вносят предложения о перераспределении субсидий между муниципальными образованиями либо об уменьшении объема субсидий.</w:t>
      </w:r>
    </w:p>
    <w:p>
      <w:pPr>
        <w:pStyle w:val="0"/>
        <w:jc w:val="both"/>
      </w:pPr>
      <w:r>
        <w:rPr>
          <w:sz w:val="20"/>
        </w:rPr>
        <w:t xml:space="preserve">(в ред. </w:t>
      </w:r>
      <w:hyperlink w:history="0" r:id="rId970"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6. Администрации муниципальных образований - получатели субсидий, на территории которых будут реализованы мероприятия государственной программы, представляют в адрес главного распорядителя бюджетных средств, в рамках заключенного соглашения:</w:t>
      </w:r>
    </w:p>
    <w:p>
      <w:pPr>
        <w:pStyle w:val="0"/>
        <w:jc w:val="both"/>
      </w:pPr>
      <w:r>
        <w:rPr>
          <w:sz w:val="20"/>
        </w:rPr>
        <w:t xml:space="preserve">(в ред. </w:t>
      </w:r>
      <w:hyperlink w:history="0" r:id="rId971"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1) ежемесячно до 3 числа месяца, следующего за отчетным, - отчеты о выполненных работах по соответствующим мероприятиям государственной программы;</w:t>
      </w:r>
    </w:p>
    <w:p>
      <w:pPr>
        <w:pStyle w:val="0"/>
        <w:spacing w:before="200" w:line-rule="auto"/>
        <w:ind w:firstLine="540"/>
        <w:jc w:val="both"/>
      </w:pPr>
      <w:r>
        <w:rPr>
          <w:sz w:val="20"/>
        </w:rPr>
        <w:t xml:space="preserve">2) ежеквартально до 3 числа на начало планируемого квартала - отчеты о долевом софинансировании за счет местных бюджетов (кроме подпрограммы, указанной в </w:t>
      </w:r>
      <w:hyperlink w:history="0" w:anchor="P9747" w:tooltip="4) &quot;Государственная поддержка муниципальных образований Новосибирской области в обеспечении жилыми помещениями многодетных малообеспеченных семей&quot;;">
        <w:r>
          <w:rPr>
            <w:sz w:val="20"/>
            <w:color w:val="0000ff"/>
          </w:rPr>
          <w:t xml:space="preserve">подпункте 4 пункта 1</w:t>
        </w:r>
      </w:hyperlink>
      <w:r>
        <w:rPr>
          <w:sz w:val="20"/>
        </w:rPr>
        <w:t xml:space="preserve"> настоящего Порядка), с приложением платежных документов, подтверждающих долевое софинансирование за счет местных бюджетов (кроме подпрограммы, указанной в подпункте 4 пункта 1 настоящего Порядка);</w:t>
      </w:r>
    </w:p>
    <w:p>
      <w:pPr>
        <w:pStyle w:val="0"/>
        <w:jc w:val="both"/>
      </w:pPr>
      <w:r>
        <w:rPr>
          <w:sz w:val="20"/>
        </w:rPr>
        <w:t xml:space="preserve">(в ред. </w:t>
      </w:r>
      <w:hyperlink w:history="0" r:id="rId972" w:tooltip="Постановление Правительства Новосибирской области от 06.07.2018 N 28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06.07.2018 N 287-п)</w:t>
      </w:r>
    </w:p>
    <w:p>
      <w:pPr>
        <w:pStyle w:val="0"/>
        <w:spacing w:before="200" w:line-rule="auto"/>
        <w:ind w:firstLine="540"/>
        <w:jc w:val="both"/>
      </w:pPr>
      <w:r>
        <w:rPr>
          <w:sz w:val="20"/>
        </w:rPr>
        <w:t xml:space="preserve">3) ежемесячно до 10 числа - заявку на финансирование мероприятий государственной программы.</w:t>
      </w:r>
    </w:p>
    <w:p>
      <w:pPr>
        <w:pStyle w:val="0"/>
        <w:spacing w:before="200" w:line-rule="auto"/>
        <w:ind w:firstLine="540"/>
        <w:jc w:val="both"/>
      </w:pPr>
      <w:r>
        <w:rPr>
          <w:sz w:val="20"/>
        </w:rPr>
        <w:t xml:space="preserve">7. Получатели субсидий и главные распорядители бюджетных средств несут ответственность за их нецелевое использование в соответствии с Бюджетным </w:t>
      </w:r>
      <w:hyperlink w:history="0" r:id="rId973" w:tooltip="&quot;Бюджетный кодекс Российской Федерации&quot; от 31.07.1998 N 145-ФЗ (ред. от 14.04.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974"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8. В случае установления нецелевого использования субсидии получателем главный распорядитель бюджетных средств, предоставивший субсидию, направляет получателю субсидии письменное требование о возврате субсидии с указанием суммы субсидии, реквизитов главного распорядителя бюджетных средств и кодов бюджетной классификации субсидии.</w:t>
      </w:r>
    </w:p>
    <w:p>
      <w:pPr>
        <w:pStyle w:val="0"/>
        <w:jc w:val="both"/>
      </w:pPr>
      <w:r>
        <w:rPr>
          <w:sz w:val="20"/>
        </w:rPr>
        <w:t xml:space="preserve">(в ред. </w:t>
      </w:r>
      <w:hyperlink w:history="0" r:id="rId975"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spacing w:before="200" w:line-rule="auto"/>
        <w:ind w:firstLine="540"/>
        <w:jc w:val="both"/>
      </w:pPr>
      <w:r>
        <w:rPr>
          <w:sz w:val="20"/>
        </w:rPr>
        <w:t xml:space="preserve">Получатель субсидии в течение 5 (пяти) банковских рабочих дней с даты получения письменного требования о возврате производит возврат указанных финансовых средств главным распорядителям бюджетных средств.</w:t>
      </w:r>
    </w:p>
    <w:p>
      <w:pPr>
        <w:pStyle w:val="0"/>
        <w:jc w:val="both"/>
      </w:pPr>
      <w:r>
        <w:rPr>
          <w:sz w:val="20"/>
        </w:rPr>
        <w:t xml:space="preserve">(в ред. </w:t>
      </w:r>
      <w:hyperlink w:history="0" r:id="rId976" w:tooltip="Постановление Правительства Новосибирской области от 26.04.2022 N 174-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26.04.2022 N 174-п)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20.02.2015 N 68-п</w:t>
      </w:r>
    </w:p>
    <w:p>
      <w:pPr>
        <w:pStyle w:val="0"/>
        <w:ind w:firstLine="540"/>
        <w:jc w:val="both"/>
      </w:pPr>
      <w:r>
        <w:rPr>
          <w:sz w:val="20"/>
        </w:rPr>
      </w:r>
    </w:p>
    <w:p>
      <w:pPr>
        <w:pStyle w:val="2"/>
        <w:jc w:val="center"/>
      </w:pPr>
      <w:r>
        <w:rPr>
          <w:sz w:val="20"/>
        </w:rPr>
        <w:t xml:space="preserve">УСЛОВИЯ</w:t>
      </w:r>
    </w:p>
    <w:p>
      <w:pPr>
        <w:pStyle w:val="2"/>
        <w:jc w:val="center"/>
      </w:pPr>
      <w:r>
        <w:rPr>
          <w:sz w:val="20"/>
        </w:rPr>
        <w:t xml:space="preserve">ПРЕДОСТАВЛЕНИЯ И РАСХОДОВАНИЯ СУБСИДИЙ МЕСТНЫМ БЮДЖЕТАМ</w:t>
      </w:r>
    </w:p>
    <w:p>
      <w:pPr>
        <w:pStyle w:val="2"/>
        <w:jc w:val="center"/>
      </w:pPr>
      <w:r>
        <w:rPr>
          <w:sz w:val="20"/>
        </w:rPr>
        <w:t xml:space="preserve">НА РЕАЛИЗАЦИЮ ГОСУДАРСТВЕННОЙ ПРОГРАММЫ НОВОСИБИРСКОЙ</w:t>
      </w:r>
    </w:p>
    <w:p>
      <w:pPr>
        <w:pStyle w:val="2"/>
        <w:jc w:val="center"/>
      </w:pPr>
      <w:r>
        <w:rPr>
          <w:sz w:val="20"/>
        </w:rPr>
        <w:t xml:space="preserve">ОБЛАСТИ "СТИМУЛИРОВАНИЕ РАЗВИТИЯ ЖИЛИЩНОГО</w:t>
      </w:r>
    </w:p>
    <w:p>
      <w:pPr>
        <w:pStyle w:val="2"/>
        <w:jc w:val="center"/>
      </w:pPr>
      <w:r>
        <w:rPr>
          <w:sz w:val="20"/>
        </w:rPr>
        <w:t xml:space="preserve">СТРОИТЕЛЬСТВА В НОВОСИБИРСКОЙ ОБЛАСТИ"</w:t>
      </w:r>
    </w:p>
    <w:p>
      <w:pPr>
        <w:pStyle w:val="0"/>
        <w:ind w:firstLine="540"/>
        <w:jc w:val="both"/>
      </w:pPr>
      <w:r>
        <w:rPr>
          <w:sz w:val="20"/>
        </w:rPr>
      </w:r>
    </w:p>
    <w:p>
      <w:pPr>
        <w:pStyle w:val="0"/>
        <w:ind w:firstLine="540"/>
        <w:jc w:val="both"/>
      </w:pPr>
      <w:r>
        <w:rPr>
          <w:sz w:val="20"/>
        </w:rPr>
        <w:t xml:space="preserve">Утратили силу. - </w:t>
      </w:r>
      <w:hyperlink w:history="0" r:id="rId977" w:tooltip="Постановление Правительства Новосибирской области от 29.09.2020 N 41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w:t>
        </w:r>
      </w:hyperlink>
      <w:r>
        <w:rPr>
          <w:sz w:val="20"/>
        </w:rPr>
        <w:t xml:space="preserve"> Правительства Новосибирской области от 29.09.2020 N 411-п.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20.02.2015 N 68-п</w:t>
      </w:r>
    </w:p>
    <w:p>
      <w:pPr>
        <w:pStyle w:val="0"/>
        <w:ind w:firstLine="540"/>
        <w:jc w:val="both"/>
      </w:pPr>
      <w:r>
        <w:rPr>
          <w:sz w:val="20"/>
        </w:rPr>
      </w:r>
    </w:p>
    <w:bookmarkStart w:id="9837" w:name="P9837"/>
    <w:bookmarkEnd w:id="9837"/>
    <w:p>
      <w:pPr>
        <w:pStyle w:val="2"/>
        <w:jc w:val="center"/>
      </w:pPr>
      <w:r>
        <w:rPr>
          <w:sz w:val="20"/>
        </w:rPr>
        <w:t xml:space="preserve">ПОРЯДОК</w:t>
      </w:r>
    </w:p>
    <w:p>
      <w:pPr>
        <w:pStyle w:val="2"/>
        <w:jc w:val="center"/>
      </w:pPr>
      <w:r>
        <w:rPr>
          <w:sz w:val="20"/>
        </w:rPr>
        <w:t xml:space="preserve">ПРЕДОСТАВЛЕНИЯ СУБСИДИЙ ЮРИДИЧЕСКИМ ЛИЦАМ (ЗА ИСКЛЮЧЕНИЕМ</w:t>
      </w:r>
    </w:p>
    <w:p>
      <w:pPr>
        <w:pStyle w:val="2"/>
        <w:jc w:val="center"/>
      </w:pPr>
      <w:r>
        <w:rPr>
          <w:sz w:val="20"/>
        </w:rPr>
        <w:t xml:space="preserve">ГОСУДАРСТВЕННЫХ (МУНИЦИПАЛЬНЫХ) УЧРЕЖДЕНИЙ) НА ВОЗМЕЩЕНИЕ</w:t>
      </w:r>
    </w:p>
    <w:p>
      <w:pPr>
        <w:pStyle w:val="2"/>
        <w:jc w:val="center"/>
      </w:pPr>
      <w:r>
        <w:rPr>
          <w:sz w:val="20"/>
        </w:rPr>
        <w:t xml:space="preserve">НЕДОПОЛУЧЕННЫХ ДОХОДОВ В СВЯЗИ С ОФОРМЛЕНИЕМ ОТДЕЛЬНЫМИ</w:t>
      </w:r>
    </w:p>
    <w:p>
      <w:pPr>
        <w:pStyle w:val="2"/>
        <w:jc w:val="center"/>
      </w:pPr>
      <w:r>
        <w:rPr>
          <w:sz w:val="20"/>
        </w:rPr>
        <w:t xml:space="preserve">КАТЕГОРИЯМИ ГРАЖДАН ИПОТЕЧНЫХ ЖИЛИЩНЫХ</w:t>
      </w:r>
    </w:p>
    <w:p>
      <w:pPr>
        <w:pStyle w:val="2"/>
        <w:jc w:val="center"/>
      </w:pPr>
      <w:r>
        <w:rPr>
          <w:sz w:val="20"/>
        </w:rPr>
        <w:t xml:space="preserve">КРЕДИТОВ (ЗАЙМОВ)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978" w:tooltip="Постановление Правительства Новосибирской области от 01.04.2019 N 12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01.04.2019 N 121-п;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20.09.2021 </w:t>
            </w:r>
            <w:hyperlink w:history="0" r:id="rId979"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N 367-п</w:t>
              </w:r>
            </w:hyperlink>
            <w:r>
              <w:rPr>
                <w:sz w:val="20"/>
                <w:color w:val="392c69"/>
              </w:rPr>
              <w:t xml:space="preserve">, от 18.10.2022 </w:t>
            </w:r>
            <w:hyperlink w:history="0" r:id="rId980" w:tooltip="Постановление Правительства Новосибирской области от 18.10.2022 N 481-п &quot;О внесении изменений в постановление Правительства Новосибирской области от 20.02.2015 N 68-п&quot; {КонсультантПлюс}">
              <w:r>
                <w:rPr>
                  <w:sz w:val="20"/>
                  <w:color w:val="0000ff"/>
                </w:rPr>
                <w:t xml:space="preserve">N 481-п</w:t>
              </w:r>
            </w:hyperlink>
            <w:r>
              <w:rPr>
                <w:sz w:val="20"/>
                <w:color w:val="392c69"/>
              </w:rPr>
              <w:t xml:space="preserve">,</w:t>
            </w:r>
          </w:p>
          <w:p>
            <w:pPr>
              <w:pStyle w:val="0"/>
              <w:jc w:val="center"/>
            </w:pPr>
            <w:r>
              <w:rPr>
                <w:sz w:val="20"/>
                <w:color w:val="392c69"/>
              </w:rPr>
              <w:t xml:space="preserve">с изм., внесенными </w:t>
            </w:r>
            <w:hyperlink w:history="0" r:id="rId981" w:tooltip="Постановление Правительства Новосибирской области от 16.03.2022 N 94-п (ред. от 16.05.2022)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16.03.2022 N 94-п)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определяет цель и условия предоставления за счет средств областного бюджета Новосибирской области субсидий юридическим лицам (за исключением государственных (муниципальных) учреждений) на возмещение недополученных доходов в связи с оформлением отдельными категориями граждан, указанными в </w:t>
      </w:r>
      <w:hyperlink w:history="0" w:anchor="P9954" w:tooltip="26. Юридическое лицо предоставляет ипотечные жилищные кредиты (займы) следующим категориям граждан Российской Федерации, проживающим на территории Новосибирской области:">
        <w:r>
          <w:rPr>
            <w:sz w:val="20"/>
            <w:color w:val="0000ff"/>
          </w:rPr>
          <w:t xml:space="preserve">пункте 26</w:t>
        </w:r>
      </w:hyperlink>
      <w:r>
        <w:rPr>
          <w:sz w:val="20"/>
        </w:rPr>
        <w:t xml:space="preserve"> настоящего Порядка (далее - отдельные категории граждан),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 но не более 150 000 рублей в рамках оформления одного ипотечного жилищного кредита (займа) (далее - субсидии), критерии отбора юридических лиц в целях предоставления субсидий, а также требования об осуществлении контроля за соблюдением условий, целей и порядка предоставления субсидий и ответственности за их нарушение.</w:t>
      </w:r>
    </w:p>
    <w:bookmarkStart w:id="9852" w:name="P9852"/>
    <w:bookmarkEnd w:id="9852"/>
    <w:p>
      <w:pPr>
        <w:pStyle w:val="0"/>
        <w:spacing w:before="200" w:line-rule="auto"/>
        <w:ind w:firstLine="540"/>
        <w:jc w:val="both"/>
      </w:pPr>
      <w:r>
        <w:rPr>
          <w:sz w:val="20"/>
        </w:rPr>
        <w:t xml:space="preserve">2. Целью предоставления субсидий является возмещение юридическим лицам (за исключением государственных (муниципальных) учреждений) недополученных доходов в связи с оформлением отдельными категориями граждан ипотечных жилищных кредитов (займов) по сниженной процентной ставке.</w:t>
      </w:r>
    </w:p>
    <w:p>
      <w:pPr>
        <w:pStyle w:val="0"/>
        <w:spacing w:before="200" w:line-rule="auto"/>
        <w:ind w:firstLine="540"/>
        <w:jc w:val="both"/>
      </w:pPr>
      <w:r>
        <w:rPr>
          <w:sz w:val="20"/>
        </w:rPr>
        <w:t xml:space="preserve">3. Субсидии предоставляются министерством строительства Новосибирской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юридическим лицам (за исключением государственных (муниципальных) учреждений) - кредитным организациям и организациям, осуществляющим предоставление займов по договорам займа, исполнение обязательств по которым обеспечено ипотекой, зарегистрированным и осуществляющим свою деятельность на территории Новосибирской области и реализующим ипотечные программы, разработанные и утвержденные Единым институтом развития в жилищной сфере (далее - юридические лица), на основании проведенного министерством строительства Новосибирской области отбора (далее - отбор). Способ проведения отбора - запрос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pPr>
        <w:pStyle w:val="0"/>
        <w:jc w:val="both"/>
      </w:pPr>
      <w:r>
        <w:rPr>
          <w:sz w:val="20"/>
        </w:rPr>
        <w:t xml:space="preserve">(в ред. </w:t>
      </w:r>
      <w:hyperlink w:history="0" r:id="rId982"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20.09.2021 N 367-п)</w:t>
      </w:r>
    </w:p>
    <w:p>
      <w:pPr>
        <w:pStyle w:val="0"/>
        <w:spacing w:before="200" w:line-rule="auto"/>
        <w:ind w:firstLine="540"/>
        <w:jc w:val="both"/>
      </w:pPr>
      <w:r>
        <w:rPr>
          <w:sz w:val="20"/>
        </w:rPr>
        <w:t xml:space="preserve">4. Министерство строительства Новосибирской области в целях проведения отбора выполняет следующие функции:</w:t>
      </w:r>
    </w:p>
    <w:p>
      <w:pPr>
        <w:pStyle w:val="0"/>
        <w:spacing w:before="200" w:line-rule="auto"/>
        <w:ind w:firstLine="540"/>
        <w:jc w:val="both"/>
      </w:pPr>
      <w:r>
        <w:rPr>
          <w:sz w:val="20"/>
        </w:rPr>
        <w:t xml:space="preserve">1) утверждает своим приказом состав комиссии по отбору (далее - комиссия), дату, время и место проведения отбора;</w:t>
      </w:r>
    </w:p>
    <w:p>
      <w:pPr>
        <w:pStyle w:val="0"/>
        <w:spacing w:before="200" w:line-rule="auto"/>
        <w:ind w:firstLine="540"/>
        <w:jc w:val="both"/>
      </w:pPr>
      <w:r>
        <w:rPr>
          <w:sz w:val="20"/>
        </w:rPr>
        <w:t xml:space="preserve">2) обеспечивает прием, учет и хранение заявок и представленных документов на участие в отборе (далее - заявка для отбора);</w:t>
      </w:r>
    </w:p>
    <w:p>
      <w:pPr>
        <w:pStyle w:val="0"/>
        <w:spacing w:before="200" w:line-rule="auto"/>
        <w:ind w:firstLine="540"/>
        <w:jc w:val="both"/>
      </w:pPr>
      <w:r>
        <w:rPr>
          <w:sz w:val="20"/>
        </w:rPr>
        <w:t xml:space="preserve">3) проводит консультации по вопросам оформления заявок для отбора;</w:t>
      </w:r>
    </w:p>
    <w:p>
      <w:pPr>
        <w:pStyle w:val="0"/>
        <w:spacing w:before="200" w:line-rule="auto"/>
        <w:ind w:firstLine="540"/>
        <w:jc w:val="both"/>
      </w:pPr>
      <w:r>
        <w:rPr>
          <w:sz w:val="20"/>
        </w:rPr>
        <w:t xml:space="preserve">4) осуществляет организационно-техническое обеспечение деятельности комиссии.</w:t>
      </w:r>
    </w:p>
    <w:bookmarkStart w:id="9860" w:name="P9860"/>
    <w:bookmarkEnd w:id="9860"/>
    <w:p>
      <w:pPr>
        <w:pStyle w:val="0"/>
        <w:spacing w:before="200" w:line-rule="auto"/>
        <w:ind w:firstLine="540"/>
        <w:jc w:val="both"/>
      </w:pPr>
      <w:r>
        <w:rPr>
          <w:sz w:val="20"/>
        </w:rPr>
        <w:t xml:space="preserve">5. Участниками отбора являются юридические лица, удовлетворяющие всем в совокупности обязательным требованиям по состоянию на первое число месяца, в котором юридическое лицо обратилось в министерство строительства Новосибирской области с заявкой для отбора:</w:t>
      </w:r>
    </w:p>
    <w:p>
      <w:pPr>
        <w:pStyle w:val="0"/>
        <w:spacing w:before="200" w:line-rule="auto"/>
        <w:ind w:firstLine="540"/>
        <w:jc w:val="both"/>
      </w:pPr>
      <w:r>
        <w:rPr>
          <w:sz w:val="20"/>
        </w:rPr>
        <w:t xml:space="preserve">1) отсутствие у юридического лица:</w:t>
      </w:r>
    </w:p>
    <w:p>
      <w:pPr>
        <w:pStyle w:val="0"/>
        <w:spacing w:before="200" w:line-rule="auto"/>
        <w:ind w:firstLine="540"/>
        <w:jc w:val="both"/>
      </w:pPr>
      <w:r>
        <w:rPr>
          <w:sz w:val="20"/>
        </w:rPr>
        <w:t xml:space="preserve">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pPr>
        <w:pStyle w:val="0"/>
        <w:spacing w:before="200" w:line-rule="auto"/>
        <w:ind w:firstLine="540"/>
        <w:jc w:val="both"/>
      </w:pPr>
      <w:r>
        <w:rPr>
          <w:sz w:val="20"/>
        </w:rPr>
        <w:t xml:space="preserve">2)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jc w:val="both"/>
      </w:pPr>
      <w:r>
        <w:rPr>
          <w:sz w:val="20"/>
        </w:rPr>
        <w:t xml:space="preserve">(пп. 2 в ред. </w:t>
      </w:r>
      <w:hyperlink w:history="0" r:id="rId983"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20.09.2021 N 367-п)</w:t>
      </w:r>
    </w:p>
    <w:p>
      <w:pPr>
        <w:pStyle w:val="0"/>
        <w:spacing w:before="200" w:line-rule="auto"/>
        <w:ind w:firstLine="540"/>
        <w:jc w:val="both"/>
      </w:pPr>
      <w:r>
        <w:rPr>
          <w:sz w:val="20"/>
        </w:rPr>
        <w:t xml:space="preserve">3) юридическое лицо не должно являться иностранным юридическим лицом, а также российским юридическим лицом, в уставном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0"/>
        <w:spacing w:before="200" w:line-rule="auto"/>
        <w:ind w:firstLine="540"/>
        <w:jc w:val="both"/>
      </w:pPr>
      <w:r>
        <w:rPr>
          <w:sz w:val="20"/>
        </w:rPr>
        <w:t xml:space="preserve">4) юридическое лицо не должно получать средства из областного бюджета Новосибирской области на основании иных нормативных правовых актов на цель предоставления субсидий, указанную в </w:t>
      </w:r>
      <w:hyperlink w:history="0" w:anchor="P9852" w:tooltip="2. Целью предоставления субсидий является возмещение юридическим лицам (за исключением государственных (муниципальных) учреждений) недополученных доходов в связи с оформлением отдельными категориями граждан ипотечных жилищных кредитов (займов) по сниженной процентной ставке.">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pPr>
        <w:pStyle w:val="0"/>
        <w:jc w:val="both"/>
      </w:pPr>
      <w:r>
        <w:rPr>
          <w:sz w:val="20"/>
        </w:rPr>
        <w:t xml:space="preserve">(пп. 5 введен </w:t>
      </w:r>
      <w:hyperlink w:history="0" r:id="rId984"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20.09.2021 N 367-п)</w:t>
      </w:r>
    </w:p>
    <w:bookmarkStart w:id="9870" w:name="P9870"/>
    <w:bookmarkEnd w:id="9870"/>
    <w:p>
      <w:pPr>
        <w:pStyle w:val="0"/>
        <w:spacing w:before="200" w:line-rule="auto"/>
        <w:ind w:firstLine="540"/>
        <w:jc w:val="both"/>
      </w:pPr>
      <w:r>
        <w:rPr>
          <w:sz w:val="20"/>
        </w:rPr>
        <w:t xml:space="preserve">6. Отбор осуществляется на основании следующих критериев:</w:t>
      </w:r>
    </w:p>
    <w:p>
      <w:pPr>
        <w:pStyle w:val="0"/>
        <w:spacing w:before="200" w:line-rule="auto"/>
        <w:ind w:firstLine="540"/>
        <w:jc w:val="both"/>
      </w:pPr>
      <w:r>
        <w:rPr>
          <w:sz w:val="20"/>
        </w:rPr>
        <w:t xml:space="preserve">1) наличие у юридического лица наибольшего опыта реализации ипотечных программ, разработанных и утвержденных Единым институтом развития в жилищной сфере, определяемого количеством времени реализации, среди участников отбора;</w:t>
      </w:r>
    </w:p>
    <w:p>
      <w:pPr>
        <w:pStyle w:val="0"/>
        <w:spacing w:before="200" w:line-rule="auto"/>
        <w:ind w:firstLine="540"/>
        <w:jc w:val="both"/>
      </w:pPr>
      <w:r>
        <w:rPr>
          <w:sz w:val="20"/>
        </w:rPr>
        <w:t xml:space="preserve">2) принятие юридическим лицом обязательств по ипотечному жилищному кредитованию или предоставлению займов по договорам займа, исполнение обязательств по которым обеспечено ипотекой, отдельных категорий граждан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w:t>
      </w:r>
    </w:p>
    <w:p>
      <w:pPr>
        <w:pStyle w:val="0"/>
        <w:spacing w:before="200" w:line-rule="auto"/>
        <w:ind w:firstLine="540"/>
        <w:jc w:val="both"/>
      </w:pPr>
      <w:r>
        <w:rPr>
          <w:sz w:val="20"/>
        </w:rPr>
        <w:t xml:space="preserve">3) участие в реализации одной из государственных программ по ипотечному жилищному кредитованию или предоставлению займов по договорам займа, исполнение обязательств по которым обеспечено ипотекой, действующих на территории Новосибирской области.</w:t>
      </w:r>
    </w:p>
    <w:bookmarkStart w:id="9874" w:name="P9874"/>
    <w:bookmarkEnd w:id="9874"/>
    <w:p>
      <w:pPr>
        <w:pStyle w:val="0"/>
        <w:spacing w:before="200" w:line-rule="auto"/>
        <w:ind w:firstLine="540"/>
        <w:jc w:val="both"/>
      </w:pPr>
      <w:r>
        <w:rPr>
          <w:sz w:val="20"/>
        </w:rPr>
        <w:t xml:space="preserve">7. Объявление о начале проведения отбора размещается на едином портале бюджетной системы Российской Федерации в информационно-телекоммуникационной сети "Интернет" (далее - единый портал), а также на официальном сайте министерства строительства Новосибирской области в информационно-телекоммуникационной сети "Интернет" по адресу: </w:t>
      </w:r>
      <w:r>
        <w:rPr>
          <w:sz w:val="20"/>
        </w:rPr>
        <w:t xml:space="preserve">https://minstroy.nso.ru/</w:t>
      </w:r>
      <w:r>
        <w:rPr>
          <w:sz w:val="20"/>
        </w:rPr>
        <w:t xml:space="preserve"> в разделе "Конкурсы" (подраздел "Отбор организаций") в срок не менее пяти рабочих дней до дня начала приема заявок для отбора и содержит следующую информацию:</w:t>
      </w:r>
    </w:p>
    <w:p>
      <w:pPr>
        <w:pStyle w:val="0"/>
        <w:spacing w:before="200" w:line-rule="auto"/>
        <w:ind w:firstLine="540"/>
        <w:jc w:val="both"/>
      </w:pPr>
      <w:r>
        <w:rPr>
          <w:sz w:val="20"/>
        </w:rPr>
        <w:t xml:space="preserve">срок проведения отбора (дата и время начала (окончания) подачи (приема) заявок участников отбора);</w:t>
      </w:r>
    </w:p>
    <w:p>
      <w:pPr>
        <w:pStyle w:val="0"/>
        <w:spacing w:before="200" w:line-rule="auto"/>
        <w:ind w:firstLine="540"/>
        <w:jc w:val="both"/>
      </w:pPr>
      <w:r>
        <w:rPr>
          <w:sz w:val="20"/>
        </w:rPr>
        <w:t xml:space="preserve">наименование, место нахождения, почтовый адрес, адрес электронной почты министерства строительства Новосибирской области;</w:t>
      </w:r>
    </w:p>
    <w:p>
      <w:pPr>
        <w:pStyle w:val="0"/>
        <w:spacing w:before="200" w:line-rule="auto"/>
        <w:ind w:firstLine="540"/>
        <w:jc w:val="both"/>
      </w:pPr>
      <w:r>
        <w:rPr>
          <w:sz w:val="20"/>
        </w:rPr>
        <w:t xml:space="preserve">результат предоставления субсидии;</w:t>
      </w:r>
    </w:p>
    <w:p>
      <w:pPr>
        <w:pStyle w:val="0"/>
        <w:spacing w:before="200" w:line-rule="auto"/>
        <w:ind w:firstLine="540"/>
        <w:jc w:val="both"/>
      </w:pPr>
      <w:r>
        <w:rPr>
          <w:sz w:val="20"/>
        </w:rPr>
        <w:t xml:space="preserve">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порядок подачи заявок участниками отбора и требований, предъявляемых к форме и содержанию заявок, подаваемых участниками отбора;</w:t>
      </w:r>
    </w:p>
    <w:p>
      <w:pPr>
        <w:pStyle w:val="0"/>
        <w:spacing w:before="200" w:line-rule="auto"/>
        <w:ind w:firstLine="540"/>
        <w:jc w:val="both"/>
      </w:pPr>
      <w:r>
        <w:rPr>
          <w:sz w:val="20"/>
        </w:rPr>
        <w:t xml:space="preserve">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pPr>
        <w:pStyle w:val="0"/>
        <w:spacing w:before="200" w:line-rule="auto"/>
        <w:ind w:firstLine="540"/>
        <w:jc w:val="both"/>
      </w:pPr>
      <w:r>
        <w:rPr>
          <w:sz w:val="20"/>
        </w:rPr>
        <w:t xml:space="preserve">правила рассмотрения и оценки заявок участников отбора;</w:t>
      </w:r>
    </w:p>
    <w:p>
      <w:pPr>
        <w:pStyle w:val="0"/>
        <w:spacing w:before="200" w:line-rule="auto"/>
        <w:ind w:firstLine="540"/>
        <w:jc w:val="both"/>
      </w:pPr>
      <w:r>
        <w:rPr>
          <w:sz w:val="20"/>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срок, в течение которого победитель отбора должен подписать соглашение о предоставлении субсидии;</w:t>
      </w:r>
    </w:p>
    <w:p>
      <w:pPr>
        <w:pStyle w:val="0"/>
        <w:spacing w:before="200" w:line-rule="auto"/>
        <w:ind w:firstLine="540"/>
        <w:jc w:val="both"/>
      </w:pPr>
      <w:r>
        <w:rPr>
          <w:sz w:val="20"/>
        </w:rPr>
        <w:t xml:space="preserve">условия признания победителя отбора уклонившимся от заключения соглашения;</w:t>
      </w:r>
    </w:p>
    <w:p>
      <w:pPr>
        <w:pStyle w:val="0"/>
        <w:spacing w:before="200" w:line-rule="auto"/>
        <w:ind w:firstLine="540"/>
        <w:jc w:val="both"/>
      </w:pPr>
      <w:r>
        <w:rPr>
          <w:sz w:val="20"/>
        </w:rPr>
        <w:t xml:space="preserve">дата размещения результатов отбора на едином портале, а также на официальном сайте министерства строительства Новосибирской области в информационно-телекоммуникационной сети "Интернет" по адресу: </w:t>
      </w:r>
      <w:r>
        <w:rPr>
          <w:sz w:val="20"/>
        </w:rPr>
        <w:t xml:space="preserve">https://minstroy.nso.ru/</w:t>
      </w:r>
      <w:r>
        <w:rPr>
          <w:sz w:val="20"/>
        </w:rPr>
        <w:t xml:space="preserve"> в разделе "Конкурсы" (подраздел "Отбор организаций").</w:t>
      </w:r>
    </w:p>
    <w:p>
      <w:pPr>
        <w:pStyle w:val="0"/>
        <w:jc w:val="both"/>
      </w:pPr>
      <w:r>
        <w:rPr>
          <w:sz w:val="20"/>
        </w:rPr>
        <w:t xml:space="preserve">(п. 7 в ред. </w:t>
      </w:r>
      <w:hyperlink w:history="0" r:id="rId985"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20.09.2021 N 367-п)</w:t>
      </w:r>
    </w:p>
    <w:p>
      <w:pPr>
        <w:pStyle w:val="0"/>
        <w:spacing w:before="200" w:line-rule="auto"/>
        <w:ind w:firstLine="540"/>
        <w:jc w:val="both"/>
      </w:pPr>
      <w:r>
        <w:rPr>
          <w:sz w:val="20"/>
        </w:rPr>
        <w:t xml:space="preserve">8. Отбор проводится комиссией.</w:t>
      </w:r>
    </w:p>
    <w:p>
      <w:pPr>
        <w:pStyle w:val="0"/>
        <w:spacing w:before="200" w:line-rule="auto"/>
        <w:ind w:firstLine="540"/>
        <w:jc w:val="both"/>
      </w:pPr>
      <w:r>
        <w:rPr>
          <w:sz w:val="20"/>
        </w:rPr>
        <w:t xml:space="preserve">9. Председатель комиссии организует работу комиссии и ведет ее заседания.</w:t>
      </w:r>
    </w:p>
    <w:p>
      <w:pPr>
        <w:pStyle w:val="0"/>
        <w:spacing w:before="200" w:line-rule="auto"/>
        <w:ind w:firstLine="540"/>
        <w:jc w:val="both"/>
      </w:pPr>
      <w:r>
        <w:rPr>
          <w:sz w:val="20"/>
        </w:rPr>
        <w:t xml:space="preserve">10. Заседание комиссии правомочно, если в нем принимает участие не менее половины списочного состава комиссии. Члены комиссии принимают участие в ее заседании лично.</w:t>
      </w:r>
    </w:p>
    <w:p>
      <w:pPr>
        <w:pStyle w:val="0"/>
        <w:spacing w:before="200" w:line-rule="auto"/>
        <w:ind w:firstLine="540"/>
        <w:jc w:val="both"/>
      </w:pPr>
      <w:r>
        <w:rPr>
          <w:sz w:val="20"/>
        </w:rPr>
        <w:t xml:space="preserve">11. Решения комиссии принимаются большинством голосов присутствующих членов комиссии. В случае равенства голосов голос председателя комиссии является решающим.</w:t>
      </w:r>
    </w:p>
    <w:p>
      <w:pPr>
        <w:pStyle w:val="0"/>
        <w:spacing w:before="200" w:line-rule="auto"/>
        <w:ind w:firstLine="540"/>
        <w:jc w:val="both"/>
      </w:pPr>
      <w:r>
        <w:rPr>
          <w:sz w:val="20"/>
        </w:rPr>
        <w:t xml:space="preserve">12. Решения комиссии оформляются протоколами. Протоколы утверждаются председателем комиссии, подписываются членами комиссии, присутствовавшими на заседании.</w:t>
      </w:r>
    </w:p>
    <w:p>
      <w:pPr>
        <w:pStyle w:val="0"/>
        <w:spacing w:before="200" w:line-rule="auto"/>
        <w:ind w:firstLine="540"/>
        <w:jc w:val="both"/>
      </w:pPr>
      <w:r>
        <w:rPr>
          <w:sz w:val="20"/>
        </w:rPr>
        <w:t xml:space="preserve">13. Юридическое лицо подает заявку для отбора в министерство строительства Новосибирской области по адресу и в сроки, указанные в объявлении о начале проведения отбора. Заявка для отбора оформляется в двух экземплярах в произвольной форме с указанием перечня прилагаемых документов, подписывается уполномоченным лицом, заверяется печатью юридического лица (при наличии). Юридическое лицо вправе подать только одну заявку для отбора.</w:t>
      </w:r>
    </w:p>
    <w:bookmarkStart w:id="9894" w:name="P9894"/>
    <w:bookmarkEnd w:id="9894"/>
    <w:p>
      <w:pPr>
        <w:pStyle w:val="0"/>
        <w:spacing w:before="200" w:line-rule="auto"/>
        <w:ind w:firstLine="540"/>
        <w:jc w:val="both"/>
      </w:pPr>
      <w:r>
        <w:rPr>
          <w:sz w:val="20"/>
        </w:rPr>
        <w:t xml:space="preserve">14. Заявка для отбора доставляется в министерство строительства Новосибирской области представителем юридического лица. Представитель министерства строительства Новосибирской области, осуществляющий прием документов, ставит отметку о приеме на втором экземпляре заявки для отбора, который остается у представителя юридического лица, доставившего заявку. Заявка для отбора регистрируется в день поступления как входящая корреспонденция, с указанием даты и времени ее поступления в министерство строительства Новосибирской области.</w:t>
      </w:r>
    </w:p>
    <w:p>
      <w:pPr>
        <w:pStyle w:val="0"/>
        <w:spacing w:before="200" w:line-rule="auto"/>
        <w:ind w:firstLine="540"/>
        <w:jc w:val="both"/>
      </w:pPr>
      <w:r>
        <w:rPr>
          <w:sz w:val="20"/>
        </w:rPr>
        <w:t xml:space="preserve">15. К заявке для отбора прилагаются следующие документы:</w:t>
      </w:r>
    </w:p>
    <w:p>
      <w:pPr>
        <w:pStyle w:val="0"/>
        <w:spacing w:before="200" w:line-rule="auto"/>
        <w:ind w:firstLine="540"/>
        <w:jc w:val="both"/>
      </w:pPr>
      <w:r>
        <w:rPr>
          <w:sz w:val="20"/>
        </w:rPr>
        <w:t xml:space="preserve">1) копия соглашения, заключенного юридическим лицом с Единым институтом развития в жилищной сфере, о реализации ипотечных программ, разработанных и утвержденных Единым институтом развития в жилищной сфере;</w:t>
      </w:r>
    </w:p>
    <w:p>
      <w:pPr>
        <w:pStyle w:val="0"/>
        <w:spacing w:before="200" w:line-rule="auto"/>
        <w:ind w:firstLine="540"/>
        <w:jc w:val="both"/>
      </w:pPr>
      <w:r>
        <w:rPr>
          <w:sz w:val="20"/>
        </w:rPr>
        <w:t xml:space="preserve">2) копия программы ипотечного жилищного кредитования (предоставления займов) юридического лица, заверенная руководителем юридического лица либо иным уполномоченным лицом, с оттиском печати юридического лица (при наличии);</w:t>
      </w:r>
    </w:p>
    <w:p>
      <w:pPr>
        <w:pStyle w:val="0"/>
        <w:spacing w:before="200" w:line-rule="auto"/>
        <w:ind w:firstLine="540"/>
        <w:jc w:val="both"/>
      </w:pPr>
      <w:r>
        <w:rPr>
          <w:sz w:val="20"/>
        </w:rPr>
        <w:t xml:space="preserve">3) копия соглашения, заключенного с органом исполнительной власти Новосибирской области, подтверждающего участие юридического лица в реализации одной из государственных программ по ипотечному жилищному кредитованию или предоставлению займов по договорам займа, исполнение обязательств по которым обеспечено ипотекой, действующей на территории Новосибирской области;</w:t>
      </w:r>
    </w:p>
    <w:p>
      <w:pPr>
        <w:pStyle w:val="0"/>
        <w:spacing w:before="200" w:line-rule="auto"/>
        <w:ind w:firstLine="540"/>
        <w:jc w:val="both"/>
      </w:pPr>
      <w:r>
        <w:rPr>
          <w:sz w:val="20"/>
        </w:rPr>
        <w:t xml:space="preserve">4) гарантийное письмо заявителя, содержащее в совокупности следующую информацию:</w:t>
      </w:r>
    </w:p>
    <w:p>
      <w:pPr>
        <w:pStyle w:val="0"/>
        <w:spacing w:before="200" w:line-rule="auto"/>
        <w:ind w:firstLine="540"/>
        <w:jc w:val="both"/>
      </w:pPr>
      <w:r>
        <w:rPr>
          <w:sz w:val="20"/>
        </w:rPr>
        <w:t xml:space="preserve">о принятии на себя обязательств по ипотечному жилищному кредитованию или предоставлению займов по договорам займа, исполнение обязательств по которым обеспечено ипотекой, отдельных категорий граждан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w:t>
      </w:r>
    </w:p>
    <w:p>
      <w:pPr>
        <w:pStyle w:val="0"/>
        <w:spacing w:before="200" w:line-rule="auto"/>
        <w:ind w:firstLine="540"/>
        <w:jc w:val="both"/>
      </w:pPr>
      <w:r>
        <w:rPr>
          <w:sz w:val="20"/>
        </w:rPr>
        <w:t xml:space="preserve">о ненахождении юридического лица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jc w:val="both"/>
      </w:pPr>
      <w:r>
        <w:rPr>
          <w:sz w:val="20"/>
        </w:rPr>
        <w:t xml:space="preserve">(в ред. </w:t>
      </w:r>
      <w:hyperlink w:history="0" r:id="rId986"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20.09.2021 N 367-п)</w:t>
      </w:r>
    </w:p>
    <w:p>
      <w:pPr>
        <w:pStyle w:val="0"/>
        <w:spacing w:before="200" w:line-rule="auto"/>
        <w:ind w:firstLine="540"/>
        <w:jc w:val="both"/>
      </w:pPr>
      <w:r>
        <w:rPr>
          <w:sz w:val="20"/>
        </w:rPr>
        <w:t xml:space="preserve">об отсутствии статуса иностранного юридического лица, а также российского юридического лица, в уставном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0"/>
        <w:spacing w:before="200" w:line-rule="auto"/>
        <w:ind w:firstLine="540"/>
        <w:jc w:val="both"/>
      </w:pPr>
      <w:r>
        <w:rPr>
          <w:sz w:val="20"/>
        </w:rPr>
        <w:t xml:space="preserve">о неполучении средств из областного бюджета Новосибирской области на основании иных нормативных правовых актов на цель предоставления субсидий, указанную в </w:t>
      </w:r>
      <w:hyperlink w:history="0" w:anchor="P9852" w:tooltip="2. Целью предоставления субсидий является возмещение юридическим лицам (за исключением государственных (муниципальных) учреждений) недополученных доходов в связи с оформлением отдельными категориями граждан ипотечных жилищных кредитов (займов) по сниженной процентной ставке.">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о согласии на осуществление министерством строительства Новосибирской области проверок соблюдения порядка и условий предоставления субсидий, в том числе в части достижения результатов предоставления субсидий, а также проверок органом государственного финансового контроля соблюдения получателем субсидий порядка и условий предоставления субсидий в соответствии со </w:t>
      </w:r>
      <w:hyperlink w:history="0" r:id="rId987" w:tooltip="&quot;Бюджетный кодекс Российской Федерации&quot; от 31.07.1998 N 145-ФЗ (ред. от 14.04.2023) {КонсультантПлюс}">
        <w:r>
          <w:rPr>
            <w:sz w:val="20"/>
            <w:color w:val="0000ff"/>
          </w:rPr>
          <w:t xml:space="preserve">статьями 268.1</w:t>
        </w:r>
      </w:hyperlink>
      <w:r>
        <w:rPr>
          <w:sz w:val="20"/>
        </w:rPr>
        <w:t xml:space="preserve"> и </w:t>
      </w:r>
      <w:hyperlink w:history="0" r:id="rId988" w:tooltip="&quot;Бюджетный кодекс Российской Федерации&quot; от 31.07.1998 N 145-ФЗ (ред. от 14.04.2023)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 о предоставлении субсидий в связи с оформлением отдельными категориями граждан ипотечных жилищных кредитов (займов);</w:t>
      </w:r>
    </w:p>
    <w:p>
      <w:pPr>
        <w:pStyle w:val="0"/>
        <w:jc w:val="both"/>
      </w:pPr>
      <w:r>
        <w:rPr>
          <w:sz w:val="20"/>
        </w:rPr>
        <w:t xml:space="preserve">(в ред. </w:t>
      </w:r>
      <w:hyperlink w:history="0" r:id="rId989" w:tooltip="Постановление Правительства Новосибирской области от 18.10.2022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18.10.2022 N 481-п)</w:t>
      </w:r>
    </w:p>
    <w:p>
      <w:pPr>
        <w:pStyle w:val="0"/>
        <w:spacing w:before="200" w:line-rule="auto"/>
        <w:ind w:firstLine="540"/>
        <w:jc w:val="both"/>
      </w:pPr>
      <w:r>
        <w:rPr>
          <w:sz w:val="20"/>
        </w:rPr>
        <w:t xml:space="preserve">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w:t>
      </w:r>
    </w:p>
    <w:p>
      <w:pPr>
        <w:pStyle w:val="0"/>
        <w:jc w:val="both"/>
      </w:pPr>
      <w:r>
        <w:rPr>
          <w:sz w:val="20"/>
        </w:rPr>
        <w:t xml:space="preserve">(абзац введен </w:t>
      </w:r>
      <w:hyperlink w:history="0" r:id="rId990"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20.09.2021 N 367-п)</w:t>
      </w:r>
    </w:p>
    <w:p>
      <w:pPr>
        <w:pStyle w:val="0"/>
        <w:spacing w:before="200" w:line-rule="auto"/>
        <w:ind w:firstLine="540"/>
        <w:jc w:val="both"/>
      </w:pPr>
      <w:r>
        <w:rPr>
          <w:sz w:val="20"/>
        </w:rPr>
        <w:t xml:space="preserve">5) документ, подтверждающий полномочия лица на осуществление действий от имени юридического лица, подавшего заявку для отбора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без доверенности). В случае если от имени заявителя действует другое лицо, заявка для отбора должна содержать также доверенность на осуществление действий от имени юридического лица, заверенную печатью данного юридического лица (при наличии) и подписанную руководителем юридического лица или уполномоченным руководителем лицом, или копию такой доверенности. При представлении копии доверенности одновременно представляется оригинал для сверки. Если указанная доверенность подписана лицом, уполномоченным руководителем, заявка для отбора должна содержать также документ, подтверждающий полномочия такого лица.</w:t>
      </w:r>
    </w:p>
    <w:p>
      <w:pPr>
        <w:pStyle w:val="0"/>
        <w:spacing w:before="200" w:line-rule="auto"/>
        <w:ind w:firstLine="540"/>
        <w:jc w:val="both"/>
      </w:pPr>
      <w:r>
        <w:rPr>
          <w:sz w:val="20"/>
        </w:rPr>
        <w:t xml:space="preserve">Министерство строительства Новосибирской области запрашивает в рамках межведомственного информационного взаимодействия:</w:t>
      </w:r>
    </w:p>
    <w:p>
      <w:pPr>
        <w:pStyle w:val="0"/>
        <w:spacing w:before="200" w:line-rule="auto"/>
        <w:ind w:firstLine="540"/>
        <w:jc w:val="both"/>
      </w:pPr>
      <w:r>
        <w:rPr>
          <w:sz w:val="20"/>
        </w:rPr>
        <w:t xml:space="preserve">выписку из Единого государственного реестра юридических лиц, полученную не ранее чем за 30 дней до момента подачи заявки;</w:t>
      </w:r>
    </w:p>
    <w:p>
      <w:pPr>
        <w:pStyle w:val="0"/>
        <w:spacing w:before="200" w:line-rule="auto"/>
        <w:ind w:firstLine="540"/>
        <w:jc w:val="both"/>
      </w:pPr>
      <w:r>
        <w:rPr>
          <w:sz w:val="20"/>
        </w:rPr>
        <w:t xml:space="preserve">справку из налогового органа по месту нахождения юридического лица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последнюю отчетную дату.</w:t>
      </w:r>
    </w:p>
    <w:p>
      <w:pPr>
        <w:pStyle w:val="0"/>
        <w:spacing w:before="200" w:line-rule="auto"/>
        <w:ind w:firstLine="540"/>
        <w:jc w:val="both"/>
      </w:pPr>
      <w:r>
        <w:rPr>
          <w:sz w:val="20"/>
        </w:rPr>
        <w:t xml:space="preserve">Юридическое лицо вправе представить данные документы по собственной инициативе.</w:t>
      </w:r>
    </w:p>
    <w:p>
      <w:pPr>
        <w:pStyle w:val="0"/>
        <w:spacing w:before="200" w:line-rule="auto"/>
        <w:ind w:firstLine="540"/>
        <w:jc w:val="both"/>
      </w:pPr>
      <w:r>
        <w:rPr>
          <w:sz w:val="20"/>
        </w:rPr>
        <w:t xml:space="preserve">16. Участник отбора несет ответственность за достоверность информации, представленной комиссии.</w:t>
      </w:r>
    </w:p>
    <w:bookmarkStart w:id="9915" w:name="P9915"/>
    <w:bookmarkEnd w:id="9915"/>
    <w:p>
      <w:pPr>
        <w:pStyle w:val="0"/>
        <w:spacing w:before="200" w:line-rule="auto"/>
        <w:ind w:firstLine="540"/>
        <w:jc w:val="both"/>
      </w:pPr>
      <w:r>
        <w:rPr>
          <w:sz w:val="20"/>
        </w:rPr>
        <w:t xml:space="preserve">17. Комиссия в срок не позднее пятого рабочего дня со дня, следующего за днем окончания приема заявок для отбора, проводит заседание, на котором рассматривает все принятые в соответствии с </w:t>
      </w:r>
      <w:hyperlink w:history="0" w:anchor="P9894" w:tooltip="14. Заявка для отбора доставляется в министерство строительства Новосибирской области представителем юридического лица. Представитель министерства строительства Новосибирской области, осуществляющий прием документов, ставит отметку о приеме на втором экземпляре заявки для отбора, который остается у представителя юридического лица, доставившего заявку. Заявка для отбора регистрируется в день поступления как входящая корреспонденция, с указанием даты и времени ее поступления в министерство строительства Но...">
        <w:r>
          <w:rPr>
            <w:sz w:val="20"/>
            <w:color w:val="0000ff"/>
          </w:rPr>
          <w:t xml:space="preserve">пунктом 14</w:t>
        </w:r>
      </w:hyperlink>
      <w:r>
        <w:rPr>
          <w:sz w:val="20"/>
        </w:rPr>
        <w:t xml:space="preserve"> настоящего Порядка заявки для отбора и принимает решения:</w:t>
      </w:r>
    </w:p>
    <w:bookmarkStart w:id="9916" w:name="P9916"/>
    <w:bookmarkEnd w:id="9916"/>
    <w:p>
      <w:pPr>
        <w:pStyle w:val="0"/>
        <w:spacing w:before="200" w:line-rule="auto"/>
        <w:ind w:firstLine="540"/>
        <w:jc w:val="both"/>
      </w:pPr>
      <w:r>
        <w:rPr>
          <w:sz w:val="20"/>
        </w:rPr>
        <w:t xml:space="preserve">1) о соответствии юридического лица всем в совокупности требованиям, указанным в </w:t>
      </w:r>
      <w:hyperlink w:history="0" w:anchor="P9860" w:tooltip="5. Участниками отбора являются юридические лица, удовлетворяющие всем в совокупности обязательным требованиям по состоянию на первое число месяца, в котором юридическое лицо обратилось в министерство строительства Новосибирской области с заявкой для отбора:">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2) о несоответствии юридического лица требованиям, указанным в </w:t>
      </w:r>
      <w:hyperlink w:history="0" w:anchor="P9860" w:tooltip="5. Участниками отбора являются юридические лица, удовлетворяющие всем в совокупности обязательным требованиям по состоянию на первое число месяца, в котором юридическое лицо обратилось в министерство строительства Новосибирской области с заявкой для отбора:">
        <w:r>
          <w:rPr>
            <w:sz w:val="20"/>
            <w:color w:val="0000ff"/>
          </w:rPr>
          <w:t xml:space="preserve">пункте 5</w:t>
        </w:r>
      </w:hyperlink>
      <w:r>
        <w:rPr>
          <w:sz w:val="20"/>
        </w:rPr>
        <w:t xml:space="preserve"> настоящего Порядка, в случае несоответствия юридического лица хотя бы одному из указанных требований, и об отказе данному юридическому лицу в участии в отборе;</w:t>
      </w:r>
    </w:p>
    <w:bookmarkStart w:id="9918" w:name="P9918"/>
    <w:bookmarkEnd w:id="9918"/>
    <w:p>
      <w:pPr>
        <w:pStyle w:val="0"/>
        <w:spacing w:before="200" w:line-rule="auto"/>
        <w:ind w:firstLine="540"/>
        <w:jc w:val="both"/>
      </w:pPr>
      <w:r>
        <w:rPr>
          <w:sz w:val="20"/>
        </w:rPr>
        <w:t xml:space="preserve">3) о соответствии заявки для отбора юридического лица, соответствующего всем в совокупности требованиям, указанным в </w:t>
      </w:r>
      <w:hyperlink w:history="0" w:anchor="P9860" w:tooltip="5. Участниками отбора являются юридические лица, удовлетворяющие всем в совокупности обязательным требованиям по состоянию на первое число месяца, в котором юридическое лицо обратилось в министерство строительства Новосибирской области с заявкой для отбора:">
        <w:r>
          <w:rPr>
            <w:sz w:val="20"/>
            <w:color w:val="0000ff"/>
          </w:rPr>
          <w:t xml:space="preserve">пункте 5</w:t>
        </w:r>
      </w:hyperlink>
      <w:r>
        <w:rPr>
          <w:sz w:val="20"/>
        </w:rPr>
        <w:t xml:space="preserve"> Порядка, критериям участия в отборе, установленным </w:t>
      </w:r>
      <w:hyperlink w:history="0" w:anchor="P9870" w:tooltip="6. Отбор осуществляется на основании следующих критериев:">
        <w:r>
          <w:rPr>
            <w:sz w:val="20"/>
            <w:color w:val="0000ff"/>
          </w:rPr>
          <w:t xml:space="preserve">пунктом 6</w:t>
        </w:r>
      </w:hyperlink>
      <w:r>
        <w:rPr>
          <w:sz w:val="20"/>
        </w:rPr>
        <w:t xml:space="preserve"> настоящего Порядка;</w:t>
      </w:r>
    </w:p>
    <w:bookmarkStart w:id="9919" w:name="P9919"/>
    <w:bookmarkEnd w:id="9919"/>
    <w:p>
      <w:pPr>
        <w:pStyle w:val="0"/>
        <w:spacing w:before="200" w:line-rule="auto"/>
        <w:ind w:firstLine="540"/>
        <w:jc w:val="both"/>
      </w:pPr>
      <w:r>
        <w:rPr>
          <w:sz w:val="20"/>
        </w:rPr>
        <w:t xml:space="preserve">4) о несоответствии заявки для отбора юридического лица, соответствующего всем в совокупности требованиям, указанным в </w:t>
      </w:r>
      <w:hyperlink w:history="0" w:anchor="P9860" w:tooltip="5. Участниками отбора являются юридические лица, удовлетворяющие всем в совокупности обязательным требованиям по состоянию на первое число месяца, в котором юридическое лицо обратилось в министерство строительства Новосибирской области с заявкой для отбора:">
        <w:r>
          <w:rPr>
            <w:sz w:val="20"/>
            <w:color w:val="0000ff"/>
          </w:rPr>
          <w:t xml:space="preserve">пункте 5</w:t>
        </w:r>
      </w:hyperlink>
      <w:r>
        <w:rPr>
          <w:sz w:val="20"/>
        </w:rPr>
        <w:t xml:space="preserve"> Порядка, ни одному из критериев участия в отборе, установленных </w:t>
      </w:r>
      <w:hyperlink w:history="0" w:anchor="P9870" w:tooltip="6. Отбор осуществляется на основании следующих критериев:">
        <w:r>
          <w:rPr>
            <w:sz w:val="20"/>
            <w:color w:val="0000ff"/>
          </w:rPr>
          <w:t xml:space="preserve">пунктом 6</w:t>
        </w:r>
      </w:hyperlink>
      <w:r>
        <w:rPr>
          <w:sz w:val="20"/>
        </w:rPr>
        <w:t xml:space="preserve"> настоящего Порядка;</w:t>
      </w:r>
    </w:p>
    <w:bookmarkStart w:id="9920" w:name="P9920"/>
    <w:bookmarkEnd w:id="9920"/>
    <w:p>
      <w:pPr>
        <w:pStyle w:val="0"/>
        <w:spacing w:before="200" w:line-rule="auto"/>
        <w:ind w:firstLine="540"/>
        <w:jc w:val="both"/>
      </w:pPr>
      <w:r>
        <w:rPr>
          <w:sz w:val="20"/>
        </w:rPr>
        <w:t xml:space="preserve">5) об отборе одного юридического лица;</w:t>
      </w:r>
    </w:p>
    <w:bookmarkStart w:id="9921" w:name="P9921"/>
    <w:bookmarkEnd w:id="9921"/>
    <w:p>
      <w:pPr>
        <w:pStyle w:val="0"/>
        <w:spacing w:before="200" w:line-rule="auto"/>
        <w:ind w:firstLine="540"/>
        <w:jc w:val="both"/>
      </w:pPr>
      <w:r>
        <w:rPr>
          <w:sz w:val="20"/>
        </w:rPr>
        <w:t xml:space="preserve">6) об отказе в отборе юридическому лицу;</w:t>
      </w:r>
    </w:p>
    <w:bookmarkStart w:id="9922" w:name="P9922"/>
    <w:bookmarkEnd w:id="9922"/>
    <w:p>
      <w:pPr>
        <w:pStyle w:val="0"/>
        <w:spacing w:before="200" w:line-rule="auto"/>
        <w:ind w:firstLine="540"/>
        <w:jc w:val="both"/>
      </w:pPr>
      <w:r>
        <w:rPr>
          <w:sz w:val="20"/>
        </w:rPr>
        <w:t xml:space="preserve">7) о признании отбора несостоявшимся.</w:t>
      </w:r>
    </w:p>
    <w:p>
      <w:pPr>
        <w:pStyle w:val="0"/>
        <w:spacing w:before="200" w:line-rule="auto"/>
        <w:ind w:firstLine="540"/>
        <w:jc w:val="both"/>
      </w:pPr>
      <w:r>
        <w:rPr>
          <w:sz w:val="20"/>
        </w:rPr>
        <w:t xml:space="preserve">18. Решение, предусмотренное </w:t>
      </w:r>
      <w:hyperlink w:history="0" w:anchor="P9918" w:tooltip="3) о соответствии заявки для отбора юридического лица, соответствующего всем в совокупности требованиям, указанным в пункте 5 Порядка, критериям участия в отборе, установленным пунктом 6 настоящего Порядка;">
        <w:r>
          <w:rPr>
            <w:sz w:val="20"/>
            <w:color w:val="0000ff"/>
          </w:rPr>
          <w:t xml:space="preserve">подпунктом 3 пункта 17</w:t>
        </w:r>
      </w:hyperlink>
      <w:r>
        <w:rPr>
          <w:sz w:val="20"/>
        </w:rPr>
        <w:t xml:space="preserve"> настоящего Порядка, принимается комиссией путем суммирования баллов, которые начисляются по одному баллу за соответствие одному из критериев, установленных в </w:t>
      </w:r>
      <w:hyperlink w:history="0" w:anchor="P9870" w:tooltip="6. Отбор осуществляется на основании следующих критериев:">
        <w:r>
          <w:rPr>
            <w:sz w:val="20"/>
            <w:color w:val="0000ff"/>
          </w:rPr>
          <w:t xml:space="preserve">пункте 6</w:t>
        </w:r>
      </w:hyperlink>
      <w:r>
        <w:rPr>
          <w:sz w:val="20"/>
        </w:rPr>
        <w:t xml:space="preserve"> Порядка.</w:t>
      </w:r>
    </w:p>
    <w:p>
      <w:pPr>
        <w:pStyle w:val="0"/>
        <w:spacing w:before="200" w:line-rule="auto"/>
        <w:ind w:firstLine="540"/>
        <w:jc w:val="both"/>
      </w:pPr>
      <w:r>
        <w:rPr>
          <w:sz w:val="20"/>
        </w:rPr>
        <w:t xml:space="preserve">Решение об отборе, предусмотренное </w:t>
      </w:r>
      <w:hyperlink w:history="0" w:anchor="P9920" w:tooltip="5) об отборе одного юридического лица;">
        <w:r>
          <w:rPr>
            <w:sz w:val="20"/>
            <w:color w:val="0000ff"/>
          </w:rPr>
          <w:t xml:space="preserve">подпунктом 5 пункта 17</w:t>
        </w:r>
      </w:hyperlink>
      <w:r>
        <w:rPr>
          <w:sz w:val="20"/>
        </w:rPr>
        <w:t xml:space="preserve"> Порядка, принимается комиссией по результатам принятия решений, предусмотренных </w:t>
      </w:r>
      <w:hyperlink w:history="0" w:anchor="P9916" w:tooltip="1) о соответствии юридического лица всем в совокупности требованиям, указанным в пункте 5 настоящего Порядка;">
        <w:r>
          <w:rPr>
            <w:sz w:val="20"/>
            <w:color w:val="0000ff"/>
          </w:rPr>
          <w:t xml:space="preserve">подпунктами 1</w:t>
        </w:r>
      </w:hyperlink>
      <w:r>
        <w:rPr>
          <w:sz w:val="20"/>
        </w:rPr>
        <w:t xml:space="preserve"> и </w:t>
      </w:r>
      <w:hyperlink w:history="0" w:anchor="P9918" w:tooltip="3) о соответствии заявки для отбора юридического лица, соответствующего всем в совокупности требованиям, указанным в пункте 5 Порядка, критериям участия в отборе, установленным пунктом 6 настоящего Порядка;">
        <w:r>
          <w:rPr>
            <w:sz w:val="20"/>
            <w:color w:val="0000ff"/>
          </w:rPr>
          <w:t xml:space="preserve">3 пункта 17</w:t>
        </w:r>
      </w:hyperlink>
      <w:r>
        <w:rPr>
          <w:sz w:val="20"/>
        </w:rPr>
        <w:t xml:space="preserve"> Порядка, в отношении одного юридического лица, набравшего большее количество баллов. При одинаковой сумме баллов среди юридических лиц победителем отбора признается то юридическое лицо, заявка которого зарегистрирована ранее по дате и времени в министерстве строительства Новосибирской области, в соответствии с </w:t>
      </w:r>
      <w:hyperlink w:history="0" w:anchor="P9894" w:tooltip="14. Заявка для отбора доставляется в министерство строительства Новосибирской области представителем юридического лица. Представитель министерства строительства Новосибирской области, осуществляющий прием документов, ставит отметку о приеме на втором экземпляре заявки для отбора, который остается у представителя юридического лица, доставившего заявку. Заявка для отбора регистрируется в день поступления как входящая корреспонденция, с указанием даты и времени ее поступления в министерство строительства Но...">
        <w:r>
          <w:rPr>
            <w:sz w:val="20"/>
            <w:color w:val="0000ff"/>
          </w:rPr>
          <w:t xml:space="preserve">пунктом 14</w:t>
        </w:r>
      </w:hyperlink>
      <w:r>
        <w:rPr>
          <w:sz w:val="20"/>
        </w:rPr>
        <w:t xml:space="preserve"> настоящего Порядка.</w:t>
      </w:r>
    </w:p>
    <w:p>
      <w:pPr>
        <w:pStyle w:val="0"/>
        <w:spacing w:before="200" w:line-rule="auto"/>
        <w:ind w:firstLine="540"/>
        <w:jc w:val="both"/>
      </w:pPr>
      <w:r>
        <w:rPr>
          <w:sz w:val="20"/>
        </w:rPr>
        <w:t xml:space="preserve">Решение об отборе, предусмотренное </w:t>
      </w:r>
      <w:hyperlink w:history="0" w:anchor="P9921" w:tooltip="6) об отказе в отборе юридическому лицу;">
        <w:r>
          <w:rPr>
            <w:sz w:val="20"/>
            <w:color w:val="0000ff"/>
          </w:rPr>
          <w:t xml:space="preserve">подпунктом 6 пункта 17</w:t>
        </w:r>
      </w:hyperlink>
      <w:r>
        <w:rPr>
          <w:sz w:val="20"/>
        </w:rPr>
        <w:t xml:space="preserve"> Порядка, принимается комиссией в отношении юридического лица, соответствующего всем в совокупности требованиям, указанным в </w:t>
      </w:r>
      <w:hyperlink w:history="0" w:anchor="P9860" w:tooltip="5. Участниками отбора являются юридические лица, удовлетворяющие всем в совокупности обязательным требованиям по состоянию на первое число месяца, в котором юридическое лицо обратилось в министерство строительства Новосибирской области с заявкой для отбора:">
        <w:r>
          <w:rPr>
            <w:sz w:val="20"/>
            <w:color w:val="0000ff"/>
          </w:rPr>
          <w:t xml:space="preserve">пункте 5</w:t>
        </w:r>
      </w:hyperlink>
      <w:r>
        <w:rPr>
          <w:sz w:val="20"/>
        </w:rPr>
        <w:t xml:space="preserve"> Порядка, и набравшего меньшее количество баллов при принятии комиссией решения о соответствии заявки для отбора критериям участия в отборе, установленным </w:t>
      </w:r>
      <w:hyperlink w:history="0" w:anchor="P9870" w:tooltip="6. Отбор осуществляется на основании следующих критериев:">
        <w:r>
          <w:rPr>
            <w:sz w:val="20"/>
            <w:color w:val="0000ff"/>
          </w:rPr>
          <w:t xml:space="preserve">пунктом 6</w:t>
        </w:r>
      </w:hyperlink>
      <w:r>
        <w:rPr>
          <w:sz w:val="20"/>
        </w:rPr>
        <w:t xml:space="preserve"> настоящего Порядка.</w:t>
      </w:r>
    </w:p>
    <w:p>
      <w:pPr>
        <w:pStyle w:val="0"/>
        <w:spacing w:before="200" w:line-rule="auto"/>
        <w:ind w:firstLine="540"/>
        <w:jc w:val="both"/>
      </w:pPr>
      <w:r>
        <w:rPr>
          <w:sz w:val="20"/>
        </w:rPr>
        <w:t xml:space="preserve">Решение об отборе, предусмотренное </w:t>
      </w:r>
      <w:hyperlink w:history="0" w:anchor="P9922" w:tooltip="7) о признании отбора несостоявшимся.">
        <w:r>
          <w:rPr>
            <w:sz w:val="20"/>
            <w:color w:val="0000ff"/>
          </w:rPr>
          <w:t xml:space="preserve">подпунктом 7 пункта 17</w:t>
        </w:r>
      </w:hyperlink>
      <w:r>
        <w:rPr>
          <w:sz w:val="20"/>
        </w:rPr>
        <w:t xml:space="preserve"> Порядка, принимается комиссией при отсутствии принятого решения, предусмотренного </w:t>
      </w:r>
      <w:hyperlink w:history="0" w:anchor="P9916" w:tooltip="1) о соответствии юридического лица всем в совокупности требованиям, указанным в пункте 5 настоящего Порядка;">
        <w:r>
          <w:rPr>
            <w:sz w:val="20"/>
            <w:color w:val="0000ff"/>
          </w:rPr>
          <w:t xml:space="preserve">подпунктом 1 пункта 17</w:t>
        </w:r>
      </w:hyperlink>
      <w:r>
        <w:rPr>
          <w:sz w:val="20"/>
        </w:rPr>
        <w:t xml:space="preserve"> Порядка, хотя бы в отношении одного юридического лица.</w:t>
      </w:r>
    </w:p>
    <w:p>
      <w:pPr>
        <w:pStyle w:val="0"/>
        <w:spacing w:before="200" w:line-rule="auto"/>
        <w:ind w:firstLine="540"/>
        <w:jc w:val="both"/>
      </w:pPr>
      <w:r>
        <w:rPr>
          <w:sz w:val="20"/>
        </w:rPr>
        <w:t xml:space="preserve">19. В случае если в отборе участвовало только одно юридическое лицо, комиссия принимает решение об отборе юридического лица, подавшего единственную заявку, в случае принятия решения о соответствии данного юридического лица всем в совокупности требованиям, указанным в </w:t>
      </w:r>
      <w:hyperlink w:history="0" w:anchor="P9860" w:tooltip="5. Участниками отбора являются юридические лица, удовлетворяющие всем в совокупности обязательным требованиям по состоянию на первое число месяца, в котором юридическое лицо обратилось в министерство строительства Новосибирской области с заявкой для отбора:">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20. Министерство строительства Новосибирской области в течение пяти рабочих дней со дня принятия решений, предусмотренных </w:t>
      </w:r>
      <w:hyperlink w:history="0" w:anchor="P9915" w:tooltip="17. Комиссия в срок не позднее пятого рабочего дня со дня, следующего за днем окончания приема заявок для отбора, проводит заседание, на котором рассматривает все принятые в соответствии с пунктом 14 настоящего Порядка заявки для отбора и принимает решения:">
        <w:r>
          <w:rPr>
            <w:sz w:val="20"/>
            <w:color w:val="0000ff"/>
          </w:rPr>
          <w:t xml:space="preserve">пунктом 17</w:t>
        </w:r>
      </w:hyperlink>
      <w:r>
        <w:rPr>
          <w:sz w:val="20"/>
        </w:rPr>
        <w:t xml:space="preserve"> настоящего Порядка, обеспечивает направление решений комиссии в форме надлежащим образом заверенной копии протокола комиссии всем юридическим лицам, доставившим заявки для отбора в соответствии с </w:t>
      </w:r>
      <w:hyperlink w:history="0" w:anchor="P9894" w:tooltip="14. Заявка для отбора доставляется в министерство строительства Новосибирской области представителем юридического лица. Представитель министерства строительства Новосибирской области, осуществляющий прием документов, ставит отметку о приеме на втором экземпляре заявки для отбора, который остается у представителя юридического лица, доставившего заявку. Заявка для отбора регистрируется в день поступления как входящая корреспонденция, с указанием даты и времени ее поступления в министерство строительства Но...">
        <w:r>
          <w:rPr>
            <w:sz w:val="20"/>
            <w:color w:val="0000ff"/>
          </w:rPr>
          <w:t xml:space="preserve">пунктом 14</w:t>
        </w:r>
      </w:hyperlink>
      <w:r>
        <w:rPr>
          <w:sz w:val="20"/>
        </w:rPr>
        <w:t xml:space="preserve"> Порядка, посредством почтовой связи.</w:t>
      </w:r>
    </w:p>
    <w:p>
      <w:pPr>
        <w:pStyle w:val="0"/>
        <w:spacing w:before="200" w:line-rule="auto"/>
        <w:ind w:firstLine="540"/>
        <w:jc w:val="both"/>
      </w:pPr>
      <w:r>
        <w:rPr>
          <w:sz w:val="20"/>
        </w:rPr>
        <w:t xml:space="preserve">Министерство строительства Новосибирской области размещает на своем официальном сайте в информационно-телекоммуникационной сети "Интернет" по адресу: </w:t>
      </w:r>
      <w:r>
        <w:rPr>
          <w:sz w:val="20"/>
        </w:rPr>
        <w:t xml:space="preserve">https://minstroy.nso.ru/</w:t>
      </w:r>
      <w:r>
        <w:rPr>
          <w:sz w:val="20"/>
        </w:rPr>
        <w:t xml:space="preserve"> в разделе "Конкурсы" (подраздел "Отбор организаций") в срок не более пяти рабочих дней со дня принятия решений, предусмотренных </w:t>
      </w:r>
      <w:hyperlink w:history="0" w:anchor="P9915" w:tooltip="17. Комиссия в срок не позднее пятого рабочего дня со дня, следующего за днем окончания приема заявок для отбора, проводит заседание, на котором рассматривает все принятые в соответствии с пунктом 14 настоящего Порядка заявки для отбора и принимает решения:">
        <w:r>
          <w:rPr>
            <w:sz w:val="20"/>
            <w:color w:val="0000ff"/>
          </w:rPr>
          <w:t xml:space="preserve">пунктом 17</w:t>
        </w:r>
      </w:hyperlink>
      <w:r>
        <w:rPr>
          <w:sz w:val="20"/>
        </w:rPr>
        <w:t xml:space="preserve"> настоящего Порядка, следующую информацию:</w:t>
      </w:r>
    </w:p>
    <w:p>
      <w:pPr>
        <w:pStyle w:val="0"/>
        <w:jc w:val="both"/>
      </w:pPr>
      <w:r>
        <w:rPr>
          <w:sz w:val="20"/>
        </w:rPr>
        <w:t xml:space="preserve">(абзац введен </w:t>
      </w:r>
      <w:hyperlink w:history="0" r:id="rId991"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20.09.2021 N 367-п)</w:t>
      </w:r>
    </w:p>
    <w:p>
      <w:pPr>
        <w:pStyle w:val="0"/>
        <w:spacing w:before="200" w:line-rule="auto"/>
        <w:ind w:firstLine="540"/>
        <w:jc w:val="both"/>
      </w:pPr>
      <w:r>
        <w:rPr>
          <w:sz w:val="20"/>
        </w:rPr>
        <w:t xml:space="preserve">дата, время и место проведения рассмотрения заявок;</w:t>
      </w:r>
    </w:p>
    <w:p>
      <w:pPr>
        <w:pStyle w:val="0"/>
        <w:jc w:val="both"/>
      </w:pPr>
      <w:r>
        <w:rPr>
          <w:sz w:val="20"/>
        </w:rPr>
        <w:t xml:space="preserve">(абзац введен </w:t>
      </w:r>
      <w:hyperlink w:history="0" r:id="rId992"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20.09.2021 N 367-п)</w:t>
      </w:r>
    </w:p>
    <w:p>
      <w:pPr>
        <w:pStyle w:val="0"/>
        <w:spacing w:before="200" w:line-rule="auto"/>
        <w:ind w:firstLine="540"/>
        <w:jc w:val="both"/>
      </w:pPr>
      <w:r>
        <w:rPr>
          <w:sz w:val="20"/>
        </w:rPr>
        <w:t xml:space="preserve">об участниках отбора, заявки которых были рассмотрены;</w:t>
      </w:r>
    </w:p>
    <w:p>
      <w:pPr>
        <w:pStyle w:val="0"/>
        <w:jc w:val="both"/>
      </w:pPr>
      <w:r>
        <w:rPr>
          <w:sz w:val="20"/>
        </w:rPr>
        <w:t xml:space="preserve">(абзац введен </w:t>
      </w:r>
      <w:hyperlink w:history="0" r:id="rId993"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20.09.2021 N 367-п)</w:t>
      </w:r>
    </w:p>
    <w:p>
      <w:pPr>
        <w:pStyle w:val="0"/>
        <w:spacing w:before="200" w:line-rule="auto"/>
        <w:ind w:firstLine="540"/>
        <w:jc w:val="both"/>
      </w:pPr>
      <w:r>
        <w:rPr>
          <w:sz w:val="20"/>
        </w:rPr>
        <w:t xml:space="preserve">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jc w:val="both"/>
      </w:pPr>
      <w:r>
        <w:rPr>
          <w:sz w:val="20"/>
        </w:rPr>
        <w:t xml:space="preserve">(абзац введен </w:t>
      </w:r>
      <w:hyperlink w:history="0" r:id="rId994"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20.09.2021 N 367-п)</w:t>
      </w:r>
    </w:p>
    <w:p>
      <w:pPr>
        <w:pStyle w:val="0"/>
        <w:spacing w:before="200" w:line-rule="auto"/>
        <w:ind w:firstLine="540"/>
        <w:jc w:val="both"/>
      </w:pPr>
      <w:r>
        <w:rPr>
          <w:sz w:val="20"/>
        </w:rPr>
        <w:t xml:space="preserve">наименование получателя субсидии, с которым заключается соглашение, и размер предоставляемой ему субсидии.</w:t>
      </w:r>
    </w:p>
    <w:p>
      <w:pPr>
        <w:pStyle w:val="0"/>
        <w:jc w:val="both"/>
      </w:pPr>
      <w:r>
        <w:rPr>
          <w:sz w:val="20"/>
        </w:rPr>
        <w:t xml:space="preserve">(абзац введен </w:t>
      </w:r>
      <w:hyperlink w:history="0" r:id="rId995"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постановлением</w:t>
        </w:r>
      </w:hyperlink>
      <w:r>
        <w:rPr>
          <w:sz w:val="20"/>
        </w:rPr>
        <w:t xml:space="preserve"> Правительства Новосибирской области от 20.09.2021 N 367-п)</w:t>
      </w:r>
    </w:p>
    <w:bookmarkStart w:id="9939" w:name="P9939"/>
    <w:bookmarkEnd w:id="9939"/>
    <w:p>
      <w:pPr>
        <w:pStyle w:val="0"/>
        <w:spacing w:before="200" w:line-rule="auto"/>
        <w:ind w:firstLine="540"/>
        <w:jc w:val="both"/>
      </w:pPr>
      <w:r>
        <w:rPr>
          <w:sz w:val="20"/>
        </w:rPr>
        <w:t xml:space="preserve">21. При принятии комиссией решения об отборе, предусмотренного </w:t>
      </w:r>
      <w:hyperlink w:history="0" w:anchor="P9919" w:tooltip="4) о несоответствии заявки для отбора юридического лица, соответствующего всем в совокупности требованиям, указанным в пункте 5 Порядка, ни одному из критериев участия в отборе, установленных пунктом 6 настоящего Порядка;">
        <w:r>
          <w:rPr>
            <w:sz w:val="20"/>
            <w:color w:val="0000ff"/>
          </w:rPr>
          <w:t xml:space="preserve">подпунктом 4 пункта 17</w:t>
        </w:r>
      </w:hyperlink>
      <w:r>
        <w:rPr>
          <w:sz w:val="20"/>
        </w:rPr>
        <w:t xml:space="preserve"> Порядка, министерство строительства Новосибирской области заключает с юридическим лицом - победителем отбора соглашение о предоставлении субсидий в связи с оформлением отдельными категориями граждан ипотечных жилищных кредитов (займов) (далее - соглашение), в соответствии с типовой формой </w:t>
      </w:r>
      <w:hyperlink w:history="0" r:id="rId996" w:tooltip="Приказ МФ и НП Новосибирской области от 27.12.2016 N 80-НПА (ред. от 30.03.2023) &quot;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quot; {КонсультантПлюс}">
        <w:r>
          <w:rPr>
            <w:sz w:val="20"/>
            <w:color w:val="0000ff"/>
          </w:rPr>
          <w:t xml:space="preserve">соглашения</w:t>
        </w:r>
      </w:hyperlink>
      <w:r>
        <w:rPr>
          <w:sz w:val="20"/>
        </w:rPr>
        <w:t xml:space="preserve"> (договора) о предоставлении из областного бюджета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утвержденной приказом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Условием заключения соглашения является решение комиссии об отборе юридического лица. Соглашение включает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jc w:val="both"/>
      </w:pPr>
      <w:r>
        <w:rPr>
          <w:sz w:val="20"/>
        </w:rPr>
        <w:t xml:space="preserve">(в ред. </w:t>
      </w:r>
      <w:hyperlink w:history="0" r:id="rId997" w:tooltip="Постановление Правительства Новосибирской области от 20.09.2021 N 367-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20.09.2021 N 367-п)</w:t>
      </w:r>
    </w:p>
    <w:p>
      <w:pPr>
        <w:pStyle w:val="0"/>
        <w:spacing w:before="200" w:line-rule="auto"/>
        <w:ind w:firstLine="540"/>
        <w:jc w:val="both"/>
      </w:pPr>
      <w:r>
        <w:rPr>
          <w:sz w:val="20"/>
        </w:rPr>
        <w:t xml:space="preserve">Проект соглашения, подготовленный министерством строительства Новосибирской области в двух экземплярах, подписывается уполномоченным должностным лицом министерства строительства Новосибирской области и в срок не позднее 10 рабочих дней со дня принятия решения об отборе направляется (вручается) юридическому лицу - победителю отбора.</w:t>
      </w:r>
    </w:p>
    <w:p>
      <w:pPr>
        <w:pStyle w:val="0"/>
        <w:spacing w:before="200" w:line-rule="auto"/>
        <w:ind w:firstLine="540"/>
        <w:jc w:val="both"/>
      </w:pPr>
      <w:r>
        <w:rPr>
          <w:sz w:val="20"/>
        </w:rPr>
        <w:t xml:space="preserve">Юридическое лицо - победитель отбора в срок не позднее пяти рабочих дней со дня получения соглашения подписывает, заверяет печатью юридического лица (при наличии) и представляет один экземпляр соглашения в министерство строительства Новосибирской области.</w:t>
      </w:r>
    </w:p>
    <w:bookmarkStart w:id="9943" w:name="P9943"/>
    <w:bookmarkEnd w:id="9943"/>
    <w:p>
      <w:pPr>
        <w:pStyle w:val="0"/>
        <w:spacing w:before="200" w:line-rule="auto"/>
        <w:ind w:firstLine="540"/>
        <w:jc w:val="both"/>
      </w:pPr>
      <w:r>
        <w:rPr>
          <w:sz w:val="20"/>
        </w:rPr>
        <w:t xml:space="preserve">22. Комиссия аннулирует итоги отбора в отношении юридического лица, прошедшего отбор, в следующих случаях:</w:t>
      </w:r>
    </w:p>
    <w:p>
      <w:pPr>
        <w:pStyle w:val="0"/>
        <w:spacing w:before="200" w:line-rule="auto"/>
        <w:ind w:firstLine="540"/>
        <w:jc w:val="both"/>
      </w:pPr>
      <w:r>
        <w:rPr>
          <w:sz w:val="20"/>
        </w:rPr>
        <w:t xml:space="preserve">1) если будет установлено, что данное юридическое лицо представило в комиссию недостоверную информацию, которая повлияла на проведение отбора;</w:t>
      </w:r>
    </w:p>
    <w:p>
      <w:pPr>
        <w:pStyle w:val="0"/>
        <w:spacing w:before="200" w:line-rule="auto"/>
        <w:ind w:firstLine="540"/>
        <w:jc w:val="both"/>
      </w:pPr>
      <w:r>
        <w:rPr>
          <w:sz w:val="20"/>
        </w:rPr>
        <w:t xml:space="preserve">2) непредставление юридическим лицом в министерство строительства Новосибирской области соглашения в срок, установленный </w:t>
      </w:r>
      <w:hyperlink w:history="0" w:anchor="P9939" w:tooltip="21. При принятии комиссией решения об отборе, предусмотренного подпунктом 4 пункта 17 Порядка, министерство строительства Новосибирской области заключает с юридическим лицом - победителем отбора соглашение о предоставлении субсидий в связи с оформлением отдельными категориями граждан ипотечных жилищных кредитов (займов) (далее - соглашение), в соответствии с типовой формой соглашения (договора) о предоставлении из областного бюджета Новосибирской области субсидии на возмещение затрат (недополученных дохо...">
        <w:r>
          <w:rPr>
            <w:sz w:val="20"/>
            <w:color w:val="0000ff"/>
          </w:rPr>
          <w:t xml:space="preserve">пунктом 21</w:t>
        </w:r>
      </w:hyperlink>
      <w:r>
        <w:rPr>
          <w:sz w:val="20"/>
        </w:rPr>
        <w:t xml:space="preserve"> настоящего Порядка.</w:t>
      </w:r>
    </w:p>
    <w:p>
      <w:pPr>
        <w:pStyle w:val="0"/>
        <w:spacing w:before="200" w:line-rule="auto"/>
        <w:ind w:firstLine="540"/>
        <w:jc w:val="both"/>
      </w:pPr>
      <w:r>
        <w:rPr>
          <w:sz w:val="20"/>
        </w:rPr>
        <w:t xml:space="preserve">23. Решение об аннулировании итогов отбора принимается комиссией в течение 10 рабочих дней со дня установления хотя бы одного из случаев, указанных в </w:t>
      </w:r>
      <w:hyperlink w:history="0" w:anchor="P9943" w:tooltip="22. Комиссия аннулирует итоги отбора в отношении юридического лица, прошедшего отбор, в следующих случаях:">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В случае принятия указанного решения об аннулировании итогов отбора, министерство строительства Новосибирской области своим приказом назначает дату и время повторного отбора и размещает объявление о начале проведения повторного отбора в соответствии с </w:t>
      </w:r>
      <w:hyperlink w:history="0" w:anchor="P9874" w:tooltip="7. Объявление о начале проведения отбора размещается на едином портале бюджетной системы Российской Федерации в информационно-телекоммуникационной сети &quot;Интернет&quot; (далее - единый портал), а также на официальном сайте министерства строительства Новосибирской области в информационно-телекоммуникационной сети &quot;Интернет&quot; по адресу: https://minstroy.nso.ru/ в разделе &quot;Конкурсы&quot; (подраздел &quot;Отбор организаций&quot;) в срок не менее пяти рабочих дней до дня начала приема заявок для отбора и содержит следующую информа...">
        <w:r>
          <w:rPr>
            <w:sz w:val="20"/>
            <w:color w:val="0000ff"/>
          </w:rPr>
          <w:t xml:space="preserve">пунктом 7</w:t>
        </w:r>
      </w:hyperlink>
      <w:r>
        <w:rPr>
          <w:sz w:val="20"/>
        </w:rPr>
        <w:t xml:space="preserve"> настоящего Порядка.</w:t>
      </w:r>
    </w:p>
    <w:p>
      <w:pPr>
        <w:pStyle w:val="0"/>
        <w:spacing w:before="200" w:line-rule="auto"/>
        <w:ind w:firstLine="540"/>
        <w:jc w:val="both"/>
      </w:pPr>
      <w:r>
        <w:rPr>
          <w:sz w:val="20"/>
        </w:rPr>
        <w:t xml:space="preserve">24. Документы, связанные с проведением отбора и деятельностью комиссии, включаются в номенклатуру дел министерства строительства Новосибирской области.</w:t>
      </w:r>
    </w:p>
    <w:bookmarkStart w:id="9949" w:name="P9949"/>
    <w:bookmarkEnd w:id="9949"/>
    <w:p>
      <w:pPr>
        <w:pStyle w:val="0"/>
        <w:spacing w:before="200" w:line-rule="auto"/>
        <w:ind w:firstLine="540"/>
        <w:jc w:val="both"/>
      </w:pPr>
      <w:r>
        <w:rPr>
          <w:sz w:val="20"/>
        </w:rPr>
        <w:t xml:space="preserve">25. Субсидии юридическому лицу - победителю отбора, подписавшему с министерством строительства Новосибирской области соглашение, предоставляются при соблюдении следующих условий:</w:t>
      </w:r>
    </w:p>
    <w:p>
      <w:pPr>
        <w:pStyle w:val="0"/>
        <w:spacing w:before="200" w:line-rule="auto"/>
        <w:ind w:firstLine="540"/>
        <w:jc w:val="both"/>
      </w:pPr>
      <w:r>
        <w:rPr>
          <w:sz w:val="20"/>
        </w:rPr>
        <w:t xml:space="preserve">1) предоставление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 категориям граждан;</w:t>
      </w:r>
    </w:p>
    <w:p>
      <w:pPr>
        <w:pStyle w:val="0"/>
        <w:spacing w:before="200" w:line-rule="auto"/>
        <w:ind w:firstLine="540"/>
        <w:jc w:val="both"/>
      </w:pPr>
      <w:r>
        <w:rPr>
          <w:sz w:val="20"/>
        </w:rPr>
        <w:t xml:space="preserve">2) по состоянию на первое число месяца, в котором планируется предоставление субсидии:</w:t>
      </w:r>
    </w:p>
    <w:p>
      <w:pPr>
        <w:pStyle w:val="0"/>
        <w:spacing w:before="200" w:line-rule="auto"/>
        <w:ind w:firstLine="540"/>
        <w:jc w:val="both"/>
      </w:pPr>
      <w:r>
        <w:rPr>
          <w:sz w:val="20"/>
        </w:rPr>
        <w:t xml:space="preserve">а) отсутствие у юридического лица - победителя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б) отсутствие у юридического лица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bookmarkStart w:id="9954" w:name="P9954"/>
    <w:bookmarkEnd w:id="9954"/>
    <w:p>
      <w:pPr>
        <w:pStyle w:val="0"/>
        <w:spacing w:before="200" w:line-rule="auto"/>
        <w:ind w:firstLine="540"/>
        <w:jc w:val="both"/>
      </w:pPr>
      <w:r>
        <w:rPr>
          <w:sz w:val="20"/>
        </w:rPr>
        <w:t xml:space="preserve">26. Юридическое лицо предоставляет ипотечные жилищные кредиты (займы) следующим категориям граждан Российской Федерации, проживающим на территории Новосибирской области:</w:t>
      </w:r>
    </w:p>
    <w:p>
      <w:pPr>
        <w:pStyle w:val="0"/>
        <w:spacing w:before="200" w:line-rule="auto"/>
        <w:ind w:firstLine="540"/>
        <w:jc w:val="both"/>
      </w:pPr>
      <w:r>
        <w:rPr>
          <w:sz w:val="20"/>
        </w:rPr>
        <w:t xml:space="preserve">1) имеющим двух и более несовершеннолетних детей и являющимся получателями материнского (семейного) капитала в соответствии с Федеральным </w:t>
      </w:r>
      <w:hyperlink w:history="0" r:id="rId998" w:tooltip="Федеральный закон от 29.12.2006 N 256-ФЗ (ред. от 28.12.2022) &quot;О дополнительных мерах государственной поддержки семей, имеющих детей&quot; (с изм. и доп., вступ. в силу с 01.04.2023) {КонсультантПлюс}">
        <w:r>
          <w:rPr>
            <w:sz w:val="20"/>
            <w:color w:val="0000ff"/>
          </w:rPr>
          <w:t xml:space="preserve">законом</w:t>
        </w:r>
      </w:hyperlink>
      <w:r>
        <w:rPr>
          <w:sz w:val="20"/>
        </w:rPr>
        <w:t xml:space="preserve"> от 29.12.2006 N 256-ФЗ "О дополнительных мерах государственной поддержки семей, имеющих детей", при условии использования материнского (семейного) капитала на приобретение (строительство) жилья;</w:t>
      </w:r>
    </w:p>
    <w:p>
      <w:pPr>
        <w:pStyle w:val="0"/>
        <w:spacing w:before="200" w:line-rule="auto"/>
        <w:ind w:firstLine="540"/>
        <w:jc w:val="both"/>
      </w:pPr>
      <w:r>
        <w:rPr>
          <w:sz w:val="20"/>
        </w:rPr>
        <w:t xml:space="preserve">2) являющимся родителями в многодетной семье и имеющим удостоверение многодетной семьи;</w:t>
      </w:r>
    </w:p>
    <w:p>
      <w:pPr>
        <w:pStyle w:val="0"/>
        <w:spacing w:before="200" w:line-rule="auto"/>
        <w:ind w:firstLine="540"/>
        <w:jc w:val="both"/>
      </w:pPr>
      <w:r>
        <w:rPr>
          <w:sz w:val="20"/>
        </w:rPr>
        <w:t xml:space="preserve">3) являющимся родителями детей, получающих пенсию по потере кормильца;</w:t>
      </w:r>
    </w:p>
    <w:p>
      <w:pPr>
        <w:pStyle w:val="0"/>
        <w:spacing w:before="200" w:line-rule="auto"/>
        <w:ind w:firstLine="540"/>
        <w:jc w:val="both"/>
      </w:pPr>
      <w:r>
        <w:rPr>
          <w:sz w:val="20"/>
        </w:rPr>
        <w:t xml:space="preserve">4) признанным в установленном законодательством Российской Федерации порядке участниками государственных программ в целях приобретения или строительства жилых помещений за счет средств федерального бюджета и (или) областного бюджета Новосибирской области;</w:t>
      </w:r>
    </w:p>
    <w:p>
      <w:pPr>
        <w:pStyle w:val="0"/>
        <w:spacing w:before="200" w:line-rule="auto"/>
        <w:ind w:firstLine="540"/>
        <w:jc w:val="both"/>
      </w:pPr>
      <w:r>
        <w:rPr>
          <w:sz w:val="20"/>
        </w:rPr>
        <w:t xml:space="preserve">5) для которых работа в федеральных органах государственной власти, органах государственной власти Новосибирской области, органах местного самоуправления на территории Новосибирской области является основным местом работы;</w:t>
      </w:r>
    </w:p>
    <w:p>
      <w:pPr>
        <w:pStyle w:val="0"/>
        <w:spacing w:before="200" w:line-rule="auto"/>
        <w:ind w:firstLine="540"/>
        <w:jc w:val="both"/>
      </w:pPr>
      <w:r>
        <w:rPr>
          <w:sz w:val="20"/>
        </w:rPr>
        <w:t xml:space="preserve">6) для которых работа в государственных и муниципальных учреждениях на территории Новосибирской области является основным местом работы;</w:t>
      </w:r>
    </w:p>
    <w:p>
      <w:pPr>
        <w:pStyle w:val="0"/>
        <w:spacing w:before="200" w:line-rule="auto"/>
        <w:ind w:firstLine="540"/>
        <w:jc w:val="both"/>
      </w:pPr>
      <w:r>
        <w:rPr>
          <w:sz w:val="20"/>
        </w:rPr>
        <w:t xml:space="preserve">7) научным работникам, специалистам (инженерно-техническим работникам) государственных академий наук на территории Новосибирской области;</w:t>
      </w:r>
    </w:p>
    <w:p>
      <w:pPr>
        <w:pStyle w:val="0"/>
        <w:spacing w:before="200" w:line-rule="auto"/>
        <w:ind w:firstLine="540"/>
        <w:jc w:val="both"/>
      </w:pPr>
      <w:r>
        <w:rPr>
          <w:sz w:val="20"/>
        </w:rPr>
        <w:t xml:space="preserve">8) для которых работа в стратегических предприятиях и стратегических акционерных обществах, включенных в </w:t>
      </w:r>
      <w:hyperlink w:history="0" r:id="rId999" w:tooltip="Указ Президента РФ от 04.08.2004 N 1009 (ред. от 30.12.2022) &quot;Об утверждении Перечня стратегических предприятий и стратегических акционерных обществ&quot; {КонсультантПлюс}">
        <w:r>
          <w:rPr>
            <w:sz w:val="20"/>
            <w:color w:val="0000ff"/>
          </w:rPr>
          <w:t xml:space="preserve">Перечень</w:t>
        </w:r>
      </w:hyperlink>
      <w:r>
        <w:rPr>
          <w:sz w:val="20"/>
        </w:rPr>
        <w:t xml:space="preserve"> стратегических предприятий и стратегических акционерных обществ, утвержденный Указом Президента Российской Федерации от 04.08.2004 N 1009, является основным местом работы;</w:t>
      </w:r>
    </w:p>
    <w:p>
      <w:pPr>
        <w:pStyle w:val="0"/>
        <w:spacing w:before="200" w:line-rule="auto"/>
        <w:ind w:firstLine="540"/>
        <w:jc w:val="both"/>
      </w:pPr>
      <w:r>
        <w:rPr>
          <w:sz w:val="20"/>
        </w:rPr>
        <w:t xml:space="preserve">9) заключившим договоры купли-продажи или договоры участия в долевом строительстве жилья с застройщиками, осуществляющими строительство многоквартирных жилых домов на территории муниципальных районов Новосибирской области;</w:t>
      </w:r>
    </w:p>
    <w:p>
      <w:pPr>
        <w:pStyle w:val="0"/>
        <w:spacing w:before="200" w:line-rule="auto"/>
        <w:ind w:firstLine="540"/>
        <w:jc w:val="both"/>
      </w:pPr>
      <w:r>
        <w:rPr>
          <w:sz w:val="20"/>
        </w:rPr>
        <w:t xml:space="preserve">10) инвалидам или одному из родителей, воспитывающему ребенка-инвалида.</w:t>
      </w:r>
    </w:p>
    <w:bookmarkStart w:id="9965" w:name="P9965"/>
    <w:bookmarkEnd w:id="9965"/>
    <w:p>
      <w:pPr>
        <w:pStyle w:val="0"/>
        <w:spacing w:before="200" w:line-rule="auto"/>
        <w:ind w:firstLine="540"/>
        <w:jc w:val="both"/>
      </w:pPr>
      <w:r>
        <w:rPr>
          <w:sz w:val="20"/>
        </w:rPr>
        <w:t xml:space="preserve">27. Юридическое лицо - победитель отбора, подписавшее с министерством строительства Новосибирской области соглашение, в целях подтверждения категорий граждан, установленных </w:t>
      </w:r>
      <w:hyperlink w:history="0" w:anchor="P9954" w:tooltip="26. Юридическое лицо предоставляет ипотечные жилищные кредиты (займы) следующим категориям граждан Российской Федерации, проживающим на территории Новосибирской области:">
        <w:r>
          <w:rPr>
            <w:sz w:val="20"/>
            <w:color w:val="0000ff"/>
          </w:rPr>
          <w:t xml:space="preserve">пунктом 26</w:t>
        </w:r>
      </w:hyperlink>
      <w:r>
        <w:rPr>
          <w:sz w:val="20"/>
        </w:rPr>
        <w:t xml:space="preserve"> настоящего Порядка, представляет в министерство строительства Новосибирской области </w:t>
      </w:r>
      <w:hyperlink w:history="0" w:anchor="P10013" w:tooltip="                                  СПИСОК">
        <w:r>
          <w:rPr>
            <w:sz w:val="20"/>
            <w:color w:val="0000ff"/>
          </w:rPr>
          <w:t xml:space="preserve">список</w:t>
        </w:r>
      </w:hyperlink>
      <w:r>
        <w:rPr>
          <w:sz w:val="20"/>
        </w:rPr>
        <w:t xml:space="preserve"> кандидатов на оформление ипотечных жилищных кредитов (займов) по сниженной процентной ставке (далее - Список) по форме согласно приложению N 1 к настоящему Порядку с приложением комплекта документов, представленных гражданами юридическому лицу на предоставление ипотечного жилищного кредита (займа). Список представляется для согласования не чаще одного раза в календарную неделю.</w:t>
      </w:r>
    </w:p>
    <w:p>
      <w:pPr>
        <w:pStyle w:val="0"/>
        <w:spacing w:before="200" w:line-rule="auto"/>
        <w:ind w:firstLine="540"/>
        <w:jc w:val="both"/>
      </w:pPr>
      <w:r>
        <w:rPr>
          <w:sz w:val="20"/>
        </w:rPr>
        <w:t xml:space="preserve">28. Министерство строительства Новосибирской области в течение пяти рабочих дней со дня представления юридическим лицом Списка принимает решение о согласовании либо об отказе в согласовании Списка.</w:t>
      </w:r>
    </w:p>
    <w:p>
      <w:pPr>
        <w:pStyle w:val="0"/>
        <w:spacing w:before="200" w:line-rule="auto"/>
        <w:ind w:firstLine="540"/>
        <w:jc w:val="both"/>
      </w:pPr>
      <w:r>
        <w:rPr>
          <w:sz w:val="20"/>
        </w:rPr>
        <w:t xml:space="preserve">29. Основания для отказа в согласовании Списка:</w:t>
      </w:r>
    </w:p>
    <w:p>
      <w:pPr>
        <w:pStyle w:val="0"/>
        <w:spacing w:before="200" w:line-rule="auto"/>
        <w:ind w:firstLine="540"/>
        <w:jc w:val="both"/>
      </w:pPr>
      <w:r>
        <w:rPr>
          <w:sz w:val="20"/>
        </w:rPr>
        <w:t xml:space="preserve">1) несоответствие гражданина категории граждан, установленных </w:t>
      </w:r>
      <w:hyperlink w:history="0" w:anchor="P9954" w:tooltip="26. Юридическое лицо предоставляет ипотечные жилищные кредиты (займы) следующим категориям граждан Российской Федерации, проживающим на территории Новосибирской области:">
        <w:r>
          <w:rPr>
            <w:sz w:val="20"/>
            <w:color w:val="0000ff"/>
          </w:rPr>
          <w:t xml:space="preserve">пунктом 26</w:t>
        </w:r>
      </w:hyperlink>
      <w:r>
        <w:rPr>
          <w:sz w:val="20"/>
        </w:rPr>
        <w:t xml:space="preserve"> настоящего Порядка;</w:t>
      </w:r>
    </w:p>
    <w:p>
      <w:pPr>
        <w:pStyle w:val="0"/>
        <w:spacing w:before="200" w:line-rule="auto"/>
        <w:ind w:firstLine="540"/>
        <w:jc w:val="both"/>
      </w:pPr>
      <w:r>
        <w:rPr>
          <w:sz w:val="20"/>
        </w:rPr>
        <w:t xml:space="preserve">2) превышение расчетной суммы субсидий, исходя из количества кандидатов на оформление ипотечных жилищных кредитов (займов) по сниженной процентной ставке, указанных в списке, и размера субсидий, предусмотренного </w:t>
      </w:r>
      <w:hyperlink w:history="0" w:anchor="P9982" w:tooltip="34. Субсидии предоставляются юридическому лицу на возмещение недополученных доходов в связи с оформлением отдельными категориями граждан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
        <w:r>
          <w:rPr>
            <w:sz w:val="20"/>
            <w:color w:val="0000ff"/>
          </w:rPr>
          <w:t xml:space="preserve">пунктом 34</w:t>
        </w:r>
      </w:hyperlink>
      <w:r>
        <w:rPr>
          <w:sz w:val="20"/>
        </w:rPr>
        <w:t xml:space="preserve"> настоящего Порядка, над бюджетными ассигнованиями, утвержденными на соответствующие цели законом об областном бюджете Новосибирской области на текущий финансовый год и плановый период.</w:t>
      </w:r>
    </w:p>
    <w:p>
      <w:pPr>
        <w:pStyle w:val="0"/>
        <w:spacing w:before="200" w:line-rule="auto"/>
        <w:ind w:firstLine="540"/>
        <w:jc w:val="both"/>
      </w:pPr>
      <w:r>
        <w:rPr>
          <w:sz w:val="20"/>
        </w:rPr>
        <w:t xml:space="preserve">30. Отказ в согласовании списка оформляется письменным уведомлением с указанием оснований, послуживших для отказа. В зависимости от принятого министерством строительства Новосибирской области решения, отказ в согласовании списка либо согласованный Список направляются юридическому лицу посредством почтовой связи в течение пяти рабочих дней со дня принятия соответствующего решения.</w:t>
      </w:r>
    </w:p>
    <w:bookmarkStart w:id="9971" w:name="P9971"/>
    <w:bookmarkEnd w:id="9971"/>
    <w:p>
      <w:pPr>
        <w:pStyle w:val="0"/>
        <w:spacing w:before="200" w:line-rule="auto"/>
        <w:ind w:firstLine="540"/>
        <w:jc w:val="both"/>
      </w:pPr>
      <w:r>
        <w:rPr>
          <w:sz w:val="20"/>
        </w:rPr>
        <w:t xml:space="preserve">31. После согласования министерством строительства Новосибирской области Списка, в целях предоставления субсидии юридическое лицо представляет в министерство строительства Новосибирской области </w:t>
      </w:r>
      <w:hyperlink w:history="0" w:anchor="P10061" w:tooltip="                                  ЗАЯВКА">
        <w:r>
          <w:rPr>
            <w:sz w:val="20"/>
            <w:color w:val="0000ff"/>
          </w:rPr>
          <w:t xml:space="preserve">заявку</w:t>
        </w:r>
      </w:hyperlink>
      <w:r>
        <w:rPr>
          <w:sz w:val="20"/>
        </w:rPr>
        <w:t xml:space="preserve"> на предоставление субсидии по форме согласно приложению N 2 к настоящему Порядку (далее - Заявка) с приложением заверенных копий актов приема-передачи закладных. Сведения, содержащиеся в Заявке, должны соответствовать сведениям, содержащимся в Списке, согласованном министерством строительства Новосибирской области. Заявка представляется в срок до 10 числа месяца, в котором планируется предоставление субсидии.</w:t>
      </w:r>
    </w:p>
    <w:p>
      <w:pPr>
        <w:pStyle w:val="0"/>
        <w:spacing w:before="200" w:line-rule="auto"/>
        <w:ind w:firstLine="540"/>
        <w:jc w:val="both"/>
      </w:pPr>
      <w:r>
        <w:rPr>
          <w:sz w:val="20"/>
        </w:rPr>
        <w:t xml:space="preserve">Министерство строительства Новосибирской области в течение пяти рабочих дней со дня предоставления юридическим лицом Заявки осуществляет проверку сведений, содержащихся в Заявке, и принимает одно из следующих решений:</w:t>
      </w:r>
    </w:p>
    <w:p>
      <w:pPr>
        <w:pStyle w:val="0"/>
        <w:spacing w:before="200" w:line-rule="auto"/>
        <w:ind w:firstLine="540"/>
        <w:jc w:val="both"/>
      </w:pPr>
      <w:r>
        <w:rPr>
          <w:sz w:val="20"/>
        </w:rPr>
        <w:t xml:space="preserve">об отказе в утверждении Заявки и предоставлении субсидий - в случае выявления хотя бы одного из оснований, установленных </w:t>
      </w:r>
      <w:hyperlink w:history="0" w:anchor="P9977" w:tooltip="33. Основаниями для отказа юридическому лицу в утверждении Заявки и предоставлении субсидий являются:">
        <w:r>
          <w:rPr>
            <w:sz w:val="20"/>
            <w:color w:val="0000ff"/>
          </w:rPr>
          <w:t xml:space="preserve">пунктом 33</w:t>
        </w:r>
      </w:hyperlink>
      <w:r>
        <w:rPr>
          <w:sz w:val="20"/>
        </w:rPr>
        <w:t xml:space="preserve"> настоящего Порядка. Министерство строительства Новосибирской области направляет юридическому лицу письменное уведомление о принятом решении посредством почтовой связи в течение 5 рабочих дней со дня принятия решения;</w:t>
      </w:r>
    </w:p>
    <w:p>
      <w:pPr>
        <w:pStyle w:val="0"/>
        <w:spacing w:before="200" w:line-rule="auto"/>
        <w:ind w:firstLine="540"/>
        <w:jc w:val="both"/>
      </w:pPr>
      <w:r>
        <w:rPr>
          <w:sz w:val="20"/>
        </w:rPr>
        <w:t xml:space="preserve">об утверждении Заявки. При отсутствии оснований для отказа в утверждении Заявки и предоставлении субсидий, установленных </w:t>
      </w:r>
      <w:hyperlink w:history="0" w:anchor="P9977" w:tooltip="33. Основаниями для отказа юридическому лицу в утверждении Заявки и предоставлении субсидий являются:">
        <w:r>
          <w:rPr>
            <w:sz w:val="20"/>
            <w:color w:val="0000ff"/>
          </w:rPr>
          <w:t xml:space="preserve">пунктом 33</w:t>
        </w:r>
      </w:hyperlink>
      <w:r>
        <w:rPr>
          <w:sz w:val="20"/>
        </w:rPr>
        <w:t xml:space="preserve"> Порядка, министерство строительства Новосибирской области утверждает Заявку в срок до 20 числа месяца, в котором планируется предоставление субсидии.</w:t>
      </w:r>
    </w:p>
    <w:p>
      <w:pPr>
        <w:pStyle w:val="0"/>
        <w:spacing w:before="200" w:line-rule="auto"/>
        <w:ind w:firstLine="540"/>
        <w:jc w:val="both"/>
      </w:pPr>
      <w:r>
        <w:rPr>
          <w:sz w:val="20"/>
        </w:rPr>
        <w:t xml:space="preserve">Уведомление об утверждении Заявки направляется юридическому лицу посредством почтовой связи в течение пяти рабочих дней со дня принятия указанного решения министерством строительства Новосибирской области.</w:t>
      </w:r>
    </w:p>
    <w:p>
      <w:pPr>
        <w:pStyle w:val="0"/>
        <w:spacing w:before="200" w:line-rule="auto"/>
        <w:ind w:firstLine="540"/>
        <w:jc w:val="both"/>
      </w:pPr>
      <w:r>
        <w:rPr>
          <w:sz w:val="20"/>
        </w:rPr>
        <w:t xml:space="preserve">32. Перечисление субсидии юридическому лицу осуществляется не позднее десятого рабочего дня после принятия министерством строительства Новосибирской области решения об утверждении Заявки.</w:t>
      </w:r>
    </w:p>
    <w:bookmarkStart w:id="9977" w:name="P9977"/>
    <w:bookmarkEnd w:id="9977"/>
    <w:p>
      <w:pPr>
        <w:pStyle w:val="0"/>
        <w:spacing w:before="200" w:line-rule="auto"/>
        <w:ind w:firstLine="540"/>
        <w:jc w:val="both"/>
      </w:pPr>
      <w:r>
        <w:rPr>
          <w:sz w:val="20"/>
        </w:rPr>
        <w:t xml:space="preserve">33. Основаниями для отказа юридическому лицу в утверждении Заявки и предоставлении субсидий являются:</w:t>
      </w:r>
    </w:p>
    <w:p>
      <w:pPr>
        <w:pStyle w:val="0"/>
        <w:spacing w:before="200" w:line-rule="auto"/>
        <w:ind w:firstLine="540"/>
        <w:jc w:val="both"/>
      </w:pPr>
      <w:r>
        <w:rPr>
          <w:sz w:val="20"/>
        </w:rPr>
        <w:t xml:space="preserve">1) невыполнение юридическим лицом хотя бы одного из условий, предусмотренных </w:t>
      </w:r>
      <w:hyperlink w:history="0" w:anchor="P9949" w:tooltip="25. Субсидии юридическому лицу - победителю отбора, подписавшему с министерством строительства Новосибирской области соглашение, предоставляются при соблюдении следующих условий:">
        <w:r>
          <w:rPr>
            <w:sz w:val="20"/>
            <w:color w:val="0000ff"/>
          </w:rPr>
          <w:t xml:space="preserve">пунктом 25</w:t>
        </w:r>
      </w:hyperlink>
      <w:r>
        <w:rPr>
          <w:sz w:val="20"/>
        </w:rPr>
        <w:t xml:space="preserve"> настоящего Порядка;</w:t>
      </w:r>
    </w:p>
    <w:p>
      <w:pPr>
        <w:pStyle w:val="0"/>
        <w:spacing w:before="200" w:line-rule="auto"/>
        <w:ind w:firstLine="540"/>
        <w:jc w:val="both"/>
      </w:pPr>
      <w:r>
        <w:rPr>
          <w:sz w:val="20"/>
        </w:rPr>
        <w:t xml:space="preserve">2) недостоверность представленной юридическим лицом в министерство строительства Новосибирской области информации;</w:t>
      </w:r>
    </w:p>
    <w:p>
      <w:pPr>
        <w:pStyle w:val="0"/>
        <w:spacing w:before="200" w:line-rule="auto"/>
        <w:ind w:firstLine="540"/>
        <w:jc w:val="both"/>
      </w:pPr>
      <w:r>
        <w:rPr>
          <w:sz w:val="20"/>
        </w:rPr>
        <w:t xml:space="preserve">3) несоответствие сведений, содержащихся в Заявке, сведениям, содержащимся в Списке;</w:t>
      </w:r>
    </w:p>
    <w:p>
      <w:pPr>
        <w:pStyle w:val="0"/>
        <w:spacing w:before="200" w:line-rule="auto"/>
        <w:ind w:firstLine="540"/>
        <w:jc w:val="both"/>
      </w:pPr>
      <w:r>
        <w:rPr>
          <w:sz w:val="20"/>
        </w:rPr>
        <w:t xml:space="preserve">4) несоответствие представленных юридическим лицом документов требованиям, определенным </w:t>
      </w:r>
      <w:hyperlink w:history="0" w:anchor="P9965" w:tooltip="27. Юридическое лицо - победитель отбора, подписавшее с министерством строительства Новосибирской области соглашение, в целях подтверждения категорий граждан, установленных пунктом 26 настоящего Порядка, представляет в министерство строительства Новосибирской области список кандидатов на оформление ипотечных жилищных кредитов (займов) по сниженной процентной ставке (далее - Список) по форме согласно приложению N 1 к настоящему Порядку с приложением комплекта документов, представленных гражданами юридичес...">
        <w:r>
          <w:rPr>
            <w:sz w:val="20"/>
            <w:color w:val="0000ff"/>
          </w:rPr>
          <w:t xml:space="preserve">пунктами 27</w:t>
        </w:r>
      </w:hyperlink>
      <w:r>
        <w:rPr>
          <w:sz w:val="20"/>
        </w:rPr>
        <w:t xml:space="preserve"> и </w:t>
      </w:r>
      <w:hyperlink w:history="0" w:anchor="P9971" w:tooltip="31. После согласования министерством строительства Новосибирской области Списка, в целях предоставления субсидии юридическое лицо представляет в министерство строительства Новосибирской области заявку на предоставление субсидии по форме согласно приложению N 2 к настоящему Порядку (далее - Заявка) с приложением заверенных копий актов приема-передачи закладных. Сведения, содержащиеся в Заявке, должны соответствовать сведениям, содержащимся в Списке, согласованном министерством строительства Новосибирской ...">
        <w:r>
          <w:rPr>
            <w:sz w:val="20"/>
            <w:color w:val="0000ff"/>
          </w:rPr>
          <w:t xml:space="preserve">31</w:t>
        </w:r>
      </w:hyperlink>
      <w:r>
        <w:rPr>
          <w:sz w:val="20"/>
        </w:rPr>
        <w:t xml:space="preserve"> Порядка, либо непредставление (представление не в полном объеме) указанных документов.</w:t>
      </w:r>
    </w:p>
    <w:bookmarkStart w:id="9982" w:name="P9982"/>
    <w:bookmarkEnd w:id="9982"/>
    <w:p>
      <w:pPr>
        <w:pStyle w:val="0"/>
        <w:spacing w:before="200" w:line-rule="auto"/>
        <w:ind w:firstLine="540"/>
        <w:jc w:val="both"/>
      </w:pPr>
      <w:r>
        <w:rPr>
          <w:sz w:val="20"/>
        </w:rPr>
        <w:t xml:space="preserve">34. Субсидии предоставляются юридическому лицу на возмещение недополученных доходов в связи с оформлением отдельными категориями граждан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w:t>
      </w:r>
    </w:p>
    <w:p>
      <w:pPr>
        <w:pStyle w:val="0"/>
        <w:spacing w:before="200" w:line-rule="auto"/>
        <w:ind w:firstLine="540"/>
        <w:jc w:val="both"/>
      </w:pPr>
      <w:r>
        <w:rPr>
          <w:sz w:val="20"/>
        </w:rPr>
        <w:t xml:space="preserve">Субсидия рассчитывается как разница между стоимостью закладной по ипотечному жилищному кредиту (займу), оформленному по действующей процентной ставке, предусмотренной одной из ипотечных программ Единого института развития в жилищной сфере, и стоимостью закладной по ипотечному жилищному кредиту (займу), оформленному по ставке, сниженной до 3 (трех) процентных пунктов, с учетом коэффициента снижения цены закладной, определяемого в соответствии с правилами купли-продажи закладных, утвержденными Единым институтом развития в жилищной сфере, но не более 150 000 рублей в рамках оформления одного ипотечного жилищного кредита (займа).</w:t>
      </w:r>
    </w:p>
    <w:p>
      <w:pPr>
        <w:pStyle w:val="0"/>
        <w:spacing w:before="200" w:line-rule="auto"/>
        <w:ind w:firstLine="540"/>
        <w:jc w:val="both"/>
      </w:pPr>
      <w:r>
        <w:rPr>
          <w:sz w:val="20"/>
        </w:rPr>
        <w:t xml:space="preserve">35. Субсидии перечисляются юридическому лицу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w:t>
      </w:r>
    </w:p>
    <w:p>
      <w:pPr>
        <w:pStyle w:val="0"/>
        <w:spacing w:before="200" w:line-rule="auto"/>
        <w:ind w:firstLine="540"/>
        <w:jc w:val="both"/>
      </w:pPr>
      <w:r>
        <w:rPr>
          <w:sz w:val="20"/>
        </w:rPr>
        <w:t xml:space="preserve">36. Министерство строительства Новосибирской области осуществляет проверки соблюдения получателем субсидий порядка и условий предоставления субсидий, в том числе в части достижения результатов предоставления субсидий, а также орган государственного финансового контроля осуществляет проверки соблюдения получателем субсидий порядка и условий предоставления субсидий в соответствии со </w:t>
      </w:r>
      <w:hyperlink w:history="0" r:id="rId1000" w:tooltip="&quot;Бюджетный кодекс Российской Федерации&quot; от 31.07.1998 N 145-ФЗ (ред. от 14.04.2023) {КонсультантПлюс}">
        <w:r>
          <w:rPr>
            <w:sz w:val="20"/>
            <w:color w:val="0000ff"/>
          </w:rPr>
          <w:t xml:space="preserve">статьями 268.1</w:t>
        </w:r>
      </w:hyperlink>
      <w:r>
        <w:rPr>
          <w:sz w:val="20"/>
        </w:rPr>
        <w:t xml:space="preserve"> и </w:t>
      </w:r>
      <w:hyperlink w:history="0" r:id="rId1001" w:tooltip="&quot;Бюджетный кодекс Российской Федерации&quot; от 31.07.1998 N 145-ФЗ (ред. от 14.04.2023)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36 в ред. </w:t>
      </w:r>
      <w:hyperlink w:history="0" r:id="rId1002" w:tooltip="Постановление Правительства Новосибирской области от 18.10.2022 N 481-п &quot;О внесении изменений в постановление Правительства Новосибирской области от 20.02.2015 N 68-п&quot; {КонсультантПлюс}">
        <w:r>
          <w:rPr>
            <w:sz w:val="20"/>
            <w:color w:val="0000ff"/>
          </w:rPr>
          <w:t xml:space="preserve">постановления</w:t>
        </w:r>
      </w:hyperlink>
      <w:r>
        <w:rPr>
          <w:sz w:val="20"/>
        </w:rPr>
        <w:t xml:space="preserve"> Правительства Новосибирской области от 18.10.2022 N 481-п)</w:t>
      </w:r>
    </w:p>
    <w:p>
      <w:pPr>
        <w:pStyle w:val="0"/>
        <w:spacing w:before="200" w:line-rule="auto"/>
        <w:ind w:firstLine="540"/>
        <w:jc w:val="both"/>
      </w:pPr>
      <w:r>
        <w:rPr>
          <w:sz w:val="20"/>
        </w:rPr>
        <w:t xml:space="preserve">37. В случае нарушения получателем субсидии условий, установленных при ее предоставлении, выявленного по фактам проверок, проведенных министерством строительства Новосибирской области и уполномоченным органом государственного финансового контроля, министерство строительства Новосибирской области в течение 10 рабочих дней со дня установления факта нарушения письменно, посредством почтовой связи, направляет данному юридическому лицу уведомление о возврате полученных средств в областной бюджет Новосибирской области.</w:t>
      </w:r>
    </w:p>
    <w:p>
      <w:pPr>
        <w:pStyle w:val="0"/>
        <w:spacing w:before="200" w:line-rule="auto"/>
        <w:ind w:firstLine="540"/>
        <w:jc w:val="both"/>
      </w:pPr>
      <w:r>
        <w:rPr>
          <w:sz w:val="20"/>
        </w:rPr>
        <w:t xml:space="preserve">38. Юридическое лицо - получатель субсидии обязано в течение 30 рабочих дней со дня получения уведомления перечислить всю сумму денежных средств субсидий, полученных с нарушением условий предоставления субсидий,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39. Юридическое лицо - получатель субсидии несет ответственность за нарушение условий, целей и порядка предоставления субсидий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субсидий юридическим лицам (за</w:t>
      </w:r>
    </w:p>
    <w:p>
      <w:pPr>
        <w:pStyle w:val="0"/>
        <w:jc w:val="right"/>
      </w:pPr>
      <w:r>
        <w:rPr>
          <w:sz w:val="20"/>
        </w:rPr>
        <w:t xml:space="preserve">исключением государственных (муниципальных)</w:t>
      </w:r>
    </w:p>
    <w:p>
      <w:pPr>
        <w:pStyle w:val="0"/>
        <w:jc w:val="right"/>
      </w:pPr>
      <w:r>
        <w:rPr>
          <w:sz w:val="20"/>
        </w:rPr>
        <w:t xml:space="preserve">учреждений) на возмещение недополученных</w:t>
      </w:r>
    </w:p>
    <w:p>
      <w:pPr>
        <w:pStyle w:val="0"/>
        <w:jc w:val="right"/>
      </w:pPr>
      <w:r>
        <w:rPr>
          <w:sz w:val="20"/>
        </w:rPr>
        <w:t xml:space="preserve">доходов в связи с оформлением отдельными</w:t>
      </w:r>
    </w:p>
    <w:p>
      <w:pPr>
        <w:pStyle w:val="0"/>
        <w:jc w:val="right"/>
      </w:pPr>
      <w:r>
        <w:rPr>
          <w:sz w:val="20"/>
        </w:rPr>
        <w:t xml:space="preserve">категориями граждан ипотечных</w:t>
      </w:r>
    </w:p>
    <w:p>
      <w:pPr>
        <w:pStyle w:val="0"/>
        <w:jc w:val="right"/>
      </w:pPr>
      <w:r>
        <w:rPr>
          <w:sz w:val="20"/>
        </w:rPr>
        <w:t xml:space="preserve">жилищных кредитов (займов)</w:t>
      </w:r>
    </w:p>
    <w:p>
      <w:pPr>
        <w:pStyle w:val="0"/>
        <w:ind w:firstLine="540"/>
        <w:jc w:val="both"/>
      </w:pPr>
      <w:r>
        <w:rPr>
          <w:sz w:val="20"/>
        </w:rPr>
      </w:r>
    </w:p>
    <w:p>
      <w:pPr>
        <w:pStyle w:val="1"/>
        <w:jc w:val="both"/>
      </w:pPr>
      <w:r>
        <w:rPr>
          <w:sz w:val="20"/>
        </w:rPr>
        <w:t xml:space="preserve">                                                       СОГЛАСОВАНО</w:t>
      </w:r>
    </w:p>
    <w:p>
      <w:pPr>
        <w:pStyle w:val="1"/>
        <w:jc w:val="both"/>
      </w:pPr>
      <w:r>
        <w:rPr>
          <w:sz w:val="20"/>
        </w:rPr>
        <w:t xml:space="preserve">                                                  министр строительства</w:t>
      </w:r>
    </w:p>
    <w:p>
      <w:pPr>
        <w:pStyle w:val="1"/>
        <w:jc w:val="both"/>
      </w:pPr>
      <w:r>
        <w:rPr>
          <w:sz w:val="20"/>
        </w:rPr>
        <w:t xml:space="preserve">                                                  Новосибирской области</w:t>
      </w:r>
    </w:p>
    <w:p>
      <w:pPr>
        <w:pStyle w:val="1"/>
        <w:jc w:val="both"/>
      </w:pPr>
      <w:r>
        <w:rPr>
          <w:sz w:val="20"/>
        </w:rPr>
        <w:t xml:space="preserve">                                              _________ 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                                          М.П.</w:t>
      </w:r>
    </w:p>
    <w:p>
      <w:pPr>
        <w:pStyle w:val="1"/>
        <w:jc w:val="both"/>
      </w:pPr>
      <w:r>
        <w:rPr>
          <w:sz w:val="20"/>
        </w:rPr>
        <w:t xml:space="preserve">                                                "___" __________ 20___ г.</w:t>
      </w:r>
    </w:p>
    <w:p>
      <w:pPr>
        <w:pStyle w:val="1"/>
        <w:jc w:val="both"/>
      </w:pPr>
      <w:r>
        <w:rPr>
          <w:sz w:val="20"/>
        </w:rPr>
      </w:r>
    </w:p>
    <w:bookmarkStart w:id="10013" w:name="P10013"/>
    <w:bookmarkEnd w:id="10013"/>
    <w:p>
      <w:pPr>
        <w:pStyle w:val="1"/>
        <w:jc w:val="both"/>
      </w:pPr>
      <w:r>
        <w:rPr>
          <w:sz w:val="20"/>
        </w:rPr>
        <w:t xml:space="preserve">                                  СПИСОК</w:t>
      </w:r>
    </w:p>
    <w:p>
      <w:pPr>
        <w:pStyle w:val="1"/>
        <w:jc w:val="both"/>
      </w:pPr>
      <w:r>
        <w:rPr>
          <w:sz w:val="20"/>
        </w:rPr>
        <w:t xml:space="preserve">                кандидатов на оформление ипотечных жилищных</w:t>
      </w:r>
    </w:p>
    <w:p>
      <w:pPr>
        <w:pStyle w:val="1"/>
        <w:jc w:val="both"/>
      </w:pPr>
      <w:r>
        <w:rPr>
          <w:sz w:val="20"/>
        </w:rPr>
        <w:t xml:space="preserve">             кредитов (займов) по сниженной процентной ставке</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870"/>
        <w:gridCol w:w="1417"/>
        <w:gridCol w:w="1870"/>
        <w:gridCol w:w="1530"/>
        <w:gridCol w:w="1984"/>
        <w:gridCol w:w="1417"/>
        <w:gridCol w:w="1417"/>
        <w:gridCol w:w="1644"/>
      </w:tblGrid>
      <w:tr>
        <w:tc>
          <w:tcPr>
            <w:tcW w:w="510" w:type="dxa"/>
          </w:tcPr>
          <w:p>
            <w:pPr>
              <w:pStyle w:val="0"/>
              <w:jc w:val="center"/>
            </w:pPr>
            <w:r>
              <w:rPr>
                <w:sz w:val="20"/>
              </w:rPr>
              <w:t xml:space="preserve">N п/п</w:t>
            </w:r>
          </w:p>
        </w:tc>
        <w:tc>
          <w:tcPr>
            <w:tcW w:w="1870" w:type="dxa"/>
          </w:tcPr>
          <w:p>
            <w:pPr>
              <w:pStyle w:val="0"/>
              <w:jc w:val="center"/>
            </w:pPr>
            <w:r>
              <w:rPr>
                <w:sz w:val="20"/>
              </w:rPr>
              <w:t xml:space="preserve">Фамилия, имя, отчество (последнее - при наличии) гражданина, оформившего ипотечный жилищный кредит (заем)</w:t>
            </w:r>
          </w:p>
        </w:tc>
        <w:tc>
          <w:tcPr>
            <w:tcW w:w="1417" w:type="dxa"/>
          </w:tcPr>
          <w:p>
            <w:pPr>
              <w:pStyle w:val="0"/>
              <w:jc w:val="center"/>
            </w:pPr>
            <w:r>
              <w:rPr>
                <w:sz w:val="20"/>
              </w:rPr>
              <w:t xml:space="preserve">Дата рождения гражданина</w:t>
            </w:r>
          </w:p>
        </w:tc>
        <w:tc>
          <w:tcPr>
            <w:tcW w:w="1870" w:type="dxa"/>
          </w:tcPr>
          <w:p>
            <w:pPr>
              <w:pStyle w:val="0"/>
              <w:jc w:val="center"/>
            </w:pPr>
            <w:r>
              <w:rPr>
                <w:sz w:val="20"/>
              </w:rPr>
              <w:t xml:space="preserve">Паспортные данные гражданина (серия, N, кем и когда выдан)</w:t>
            </w:r>
          </w:p>
        </w:tc>
        <w:tc>
          <w:tcPr>
            <w:tcW w:w="1530" w:type="dxa"/>
          </w:tcPr>
          <w:p>
            <w:pPr>
              <w:pStyle w:val="0"/>
              <w:jc w:val="center"/>
            </w:pPr>
            <w:r>
              <w:rPr>
                <w:sz w:val="20"/>
              </w:rPr>
              <w:t xml:space="preserve">Адрес места жительства гражданина</w:t>
            </w:r>
          </w:p>
        </w:tc>
        <w:tc>
          <w:tcPr>
            <w:tcW w:w="1984" w:type="dxa"/>
          </w:tcPr>
          <w:p>
            <w:pPr>
              <w:pStyle w:val="0"/>
              <w:jc w:val="center"/>
            </w:pPr>
            <w:r>
              <w:rPr>
                <w:sz w:val="20"/>
              </w:rPr>
              <w:t xml:space="preserve">Категория граждан в соответствии с </w:t>
            </w:r>
            <w:hyperlink w:history="0" w:anchor="P9954" w:tooltip="26. Юридическое лицо предоставляет ипотечные жилищные кредиты (займы) следующим категориям граждан Российской Федерации, проживающим на территории Новосибирской области:">
              <w:r>
                <w:rPr>
                  <w:sz w:val="20"/>
                  <w:color w:val="0000ff"/>
                </w:rPr>
                <w:t xml:space="preserve">пунктом 26</w:t>
              </w:r>
            </w:hyperlink>
            <w:r>
              <w:rPr>
                <w:sz w:val="20"/>
              </w:rPr>
              <w:t xml:space="preserve"> приложения N 3 к постановлению Правительства Новосибирской области от 20.02.2015 N 68-п, к которой относится гражданин</w:t>
            </w:r>
          </w:p>
        </w:tc>
        <w:tc>
          <w:tcPr>
            <w:tcW w:w="1417" w:type="dxa"/>
          </w:tcPr>
          <w:p>
            <w:pPr>
              <w:pStyle w:val="0"/>
              <w:jc w:val="center"/>
            </w:pPr>
            <w:r>
              <w:rPr>
                <w:sz w:val="20"/>
              </w:rPr>
              <w:t xml:space="preserve">Дата обращения гражданина к юридическому лицу за оформлением кредита (займа) и регистрационный номер</w:t>
            </w:r>
          </w:p>
        </w:tc>
        <w:tc>
          <w:tcPr>
            <w:tcW w:w="1417" w:type="dxa"/>
          </w:tcPr>
          <w:p>
            <w:pPr>
              <w:pStyle w:val="0"/>
              <w:jc w:val="center"/>
            </w:pPr>
            <w:r>
              <w:rPr>
                <w:sz w:val="20"/>
              </w:rPr>
              <w:t xml:space="preserve">Дата обращения гражданина к юридическому лицу за оформлением кредита (займа) и регистрационный номер</w:t>
            </w:r>
          </w:p>
        </w:tc>
        <w:tc>
          <w:tcPr>
            <w:tcW w:w="1644" w:type="dxa"/>
          </w:tcPr>
          <w:p>
            <w:pPr>
              <w:pStyle w:val="0"/>
              <w:jc w:val="center"/>
            </w:pPr>
            <w:r>
              <w:rPr>
                <w:sz w:val="20"/>
              </w:rPr>
              <w:t xml:space="preserve">Планируемый размер субсидии юридическому лицу на возмещение недополученного дохода в связи с оформлением гражданином кредита (займа), рублей</w:t>
            </w:r>
          </w:p>
        </w:tc>
      </w:tr>
      <w:tr>
        <w:tc>
          <w:tcPr>
            <w:tcW w:w="510" w:type="dxa"/>
          </w:tcPr>
          <w:p>
            <w:pPr>
              <w:pStyle w:val="0"/>
            </w:pPr>
            <w:r>
              <w:rPr>
                <w:sz w:val="20"/>
              </w:rPr>
            </w:r>
          </w:p>
        </w:tc>
        <w:tc>
          <w:tcPr>
            <w:tcW w:w="1870" w:type="dxa"/>
          </w:tcPr>
          <w:p>
            <w:pPr>
              <w:pStyle w:val="0"/>
            </w:pPr>
            <w:r>
              <w:rPr>
                <w:sz w:val="20"/>
              </w:rPr>
            </w:r>
          </w:p>
        </w:tc>
        <w:tc>
          <w:tcPr>
            <w:tcW w:w="1417" w:type="dxa"/>
          </w:tcPr>
          <w:p>
            <w:pPr>
              <w:pStyle w:val="0"/>
            </w:pPr>
            <w:r>
              <w:rPr>
                <w:sz w:val="20"/>
              </w:rPr>
            </w:r>
          </w:p>
        </w:tc>
        <w:tc>
          <w:tcPr>
            <w:tcW w:w="1870" w:type="dxa"/>
          </w:tcPr>
          <w:p>
            <w:pPr>
              <w:pStyle w:val="0"/>
            </w:pPr>
            <w:r>
              <w:rPr>
                <w:sz w:val="20"/>
              </w:rPr>
            </w:r>
          </w:p>
        </w:tc>
        <w:tc>
          <w:tcPr>
            <w:tcW w:w="1530" w:type="dxa"/>
          </w:tcPr>
          <w:p>
            <w:pPr>
              <w:pStyle w:val="0"/>
            </w:pPr>
            <w:r>
              <w:rPr>
                <w:sz w:val="20"/>
              </w:rPr>
            </w:r>
          </w:p>
        </w:tc>
        <w:tc>
          <w:tcPr>
            <w:tcW w:w="198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644" w:type="dxa"/>
          </w:tcPr>
          <w:p>
            <w:pPr>
              <w:pStyle w:val="0"/>
            </w:pPr>
            <w:r>
              <w:rPr>
                <w:sz w:val="20"/>
              </w:rPr>
            </w:r>
          </w:p>
        </w:tc>
      </w:tr>
    </w:tbl>
    <w:p>
      <w:pPr>
        <w:pStyle w:val="0"/>
        <w:ind w:firstLine="540"/>
        <w:jc w:val="both"/>
      </w:pPr>
      <w:r>
        <w:rPr>
          <w:sz w:val="20"/>
        </w:rPr>
      </w:r>
    </w:p>
    <w:p>
      <w:pPr>
        <w:pStyle w:val="1"/>
        <w:jc w:val="both"/>
      </w:pPr>
      <w:r>
        <w:rPr>
          <w:sz w:val="20"/>
        </w:rPr>
        <w:t xml:space="preserve">Руководитель юридического лица _________      _____________________________</w:t>
      </w:r>
    </w:p>
    <w:p>
      <w:pPr>
        <w:pStyle w:val="1"/>
        <w:jc w:val="both"/>
      </w:pPr>
      <w:r>
        <w:rPr>
          <w:sz w:val="20"/>
        </w:rPr>
        <w:t xml:space="preserve">                                подпись  М.П.      расшифровка подписи</w:t>
      </w:r>
    </w:p>
    <w:p>
      <w:pPr>
        <w:sectPr>
          <w:headerReference w:type="default" r:id="rId167"/>
          <w:headerReference w:type="first" r:id="rId167"/>
          <w:footerReference w:type="default" r:id="rId168"/>
          <w:footerReference w:type="first" r:id="rId168"/>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субсидий юридическим лицам (за</w:t>
      </w:r>
    </w:p>
    <w:p>
      <w:pPr>
        <w:pStyle w:val="0"/>
        <w:jc w:val="right"/>
      </w:pPr>
      <w:r>
        <w:rPr>
          <w:sz w:val="20"/>
        </w:rPr>
        <w:t xml:space="preserve">исключением государственных (муниципальных)</w:t>
      </w:r>
    </w:p>
    <w:p>
      <w:pPr>
        <w:pStyle w:val="0"/>
        <w:jc w:val="right"/>
      </w:pPr>
      <w:r>
        <w:rPr>
          <w:sz w:val="20"/>
        </w:rPr>
        <w:t xml:space="preserve">учреждений) на возмещение недополученных</w:t>
      </w:r>
    </w:p>
    <w:p>
      <w:pPr>
        <w:pStyle w:val="0"/>
        <w:jc w:val="right"/>
      </w:pPr>
      <w:r>
        <w:rPr>
          <w:sz w:val="20"/>
        </w:rPr>
        <w:t xml:space="preserve">доходов в связи с оформлением отдельными</w:t>
      </w:r>
    </w:p>
    <w:p>
      <w:pPr>
        <w:pStyle w:val="0"/>
        <w:jc w:val="right"/>
      </w:pPr>
      <w:r>
        <w:rPr>
          <w:sz w:val="20"/>
        </w:rPr>
        <w:t xml:space="preserve">категориями граждан ипотечных</w:t>
      </w:r>
    </w:p>
    <w:p>
      <w:pPr>
        <w:pStyle w:val="0"/>
        <w:jc w:val="right"/>
      </w:pPr>
      <w:r>
        <w:rPr>
          <w:sz w:val="20"/>
        </w:rPr>
        <w:t xml:space="preserve">жилищных кредитов (займов)</w:t>
      </w:r>
    </w:p>
    <w:p>
      <w:pPr>
        <w:pStyle w:val="0"/>
        <w:ind w:firstLine="540"/>
        <w:jc w:val="both"/>
      </w:pPr>
      <w:r>
        <w:rPr>
          <w:sz w:val="20"/>
        </w:rPr>
      </w:r>
    </w:p>
    <w:p>
      <w:pPr>
        <w:pStyle w:val="1"/>
        <w:jc w:val="both"/>
      </w:pPr>
      <w:r>
        <w:rPr>
          <w:sz w:val="20"/>
        </w:rPr>
        <w:t xml:space="preserve">                                                       УТВЕРЖДЕНО</w:t>
      </w:r>
    </w:p>
    <w:p>
      <w:pPr>
        <w:pStyle w:val="1"/>
        <w:jc w:val="both"/>
      </w:pPr>
      <w:r>
        <w:rPr>
          <w:sz w:val="20"/>
        </w:rPr>
        <w:t xml:space="preserve">                                                  министр строительства</w:t>
      </w:r>
    </w:p>
    <w:p>
      <w:pPr>
        <w:pStyle w:val="1"/>
        <w:jc w:val="both"/>
      </w:pPr>
      <w:r>
        <w:rPr>
          <w:sz w:val="20"/>
        </w:rPr>
        <w:t xml:space="preserve">                                                  Новосибирской области</w:t>
      </w:r>
    </w:p>
    <w:p>
      <w:pPr>
        <w:pStyle w:val="1"/>
        <w:jc w:val="both"/>
      </w:pPr>
      <w:r>
        <w:rPr>
          <w:sz w:val="20"/>
        </w:rPr>
        <w:t xml:space="preserve">                                              _________ 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                                          М.П.</w:t>
      </w:r>
    </w:p>
    <w:p>
      <w:pPr>
        <w:pStyle w:val="1"/>
        <w:jc w:val="both"/>
      </w:pPr>
      <w:r>
        <w:rPr>
          <w:sz w:val="20"/>
        </w:rPr>
        <w:t xml:space="preserve">                                                "___" __________ 20___ г.</w:t>
      </w:r>
    </w:p>
    <w:p>
      <w:pPr>
        <w:pStyle w:val="1"/>
        <w:jc w:val="both"/>
      </w:pPr>
      <w:r>
        <w:rPr>
          <w:sz w:val="20"/>
        </w:rPr>
      </w:r>
    </w:p>
    <w:bookmarkStart w:id="10061" w:name="P10061"/>
    <w:bookmarkEnd w:id="10061"/>
    <w:p>
      <w:pPr>
        <w:pStyle w:val="1"/>
        <w:jc w:val="both"/>
      </w:pPr>
      <w:r>
        <w:rPr>
          <w:sz w:val="20"/>
        </w:rPr>
        <w:t xml:space="preserve">                                  ЗАЯВКА</w:t>
      </w:r>
    </w:p>
    <w:p>
      <w:pPr>
        <w:pStyle w:val="1"/>
        <w:jc w:val="both"/>
      </w:pPr>
      <w:r>
        <w:rPr>
          <w:sz w:val="20"/>
        </w:rPr>
        <w:t xml:space="preserve">        на предоставление юридическому лицу субсидии на возмещение</w:t>
      </w:r>
    </w:p>
    <w:p>
      <w:pPr>
        <w:pStyle w:val="1"/>
        <w:jc w:val="both"/>
      </w:pPr>
      <w:r>
        <w:rPr>
          <w:sz w:val="20"/>
        </w:rPr>
        <w:t xml:space="preserve">          недополученных доходов в связи с оформлением отдельными</w:t>
      </w:r>
    </w:p>
    <w:p>
      <w:pPr>
        <w:pStyle w:val="1"/>
        <w:jc w:val="both"/>
      </w:pPr>
      <w:r>
        <w:rPr>
          <w:sz w:val="20"/>
        </w:rPr>
        <w:t xml:space="preserve">         категориями граждан ипотечных жилищных кредитов (займов)</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870"/>
        <w:gridCol w:w="1417"/>
        <w:gridCol w:w="1417"/>
        <w:gridCol w:w="1530"/>
        <w:gridCol w:w="1984"/>
        <w:gridCol w:w="1417"/>
        <w:gridCol w:w="1417"/>
        <w:gridCol w:w="2041"/>
      </w:tblGrid>
      <w:tr>
        <w:tc>
          <w:tcPr>
            <w:tcW w:w="510" w:type="dxa"/>
          </w:tcPr>
          <w:p>
            <w:pPr>
              <w:pStyle w:val="0"/>
              <w:jc w:val="center"/>
            </w:pPr>
            <w:r>
              <w:rPr>
                <w:sz w:val="20"/>
              </w:rPr>
              <w:t xml:space="preserve">N п/п</w:t>
            </w:r>
          </w:p>
        </w:tc>
        <w:tc>
          <w:tcPr>
            <w:tcW w:w="1870" w:type="dxa"/>
          </w:tcPr>
          <w:p>
            <w:pPr>
              <w:pStyle w:val="0"/>
              <w:jc w:val="center"/>
            </w:pPr>
            <w:r>
              <w:rPr>
                <w:sz w:val="20"/>
              </w:rPr>
              <w:t xml:space="preserve">Фамилия, имя, отчество (последнее - при наличии) гражданина, оформившего ипотечный жилищный кредит (заем)</w:t>
            </w:r>
          </w:p>
        </w:tc>
        <w:tc>
          <w:tcPr>
            <w:tcW w:w="1417" w:type="dxa"/>
          </w:tcPr>
          <w:p>
            <w:pPr>
              <w:pStyle w:val="0"/>
              <w:jc w:val="center"/>
            </w:pPr>
            <w:r>
              <w:rPr>
                <w:sz w:val="20"/>
              </w:rPr>
              <w:t xml:space="preserve">Регистрационный номер</w:t>
            </w:r>
          </w:p>
        </w:tc>
        <w:tc>
          <w:tcPr>
            <w:tcW w:w="1417" w:type="dxa"/>
          </w:tcPr>
          <w:p>
            <w:pPr>
              <w:pStyle w:val="0"/>
              <w:jc w:val="center"/>
            </w:pPr>
            <w:r>
              <w:rPr>
                <w:sz w:val="20"/>
              </w:rPr>
              <w:t xml:space="preserve">Дата оформления кредита (займа), номер договора</w:t>
            </w:r>
          </w:p>
        </w:tc>
        <w:tc>
          <w:tcPr>
            <w:tcW w:w="1530" w:type="dxa"/>
          </w:tcPr>
          <w:p>
            <w:pPr>
              <w:pStyle w:val="0"/>
              <w:jc w:val="center"/>
            </w:pPr>
            <w:r>
              <w:rPr>
                <w:sz w:val="20"/>
              </w:rPr>
              <w:t xml:space="preserve">Адрес приобретенного жилого помещения</w:t>
            </w:r>
          </w:p>
        </w:tc>
        <w:tc>
          <w:tcPr>
            <w:tcW w:w="1984" w:type="dxa"/>
          </w:tcPr>
          <w:p>
            <w:pPr>
              <w:pStyle w:val="0"/>
              <w:jc w:val="center"/>
            </w:pPr>
            <w:r>
              <w:rPr>
                <w:sz w:val="20"/>
              </w:rPr>
              <w:t xml:space="preserve">Стоимость приобретенного жилого помещения</w:t>
            </w:r>
          </w:p>
        </w:tc>
        <w:tc>
          <w:tcPr>
            <w:tcW w:w="1417" w:type="dxa"/>
          </w:tcPr>
          <w:p>
            <w:pPr>
              <w:pStyle w:val="0"/>
              <w:jc w:val="center"/>
            </w:pPr>
            <w:r>
              <w:rPr>
                <w:sz w:val="20"/>
              </w:rPr>
              <w:t xml:space="preserve">Сумма кредита (займа), рублей</w:t>
            </w:r>
          </w:p>
        </w:tc>
        <w:tc>
          <w:tcPr>
            <w:tcW w:w="1417" w:type="dxa"/>
          </w:tcPr>
          <w:p>
            <w:pPr>
              <w:pStyle w:val="0"/>
              <w:jc w:val="center"/>
            </w:pPr>
            <w:r>
              <w:rPr>
                <w:sz w:val="20"/>
              </w:rPr>
              <w:t xml:space="preserve">Процентная ставка по оформленному кредиту (займу)</w:t>
            </w:r>
          </w:p>
        </w:tc>
        <w:tc>
          <w:tcPr>
            <w:tcW w:w="2041" w:type="dxa"/>
          </w:tcPr>
          <w:p>
            <w:pPr>
              <w:pStyle w:val="0"/>
              <w:jc w:val="center"/>
            </w:pPr>
            <w:r>
              <w:rPr>
                <w:sz w:val="20"/>
              </w:rPr>
              <w:t xml:space="preserve">Размер субсидии юридическому лицу на возмещение недополученного дохода в связи с оформлением гражданином кредита (займа), рублей</w:t>
            </w:r>
          </w:p>
        </w:tc>
      </w:tr>
      <w:tr>
        <w:tc>
          <w:tcPr>
            <w:tcW w:w="510" w:type="dxa"/>
          </w:tcPr>
          <w:p>
            <w:pPr>
              <w:pStyle w:val="0"/>
            </w:pPr>
            <w:r>
              <w:rPr>
                <w:sz w:val="20"/>
              </w:rPr>
            </w:r>
          </w:p>
        </w:tc>
        <w:tc>
          <w:tcPr>
            <w:tcW w:w="1870"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530" w:type="dxa"/>
          </w:tcPr>
          <w:p>
            <w:pPr>
              <w:pStyle w:val="0"/>
            </w:pPr>
            <w:r>
              <w:rPr>
                <w:sz w:val="20"/>
              </w:rPr>
            </w:r>
          </w:p>
        </w:tc>
        <w:tc>
          <w:tcPr>
            <w:tcW w:w="198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2041" w:type="dxa"/>
          </w:tcPr>
          <w:p>
            <w:pPr>
              <w:pStyle w:val="0"/>
            </w:pPr>
            <w:r>
              <w:rPr>
                <w:sz w:val="20"/>
              </w:rPr>
            </w:r>
          </w:p>
        </w:tc>
      </w:tr>
      <w:tr>
        <w:tc>
          <w:tcPr>
            <w:tcW w:w="510" w:type="dxa"/>
          </w:tcPr>
          <w:p>
            <w:pPr>
              <w:pStyle w:val="0"/>
              <w:jc w:val="center"/>
            </w:pPr>
            <w:r>
              <w:rPr>
                <w:sz w:val="20"/>
              </w:rPr>
              <w:t xml:space="preserve">Итого</w:t>
            </w:r>
          </w:p>
        </w:tc>
        <w:tc>
          <w:tcPr>
            <w:tcW w:w="1870"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530" w:type="dxa"/>
          </w:tcPr>
          <w:p>
            <w:pPr>
              <w:pStyle w:val="0"/>
            </w:pPr>
            <w:r>
              <w:rPr>
                <w:sz w:val="20"/>
              </w:rPr>
            </w:r>
          </w:p>
        </w:tc>
        <w:tc>
          <w:tcPr>
            <w:tcW w:w="1984"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2041" w:type="dxa"/>
          </w:tcPr>
          <w:p>
            <w:pPr>
              <w:pStyle w:val="0"/>
            </w:pPr>
            <w:r>
              <w:rPr>
                <w:sz w:val="20"/>
              </w:rPr>
            </w:r>
          </w:p>
        </w:tc>
      </w:tr>
    </w:tbl>
    <w:p>
      <w:pPr>
        <w:pStyle w:val="0"/>
        <w:ind w:firstLine="540"/>
        <w:jc w:val="both"/>
      </w:pPr>
      <w:r>
        <w:rPr>
          <w:sz w:val="20"/>
        </w:rPr>
      </w:r>
    </w:p>
    <w:p>
      <w:pPr>
        <w:pStyle w:val="1"/>
        <w:jc w:val="both"/>
      </w:pPr>
      <w:r>
        <w:rPr>
          <w:sz w:val="20"/>
        </w:rPr>
        <w:t xml:space="preserve">Руководитель юридического лица _________      _____________________________</w:t>
      </w:r>
    </w:p>
    <w:p>
      <w:pPr>
        <w:pStyle w:val="1"/>
        <w:jc w:val="both"/>
      </w:pPr>
      <w:r>
        <w:rPr>
          <w:sz w:val="20"/>
        </w:rPr>
        <w:t xml:space="preserve">                                подпись  М.П.      расшифровка подписи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167"/>
      <w:headerReference w:type="first" r:id="rId167"/>
      <w:footerReference w:type="default" r:id="rId168"/>
      <w:footerReference w:type="first" r:id="rId168"/>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20.02.2015 N 68-п</w:t>
            <w:br/>
            <w:t>(ред. от 17.04.2023)</w:t>
            <w:br/>
            <w:t>"Об утверждении государствен...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25.04.2023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20.02.2015 N 68-п</w:t>
            <w:br/>
            <w:t>(ред. от 17.04.2023)</w:t>
            <w:br/>
            <w:t>"Об утверждении государствен...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4D07B5AC4C1A07D0C9468CBC3C624D4FBD15B4AEE915C5068CC6F8C2B2296D2A5195E3F2E280EED8986EC57DB80D2055168CCB3F57D0022E013D8NBBDD" TargetMode = "External"/>
	<Relationship Id="rId8" Type="http://schemas.openxmlformats.org/officeDocument/2006/relationships/hyperlink" Target="consultantplus://offline/ref=94D07B5AC4C1A07D0C9468CBC3C624D4FBD15B4AEE9657556ACC6F8C2B2296D2A5195E3F2E280EED8986EC57DB80D2055168CCB3F57D0022E013D8NBBDD" TargetMode = "External"/>
	<Relationship Id="rId9" Type="http://schemas.openxmlformats.org/officeDocument/2006/relationships/hyperlink" Target="consultantplus://offline/ref=94D07B5AC4C1A07D0C9468CBC3C624D4FBD15B4AEF9654576FCC6F8C2B2296D2A5195E3F2E280EED8986EC57DB80D2055168CCB3F57D0022E013D8NBBDD" TargetMode = "External"/>
	<Relationship Id="rId10" Type="http://schemas.openxmlformats.org/officeDocument/2006/relationships/hyperlink" Target="consultantplus://offline/ref=94D07B5AC4C1A07D0C9468CBC3C624D4FBD15B4AE791575466C53286237B9AD0A2160128296102EC8986EC52D5DFD7104030C3B4EE630438FC11DABCN1BFD" TargetMode = "External"/>
	<Relationship Id="rId11" Type="http://schemas.openxmlformats.org/officeDocument/2006/relationships/hyperlink" Target="consultantplus://offline/ref=94D07B5AC4C1A07D0C9468CBC3C624D4FBD15B4AE791515469C33286237B9AD0A2160128296102EC8986EC52D5DFD7104030C3B4EE630438FC11DABCN1BFD" TargetMode = "External"/>
	<Relationship Id="rId12" Type="http://schemas.openxmlformats.org/officeDocument/2006/relationships/hyperlink" Target="consultantplus://offline/ref=94D07B5AC4C1A07D0C9468CBC3C624D4FBD15B4AE790545567C73286237B9AD0A2160128296102EC8986EC52D5DFD7104030C3B4EE630438FC11DABCN1BFD" TargetMode = "External"/>
	<Relationship Id="rId13" Type="http://schemas.openxmlformats.org/officeDocument/2006/relationships/hyperlink" Target="consultantplus://offline/ref=94D07B5AC4C1A07D0C9468CBC3C624D4FBD15B4AE79050506EC63286237B9AD0A2160128296102EC8986EC52D5DFD7104030C3B4EE630438FC11DABCN1BFD" TargetMode = "External"/>
	<Relationship Id="rId14" Type="http://schemas.openxmlformats.org/officeDocument/2006/relationships/hyperlink" Target="consultantplus://offline/ref=94D07B5AC4C1A07D0C9468CBC3C624D4FBD15B4AE790525066C73286237B9AD0A2160128296102EC8986EC52D5DFD7104030C3B4EE630438FC11DABCN1BFD" TargetMode = "External"/>
	<Relationship Id="rId15" Type="http://schemas.openxmlformats.org/officeDocument/2006/relationships/hyperlink" Target="consultantplus://offline/ref=94D07B5AC4C1A07D0C9468CBC3C624D4FBD15B4AE790535567C73286237B9AD0A2160128296102EC8986EC52D5DFD7104030C3B4EE630438FC11DABCN1BFD" TargetMode = "External"/>
	<Relationship Id="rId16" Type="http://schemas.openxmlformats.org/officeDocument/2006/relationships/hyperlink" Target="consultantplus://offline/ref=94D07B5AC4C1A07D0C9468CBC3C624D4FBD15B4AE7905C526BC53286237B9AD0A2160128296102EC8986EC52D5DFD7104030C3B4EE630438FC11DABCN1BFD" TargetMode = "External"/>
	<Relationship Id="rId17" Type="http://schemas.openxmlformats.org/officeDocument/2006/relationships/hyperlink" Target="consultantplus://offline/ref=94D07B5AC4C1A07D0C9468CBC3C624D4FBD15B4AE793575066C53286237B9AD0A2160128296102EC8986EC52D5DFD7104030C3B4EE630438FC11DABCN1BFD" TargetMode = "External"/>
	<Relationship Id="rId18" Type="http://schemas.openxmlformats.org/officeDocument/2006/relationships/hyperlink" Target="consultantplus://offline/ref=94D07B5AC4C1A07D0C9468CBC3C624D4FBD15B4AE7935D546DCE3286237B9AD0A2160128296102EC8986EC52D5DFD7104030C3B4EE630438FC11DABCN1BFD" TargetMode = "External"/>
	<Relationship Id="rId19" Type="http://schemas.openxmlformats.org/officeDocument/2006/relationships/hyperlink" Target="consultantplus://offline/ref=94D07B5AC4C1A07D0C9468CBC3C624D4FBD15B4AE79257526AC23286237B9AD0A2160128296102EC8986EC52D5DFD7104030C3B4EE630438FC11DABCN1BFD" TargetMode = "External"/>
	<Relationship Id="rId20" Type="http://schemas.openxmlformats.org/officeDocument/2006/relationships/hyperlink" Target="consultantplus://offline/ref=94D07B5AC4C1A07D0C9468CBC3C624D4FBD15B4AE792575B6DC03286237B9AD0A2160128296102EC8986EC52D5DFD7104030C3B4EE630438FC11DABCN1BFD" TargetMode = "External"/>
	<Relationship Id="rId21" Type="http://schemas.openxmlformats.org/officeDocument/2006/relationships/hyperlink" Target="consultantplus://offline/ref=94D07B5AC4C1A07D0C9468CBC3C624D4FBD15B4AE7925C526ACE3286237B9AD0A2160128296102EC8986EC52D5DFD7104030C3B4EE630438FC11DABCN1BFD" TargetMode = "External"/>
	<Relationship Id="rId22" Type="http://schemas.openxmlformats.org/officeDocument/2006/relationships/hyperlink" Target="consultantplus://offline/ref=94D07B5AC4C1A07D0C9468CBC3C624D4FBD15B4AE795565B6DCF3286237B9AD0A2160128296102EC8986EC52D5DFD7104030C3B4EE630438FC11DABCN1BFD" TargetMode = "External"/>
	<Relationship Id="rId23" Type="http://schemas.openxmlformats.org/officeDocument/2006/relationships/hyperlink" Target="consultantplus://offline/ref=94D07B5AC4C1A07D0C9468CBC3C624D4FBD15B4AE7955C5A6DC63286237B9AD0A2160128296102EC8986EC52D5DFD7104030C3B4EE630438FC11DABCN1BFD" TargetMode = "External"/>
	<Relationship Id="rId24" Type="http://schemas.openxmlformats.org/officeDocument/2006/relationships/hyperlink" Target="consultantplus://offline/ref=94D07B5AC4C1A07D0C9468CBC3C624D4FBD15B4AE794545369C63286237B9AD0A2160128296102EC8986EC52D5DFD7104030C3B4EE630438FC11DABCN1BFD" TargetMode = "External"/>
	<Relationship Id="rId25" Type="http://schemas.openxmlformats.org/officeDocument/2006/relationships/hyperlink" Target="consultantplus://offline/ref=94D07B5AC4C1A07D0C9468CBC3C624D4FBD15B4AE794555568C33286237B9AD0A2160128296102EC8986EC52D5DFD7104030C3B4EE630438FC11DABCN1BFD" TargetMode = "External"/>
	<Relationship Id="rId26" Type="http://schemas.openxmlformats.org/officeDocument/2006/relationships/hyperlink" Target="consultantplus://offline/ref=94D07B5AC4C1A07D0C9468CBC3C624D4FBD15B4AE79457536BC63286237B9AD0A2160128296102EC8986EC52D5DFD7104030C3B4EE630438FC11DABCN1BFD" TargetMode = "External"/>
	<Relationship Id="rId27" Type="http://schemas.openxmlformats.org/officeDocument/2006/relationships/hyperlink" Target="consultantplus://offline/ref=94D07B5AC4C1A07D0C9468CBC3C624D4FBD15B4AE79451576AC63286237B9AD0A2160128296102EC8986EC52D5DFD7104030C3B4EE630438FC11DABCN1BFD" TargetMode = "External"/>
	<Relationship Id="rId28" Type="http://schemas.openxmlformats.org/officeDocument/2006/relationships/hyperlink" Target="consultantplus://offline/ref=94D07B5AC4C1A07D0C9468CBC3C624D4FBD15B4AE7945C5366C63286237B9AD0A2160128296102EC8986EC52D5DFD7104030C3B4EE630438FC11DABCN1BFD" TargetMode = "External"/>
	<Relationship Id="rId29" Type="http://schemas.openxmlformats.org/officeDocument/2006/relationships/hyperlink" Target="consultantplus://offline/ref=94D07B5AC4C1A07D0C9468CBC3C624D4FBD15B4AE79754546DC43286237B9AD0A2160128296102EC8986EC52D5DFD7104030C3B4EE630438FC11DABCN1BFD" TargetMode = "External"/>
	<Relationship Id="rId30" Type="http://schemas.openxmlformats.org/officeDocument/2006/relationships/hyperlink" Target="consultantplus://offline/ref=94D07B5AC4C1A07D0C9468CBC3C624D4FBD15B4AE797555769C23286237B9AD0A2160128296102EC8986EC52D5DFD7104030C3B4EE630438FC11DABCN1BFD" TargetMode = "External"/>
	<Relationship Id="rId31" Type="http://schemas.openxmlformats.org/officeDocument/2006/relationships/hyperlink" Target="consultantplus://offline/ref=94D07B5AC4C1A07D0C9468CBC3C624D4FBD15B4AE79454556BCE3286237B9AD0A2160128296102EC8986EC51D0DFD7104030C3B4EE630438FC11DABCN1BFD" TargetMode = "External"/>
	<Relationship Id="rId32" Type="http://schemas.openxmlformats.org/officeDocument/2006/relationships/hyperlink" Target="consultantplus://offline/ref=94D07B5AC4C1A07D0C9468CBC3C624D4FBD15B4AE794525669C33286237B9AD0A2160128296102EC8986EC51D1DFD7104030C3B4EE630438FC11DABCN1BFD" TargetMode = "External"/>
	<Relationship Id="rId33" Type="http://schemas.openxmlformats.org/officeDocument/2006/relationships/hyperlink" Target="consultantplus://offline/ref=94D07B5AC4C1A07D0C9468CBC3C624D4FBD15B4AE790535567C73286237B9AD0A2160128296102EC8986EC52D7DFD7104030C3B4EE630438FC11DABCN1BFD" TargetMode = "External"/>
	<Relationship Id="rId34" Type="http://schemas.openxmlformats.org/officeDocument/2006/relationships/hyperlink" Target="consultantplus://offline/ref=94D07B5AC4C1A07D0C9468CBC3C624D4FBD15B4AE79257526AC23286237B9AD0A2160128296102EC8986EC52D6DFD7104030C3B4EE630438FC11DABCN1BFD" TargetMode = "External"/>
	<Relationship Id="rId35" Type="http://schemas.openxmlformats.org/officeDocument/2006/relationships/hyperlink" Target="consultantplus://offline/ref=94D07B5AC4C1A07D0C9468CBC3C624D4FBD15B4AE7905C526BC53286237B9AD0A2160128296102EC8986EC52D6DFD7104030C3B4EE630438FC11DABCN1BFD" TargetMode = "External"/>
	<Relationship Id="rId36" Type="http://schemas.openxmlformats.org/officeDocument/2006/relationships/hyperlink" Target="consultantplus://offline/ref=94D07B5AC4C1A07D0C9468CBC3C624D4FBD15B4AE790545567C73286237B9AD0A2160128296102EC8986EC52D6DFD7104030C3B4EE630438FC11DABCN1BFD" TargetMode = "External"/>
	<Relationship Id="rId37" Type="http://schemas.openxmlformats.org/officeDocument/2006/relationships/hyperlink" Target="consultantplus://offline/ref=94D07B5AC4C1A07D0C9468CBC3C624D4FBD15B4AE79050506EC63286237B9AD0A2160128296102EC8986EC52D6DFD7104030C3B4EE630438FC11DABCN1BFD" TargetMode = "External"/>
	<Relationship Id="rId38" Type="http://schemas.openxmlformats.org/officeDocument/2006/relationships/hyperlink" Target="consultantplus://offline/ref=94D07B5AC4C1A07D0C9468CBC3C624D4FBD15B4AE7955C5A6DC63286237B9AD0A2160128296102EC8986EC52D6DFD7104030C3B4EE630438FC11DABCN1BFD" TargetMode = "External"/>
	<Relationship Id="rId39" Type="http://schemas.openxmlformats.org/officeDocument/2006/relationships/hyperlink" Target="consultantplus://offline/ref=94D07B5AC4C1A07D0C9468CBC3C624D4FBD15B4AEE915C5068CC6F8C2B2296D2A5195E3F2E280EED8986EC54DB80D2055168CCB3F57D0022E013D8NBBDD" TargetMode = "External"/>
	<Relationship Id="rId40" Type="http://schemas.openxmlformats.org/officeDocument/2006/relationships/hyperlink" Target="consultantplus://offline/ref=94D07B5AC4C1A07D0C9468CBC3C624D4FBD15B4AEE9657556ACC6F8C2B2296D2A5195E3F2E280EED8986EC54DB80D2055168CCB3F57D0022E013D8NBBDD" TargetMode = "External"/>
	<Relationship Id="rId41" Type="http://schemas.openxmlformats.org/officeDocument/2006/relationships/hyperlink" Target="consultantplus://offline/ref=94D07B5AC4C1A07D0C9468CBC3C624D4FBD15B4AEF9654576FCC6F8C2B2296D2A5195E3F2E280EED8986EC55DB80D2055168CCB3F57D0022E013D8NBBDD" TargetMode = "External"/>
	<Relationship Id="rId42" Type="http://schemas.openxmlformats.org/officeDocument/2006/relationships/hyperlink" Target="consultantplus://offline/ref=94D07B5AC4C1A07D0C9468CBC3C624D4FBD15B4AE791575466C53286237B9AD0A2160128296102EC8986EC52D6DFD7104030C3B4EE630438FC11DABCN1BFD" TargetMode = "External"/>
	<Relationship Id="rId43" Type="http://schemas.openxmlformats.org/officeDocument/2006/relationships/hyperlink" Target="consultantplus://offline/ref=94D07B5AC4C1A07D0C9468CBC3C624D4FBD15B4AE791515469C33286237B9AD0A2160128296102EC8986EC52D6DFD7104030C3B4EE630438FC11DABCN1BFD" TargetMode = "External"/>
	<Relationship Id="rId44" Type="http://schemas.openxmlformats.org/officeDocument/2006/relationships/hyperlink" Target="consultantplus://offline/ref=94D07B5AC4C1A07D0C9468CBC3C624D4FBD15B4AE790545567C73286237B9AD0A2160128296102EC8986EC52D8DFD7104030C3B4EE630438FC11DABCN1BFD" TargetMode = "External"/>
	<Relationship Id="rId45" Type="http://schemas.openxmlformats.org/officeDocument/2006/relationships/hyperlink" Target="consultantplus://offline/ref=94D07B5AC4C1A07D0C9468CBC3C624D4FBD15B4AE79050506EC63286237B9AD0A2160128296102EC8986EC52D7DFD7104030C3B4EE630438FC11DABCN1BFD" TargetMode = "External"/>
	<Relationship Id="rId46" Type="http://schemas.openxmlformats.org/officeDocument/2006/relationships/hyperlink" Target="consultantplus://offline/ref=94D07B5AC4C1A07D0C9468CBC3C624D4FBD15B4AE790525066C73286237B9AD0A2160128296102EC8986EC52D6DFD7104030C3B4EE630438FC11DABCN1BFD" TargetMode = "External"/>
	<Relationship Id="rId47" Type="http://schemas.openxmlformats.org/officeDocument/2006/relationships/hyperlink" Target="consultantplus://offline/ref=94D07B5AC4C1A07D0C9468CBC3C624D4FBD15B4AE790535567C73286237B9AD0A2160128296102EC8986EC52D8DFD7104030C3B4EE630438FC11DABCN1BFD" TargetMode = "External"/>
	<Relationship Id="rId48" Type="http://schemas.openxmlformats.org/officeDocument/2006/relationships/hyperlink" Target="consultantplus://offline/ref=94D07B5AC4C1A07D0C9468CBC3C624D4FBD15B4AE7905C526BC53286237B9AD0A2160128296102EC8986EC52D8DFD7104030C3B4EE630438FC11DABCN1BFD" TargetMode = "External"/>
	<Relationship Id="rId49" Type="http://schemas.openxmlformats.org/officeDocument/2006/relationships/hyperlink" Target="consultantplus://offline/ref=94D07B5AC4C1A07D0C9468CBC3C624D4FBD15B4AE793575066C53286237B9AD0A2160128296102EC8986EC52D6DFD7104030C3B4EE630438FC11DABCN1BFD" TargetMode = "External"/>
	<Relationship Id="rId50" Type="http://schemas.openxmlformats.org/officeDocument/2006/relationships/hyperlink" Target="consultantplus://offline/ref=94D07B5AC4C1A07D0C9468CBC3C624D4FBD15B4AE7935D546DCE3286237B9AD0A2160128296102EC8986EC52D6DFD7104030C3B4EE630438FC11DABCN1BFD" TargetMode = "External"/>
	<Relationship Id="rId51" Type="http://schemas.openxmlformats.org/officeDocument/2006/relationships/hyperlink" Target="consultantplus://offline/ref=94D07B5AC4C1A07D0C9468CBC3C624D4FBD15B4AE79257526AC23286237B9AD0A2160128296102EC8986EC52D7DFD7104030C3B4EE630438FC11DABCN1BFD" TargetMode = "External"/>
	<Relationship Id="rId52" Type="http://schemas.openxmlformats.org/officeDocument/2006/relationships/hyperlink" Target="consultantplus://offline/ref=94D07B5AC4C1A07D0C9468CBC3C624D4FBD15B4AE792575B6DC03286237B9AD0A2160128296102EC8986EC52D6DFD7104030C3B4EE630438FC11DABCN1BFD" TargetMode = "External"/>
	<Relationship Id="rId53" Type="http://schemas.openxmlformats.org/officeDocument/2006/relationships/hyperlink" Target="consultantplus://offline/ref=94D07B5AC4C1A07D0C9468CBC3C624D4FBD15B4AE7925C526ACE3286237B9AD0A2160128296102EC8986EC52D6DFD7104030C3B4EE630438FC11DABCN1BFD" TargetMode = "External"/>
	<Relationship Id="rId54" Type="http://schemas.openxmlformats.org/officeDocument/2006/relationships/hyperlink" Target="consultantplus://offline/ref=94D07B5AC4C1A07D0C9468CBC3C624D4FBD15B4AE7955C5A6DC63286237B9AD0A2160128296102EC8986EC52D7DFD7104030C3B4EE630438FC11DABCN1BFD" TargetMode = "External"/>
	<Relationship Id="rId55" Type="http://schemas.openxmlformats.org/officeDocument/2006/relationships/hyperlink" Target="consultantplus://offline/ref=94D07B5AC4C1A07D0C9468CBC3C624D4FBD15B4AE794545369C63286237B9AD0A2160128296102EC8986EC52D6DFD7104030C3B4EE630438FC11DABCN1BFD" TargetMode = "External"/>
	<Relationship Id="rId56" Type="http://schemas.openxmlformats.org/officeDocument/2006/relationships/hyperlink" Target="consultantplus://offline/ref=94D07B5AC4C1A07D0C9468CBC3C624D4FBD15B4AE794555568C33286237B9AD0A2160128296102EC8986EC52D6DFD7104030C3B4EE630438FC11DABCN1BFD" TargetMode = "External"/>
	<Relationship Id="rId57" Type="http://schemas.openxmlformats.org/officeDocument/2006/relationships/hyperlink" Target="consultantplus://offline/ref=94D07B5AC4C1A07D0C9468CBC3C624D4FBD15B4AE79457536BC63286237B9AD0A2160128296102EC8986EC52D6DFD7104030C3B4EE630438FC11DABCN1BFD" TargetMode = "External"/>
	<Relationship Id="rId58" Type="http://schemas.openxmlformats.org/officeDocument/2006/relationships/hyperlink" Target="consultantplus://offline/ref=94D07B5AC4C1A07D0C9468CBC3C624D4FBD15B4AE7945C5366C63286237B9AD0A2160128296102EC8986EC52D6DFD7104030C3B4EE630438FC11DABCN1BFD" TargetMode = "External"/>
	<Relationship Id="rId59" Type="http://schemas.openxmlformats.org/officeDocument/2006/relationships/hyperlink" Target="consultantplus://offline/ref=94D07B5AC4C1A07D0C9468CBC3C624D4FBD15B4AE79754546DC43286237B9AD0A2160128296102EC8986EC52D6DFD7104030C3B4EE630438FC11DABCN1BFD" TargetMode = "External"/>
	<Relationship Id="rId60" Type="http://schemas.openxmlformats.org/officeDocument/2006/relationships/hyperlink" Target="consultantplus://offline/ref=94D07B5AC4C1A07D0C9468CBC3C624D4FBD15B4AE797555769C23286237B9AD0A2160128296102EC8986EC52D6DFD7104030C3B4EE630438FC11DABCN1BFD" TargetMode = "External"/>
	<Relationship Id="rId61" Type="http://schemas.openxmlformats.org/officeDocument/2006/relationships/hyperlink" Target="consultantplus://offline/ref=94D07B5AC4C1A07D0C9468CBC3C624D4FBD15B4AE790535567C73286237B9AD0A2160128296102EC8986EC53D1DFD7104030C3B4EE630438FC11DABCN1BFD" TargetMode = "External"/>
	<Relationship Id="rId62" Type="http://schemas.openxmlformats.org/officeDocument/2006/relationships/hyperlink" Target="consultantplus://offline/ref=94D07B5AC4C1A07D0C9468CBC3C624D4FBD15B4AE790545567C73286237B9AD0A2160128296102EC8986EC53D0DFD7104030C3B4EE630438FC11DABCN1BFD" TargetMode = "External"/>
	<Relationship Id="rId63" Type="http://schemas.openxmlformats.org/officeDocument/2006/relationships/hyperlink" Target="consultantplus://offline/ref=94D07B5AC4C1A07D0C9468CBC3C624D4FBD15B4AE790545567C73286237B9AD0A2160128296102EC8986EC53D5DFD7104030C3B4EE630438FC11DABCN1BFD" TargetMode = "External"/>
	<Relationship Id="rId64" Type="http://schemas.openxmlformats.org/officeDocument/2006/relationships/hyperlink" Target="consultantplus://offline/ref=94D07B5AC4C1A07D0C9468CBC3C624D4FBD15B4AE790545567C73286237B9AD0A2160128296102EC8986EC53D6DFD7104030C3B4EE630438FC11DABCN1BFD" TargetMode = "External"/>
	<Relationship Id="rId65" Type="http://schemas.openxmlformats.org/officeDocument/2006/relationships/hyperlink" Target="consultantplus://offline/ref=94D07B5AC4C1A07D0C9468CBC3C624D4FBD15B4AE79050506EC63286237B9AD0A2160128296102EC8986EC52D9DFD7104030C3B4EE630438FC11DABCN1BFD" TargetMode = "External"/>
	<Relationship Id="rId66" Type="http://schemas.openxmlformats.org/officeDocument/2006/relationships/hyperlink" Target="consultantplus://offline/ref=94D07B5AC4C1A07D0C9468CBC3C624D4FBD15B4AE7955C5A6DC63286237B9AD0A2160128296102EC8986EC52D9DFD7104030C3B4EE630438FC11DABCN1BFD" TargetMode = "External"/>
	<Relationship Id="rId67" Type="http://schemas.openxmlformats.org/officeDocument/2006/relationships/hyperlink" Target="consultantplus://offline/ref=94D07B5AC4C1A07D0C9468CBC3C624D4FBD15B4AE7945C5366C63286237B9AD0A2160128296102EC8986EC52D8DFD7104030C3B4EE630438FC11DABCN1BFD" TargetMode = "External"/>
	<Relationship Id="rId68" Type="http://schemas.openxmlformats.org/officeDocument/2006/relationships/hyperlink" Target="consultantplus://offline/ref=94D07B5AC4C1A07D0C9468CBC3C624D4FBD15B4AE79050506EC63286237B9AD0A2160128296102EC8986EC53D0DFD7104030C3B4EE630438FC11DABCN1BFD" TargetMode = "External"/>
	<Relationship Id="rId69" Type="http://schemas.openxmlformats.org/officeDocument/2006/relationships/hyperlink" Target="consultantplus://offline/ref=94D07B5AC4C1A07D0C9468CBC3C624D4FBD15B4AE79257526AC23286237B9AD0A2160128296102EC8986EC52D9DFD7104030C3B4EE630438FC11DABCN1BFD" TargetMode = "External"/>
	<Relationship Id="rId70" Type="http://schemas.openxmlformats.org/officeDocument/2006/relationships/hyperlink" Target="consultantplus://offline/ref=94D07B5AC4C1A07D0C9468CBC3C624D4FBD15B4AE7925C526ACE3286237B9AD0A2160128296102EC8986EC52D8DFD7104030C3B4EE630438FC11DABCN1BFD" TargetMode = "External"/>
	<Relationship Id="rId71" Type="http://schemas.openxmlformats.org/officeDocument/2006/relationships/hyperlink" Target="consultantplus://offline/ref=94D07B5AC4C1A07D0C9468CBC3C624D4FBD15B4AEF9654576FCC6F8C2B2296D2A5195E3F2E280EED8986ED57DB80D2055168CCB3F57D0022E013D8NBBDD" TargetMode = "External"/>
	<Relationship Id="rId72" Type="http://schemas.openxmlformats.org/officeDocument/2006/relationships/hyperlink" Target="consultantplus://offline/ref=94D07B5AC4C1A07D0C9468CBC3C624D4FBD15B4AEF9654576FCC6F8C2B2296D2A5195E3F2E280EED8986ED55DB80D2055168CCB3F57D0022E013D8NBBDD" TargetMode = "External"/>
	<Relationship Id="rId73" Type="http://schemas.openxmlformats.org/officeDocument/2006/relationships/hyperlink" Target="consultantplus://offline/ref=94D07B5AC4C1A07D0C9468CBC3C624D4FBD15B4AE790545567C73286237B9AD0A2160128296102EC8986EC50D5DFD7104030C3B4EE630438FC11DABCN1BFD" TargetMode = "External"/>
	<Relationship Id="rId74" Type="http://schemas.openxmlformats.org/officeDocument/2006/relationships/hyperlink" Target="consultantplus://offline/ref=94D07B5AC4C1A07D0C9468CBC3C624D4FBD15B4AE7935D546DCE3286237B9AD0A2160128296102EC8986EC52D8DFD7104030C3B4EE630438FC11DABCN1BFD" TargetMode = "External"/>
	<Relationship Id="rId75" Type="http://schemas.openxmlformats.org/officeDocument/2006/relationships/hyperlink" Target="consultantplus://offline/ref=94D07B5AC4C1A07D0C9468CBC3C624D4FBD15B4AE7925C526ACE3286237B9AD0A2160128296102EC8986EC52D9DFD7104030C3B4EE630438FC11DABCN1BFD" TargetMode = "External"/>
	<Relationship Id="rId76" Type="http://schemas.openxmlformats.org/officeDocument/2006/relationships/hyperlink" Target="consultantplus://offline/ref=94D07B5AC4C1A07D0C9468CBC3C624D4FBD15B4AE790535567C73286237B9AD0A2160128296102EC8986EC53D2DFD7104030C3B4EE630438FC11DABCN1BFD" TargetMode = "External"/>
	<Relationship Id="rId77" Type="http://schemas.openxmlformats.org/officeDocument/2006/relationships/hyperlink" Target="consultantplus://offline/ref=94D07B5AC4C1A07D0C9468CBC3C624D4FBD15B4AE7935D546DCE3286237B9AD0A2160128296102EC8986EC53D0DFD7104030C3B4EE630438FC11DABCN1BFD" TargetMode = "External"/>
	<Relationship Id="rId78" Type="http://schemas.openxmlformats.org/officeDocument/2006/relationships/hyperlink" Target="consultantplus://offline/ref=94D07B5AC4C1A07D0C9468CBC3C624D4FBD15B4AE7945C5366C63286237B9AD0A2160128296102EC8986EC52D9DFD7104030C3B4EE630438FC11DABCN1BFD" TargetMode = "External"/>
	<Relationship Id="rId79" Type="http://schemas.openxmlformats.org/officeDocument/2006/relationships/hyperlink" Target="consultantplus://offline/ref=94D07B5AC4C1A07D0C9468CBC3C624D4FBD15B4AE79754546DC43286237B9AD0A2160128296102EC8986EC52D8DFD7104030C3B4EE630438FC11DABCN1BFD" TargetMode = "External"/>
	<Relationship Id="rId80" Type="http://schemas.openxmlformats.org/officeDocument/2006/relationships/hyperlink" Target="consultantplus://offline/ref=94D07B5AC4C1A07D0C9468CBC3C624D4FBD15B4AE7935D546DCE3286237B9AD0A2160128296102EC8986EC53D7DFD7104030C3B4EE630438FC11DABCN1BFD" TargetMode = "External"/>
	<Relationship Id="rId81" Type="http://schemas.openxmlformats.org/officeDocument/2006/relationships/hyperlink" Target="consultantplus://offline/ref=94D07B5AC4C1A07D0C9468CBC3C624D4FBD15B4AE794545369C63286237B9AD0A2160128296102EC8986EC53D7DFD7104030C3B4EE630438FC11DABCN1BFD" TargetMode = "External"/>
	<Relationship Id="rId82" Type="http://schemas.openxmlformats.org/officeDocument/2006/relationships/hyperlink" Target="consultantplus://offline/ref=94D07B5AC4C1A07D0C9468CBC3C624D4FBD15B4AE79050506EC63286237B9AD0A2160128296102EC8986EC50D3DFD7104030C3B4EE630438FC11DABCN1BFD" TargetMode = "External"/>
	<Relationship Id="rId83" Type="http://schemas.openxmlformats.org/officeDocument/2006/relationships/hyperlink" Target="consultantplus://offline/ref=94D07B5AC4C1A07D0C9468CBC3C624D4FBD15B4AE790535567C73286237B9AD0A2160128296102EC8986EC53D8DFD7104030C3B4EE630438FC11DABCN1BFD" TargetMode = "External"/>
	<Relationship Id="rId84" Type="http://schemas.openxmlformats.org/officeDocument/2006/relationships/hyperlink" Target="consultantplus://offline/ref=94D07B5AC4C1A07D0C9468CBC3C624D4FBD15B4AE794545369C63286237B9AD0A2160128296102EC8986EC53D7DFD7104030C3B4EE630438FC11DABCN1BFD" TargetMode = "External"/>
	<Relationship Id="rId85" Type="http://schemas.openxmlformats.org/officeDocument/2006/relationships/hyperlink" Target="consultantplus://offline/ref=94D07B5AC4C1A07D0C9468CBC3C624D4FBD15B4AE79754546DC43286237B9AD0A2160128296102EC8986EC53D3DFD7104030C3B4EE630438FC11DABCN1BFD" TargetMode = "External"/>
	<Relationship Id="rId86" Type="http://schemas.openxmlformats.org/officeDocument/2006/relationships/hyperlink" Target="consultantplus://offline/ref=94D07B5AC4C1A07D0C9468CBC3C624D4FBD15B4AE7945C5366C63286237B9AD0A2160128296102EC8986EC54D9DFD7104030C3B4EE630438FC11DABCN1BFD" TargetMode = "External"/>
	<Relationship Id="rId87" Type="http://schemas.openxmlformats.org/officeDocument/2006/relationships/hyperlink" Target="consultantplus://offline/ref=94D07B5AC4C1A07D0C9468CBC3C624D4FBD15B4AE794545369C63286237B9AD0A2160128296102EC8986EC53D8DFD7104030C3B4EE630438FC11DABCN1BFD" TargetMode = "External"/>
	<Relationship Id="rId88" Type="http://schemas.openxmlformats.org/officeDocument/2006/relationships/hyperlink" Target="consultantplus://offline/ref=94D07B5AC4C1A07D0C9468CBC3C624D4FBD15B4AE79050506EC63286237B9AD0A2160128296102EC8986EC50D8DFD7104030C3B4EE630438FC11DABCN1BFD" TargetMode = "External"/>
	<Relationship Id="rId89" Type="http://schemas.openxmlformats.org/officeDocument/2006/relationships/hyperlink" Target="consultantplus://offline/ref=94D07B5AC4C1A07D0C9468CBC3C624D4FBD15B4AE790525066C73286237B9AD0A2160128296102EC8986EC53D5DFD7104030C3B4EE630438FC11DABCN1BFD" TargetMode = "External"/>
	<Relationship Id="rId90" Type="http://schemas.openxmlformats.org/officeDocument/2006/relationships/hyperlink" Target="consultantplus://offline/ref=94D07B5AC4C1A07D0C9468CBC3C624D4FBD15B4AE790535567C73286237B9AD0A2160128296102EC8986EC50D0DFD7104030C3B4EE630438FC11DABCN1BFD" TargetMode = "External"/>
	<Relationship Id="rId91" Type="http://schemas.openxmlformats.org/officeDocument/2006/relationships/hyperlink" Target="consultantplus://offline/ref=94D07B5AC4C1A07D0C9468CBC3C624D4FBD15B4AE793575066C53286237B9AD0A2160128296102EC8986EC53D7DFD7104030C3B4EE630438FC11DABCN1BFD" TargetMode = "External"/>
	<Relationship Id="rId92" Type="http://schemas.openxmlformats.org/officeDocument/2006/relationships/hyperlink" Target="consultantplus://offline/ref=94D07B5AC4C1A07D0C9468CBC3C624D4FBD15B4AE7935D546DCE3286237B9AD0A2160128296102EC8986EC50D2DFD7104030C3B4EE630438FC11DABCN1BFD" TargetMode = "External"/>
	<Relationship Id="rId93" Type="http://schemas.openxmlformats.org/officeDocument/2006/relationships/hyperlink" Target="consultantplus://offline/ref=94D07B5AC4C1A07D0C9468CBC3C624D4FBD15B4AE7925C526ACE3286237B9AD0A2160128296102EC8986EC51D9DFD7104030C3B4EE630438FC11DABCN1BFD" TargetMode = "External"/>
	<Relationship Id="rId94" Type="http://schemas.openxmlformats.org/officeDocument/2006/relationships/hyperlink" Target="consultantplus://offline/ref=94D07B5AC4C1A07D0C9468CBC3C624D4FBD15B4AE794545369C63286237B9AD0A2160128296102EC8986EC53D8DFD7104030C3B4EE630438FC11DABCN1BFD" TargetMode = "External"/>
	<Relationship Id="rId95" Type="http://schemas.openxmlformats.org/officeDocument/2006/relationships/hyperlink" Target="consultantplus://offline/ref=94D07B5AC4C1A07D0C9468CBC3C624D4FBD15B4AE7945C5366C63286237B9AD0A2160128296102EC8986EC54D9DFD7104030C3B4EE630438FC11DABCN1BFD" TargetMode = "External"/>
	<Relationship Id="rId96" Type="http://schemas.openxmlformats.org/officeDocument/2006/relationships/hyperlink" Target="consultantplus://offline/ref=94D07B5AC4C1A07D0C9468CBC3C624D4FBD15B4AE79050506EC63286237B9AD0A2160128296102EC8986EC51D4DFD7104030C3B4EE630438FC11DABCN1BFD" TargetMode = "External"/>
	<Relationship Id="rId97" Type="http://schemas.openxmlformats.org/officeDocument/2006/relationships/hyperlink" Target="consultantplus://offline/ref=94D07B5AC4C1A07D0C9468CBC3C624D4FBD15B4AEF9654576FCC6F8C2B2296D2A5195E3F2E280EED8986EF55DB80D2055168CCB3F57D0022E013D8NBBDD" TargetMode = "External"/>
	<Relationship Id="rId98" Type="http://schemas.openxmlformats.org/officeDocument/2006/relationships/hyperlink" Target="consultantplus://offline/ref=94D07B5AC4C1A07D0C9468CBC3C624D4FBD15B4AE790545567C73286237B9AD0A2160128296102EC8986EC56D4DFD7104030C3B4EE630438FC11DABCN1BFD" TargetMode = "External"/>
	<Relationship Id="rId99" Type="http://schemas.openxmlformats.org/officeDocument/2006/relationships/hyperlink" Target="consultantplus://offline/ref=94D07B5AC4C1A07D0C9468CBC3C624D4FBD15B4AE79050506EC63286237B9AD0A2160128296102EC8986EC51D4DFD7104030C3B4EE630438FC11DABCN1BFD" TargetMode = "External"/>
	<Relationship Id="rId100" Type="http://schemas.openxmlformats.org/officeDocument/2006/relationships/hyperlink" Target="consultantplus://offline/ref=94D07B5AC4C1A07D0C9468CBC3C624D4FBD15B4AEF9654576FCC6F8C2B2296D2A5195E3F2E280EED8986EF5BDB80D2055168CCB3F57D0022E013D8NBBDD" TargetMode = "External"/>
	<Relationship Id="rId101" Type="http://schemas.openxmlformats.org/officeDocument/2006/relationships/hyperlink" Target="consultantplus://offline/ref=94D07B5AC4C1A07D0C9468CBC3C624D4FBD15B4AE790545567C73286237B9AD0A2160128296102EC8986EC56D4DFD7104030C3B4EE630438FC11DABCN1BFD" TargetMode = "External"/>
	<Relationship Id="rId102" Type="http://schemas.openxmlformats.org/officeDocument/2006/relationships/hyperlink" Target="consultantplus://offline/ref=94D07B5AC4C1A07D0C9468CBC3C624D4FBD15B4AEF9654576FCC6F8C2B2296D2A5195E3F2E280EED8986E852DB80D2055168CCB3F57D0022E013D8NBBDD" TargetMode = "External"/>
	<Relationship Id="rId103" Type="http://schemas.openxmlformats.org/officeDocument/2006/relationships/hyperlink" Target="consultantplus://offline/ref=94D07B5AC4C1A07D0C9468CBC3C624D4FBD15B4AEF9654576FCC6F8C2B2296D2A5195E3F2E280EED8986E853DB80D2055168CCB3F57D0022E013D8NBBDD" TargetMode = "External"/>
	<Relationship Id="rId104" Type="http://schemas.openxmlformats.org/officeDocument/2006/relationships/hyperlink" Target="consultantplus://offline/ref=94D07B5AC4C1A07D0C9468CBC3C624D4FBD15B4AE793535B68C53286237B9AD0A2160128296102EC8986EC53D1DFD7104030C3B4EE630438FC11DABCN1BFD" TargetMode = "External"/>
	<Relationship Id="rId105" Type="http://schemas.openxmlformats.org/officeDocument/2006/relationships/hyperlink" Target="consultantplus://offline/ref=94D07B5AC4C1A07D0C9468CBC3C624D4FBD15B4AEF9654576FCC6F8C2B2296D2A5195E3F2E280EED8986E850DB80D2055168CCB3F57D0022E013D8NBBDD" TargetMode = "External"/>
	<Relationship Id="rId106" Type="http://schemas.openxmlformats.org/officeDocument/2006/relationships/hyperlink" Target="consultantplus://offline/ref=94D07B5AC4C1A07D0C9468CBC3C624D4FBD15B4AE790515668C43286237B9AD0A21601283B615AE08B83F252D4CA814106N6B6D" TargetMode = "External"/>
	<Relationship Id="rId107" Type="http://schemas.openxmlformats.org/officeDocument/2006/relationships/hyperlink" Target="consultantplus://offline/ref=94D07B5AC4C1A07D0C9468CBC3C624D4FBD15B4AE7925C526ACE3286237B9AD0A2160128296102EC8986EC56D2DFD7104030C3B4EE630438FC11DABCN1BFD" TargetMode = "External"/>
	<Relationship Id="rId108" Type="http://schemas.openxmlformats.org/officeDocument/2006/relationships/hyperlink" Target="consultantplus://offline/ref=94D07B5AC4C1A07D0C9468CBC3C624D4FBD15B4AE19755536ECC6F8C2B2296D2A5195E2D2E7002EF8C98EC56CED68343N0B7D" TargetMode = "External"/>
	<Relationship Id="rId109" Type="http://schemas.openxmlformats.org/officeDocument/2006/relationships/hyperlink" Target="consultantplus://offline/ref=94D07B5AC4C1A07D0C9468CBC3C624D4FBD15B4AE790545567C73286237B9AD0A2160128296102EC8986EC56D5DFD7104030C3B4EE630438FC11DABCN1BFD" TargetMode = "External"/>
	<Relationship Id="rId110" Type="http://schemas.openxmlformats.org/officeDocument/2006/relationships/hyperlink" Target="consultantplus://offline/ref=94D07B5AC4C1A07D0C9468CBC3C624D4FBD15B4AE790545567C73286237B9AD0A2160128296102EC8986EC56D6DFD7104030C3B4EE630438FC11DABCN1BFD" TargetMode = "External"/>
	<Relationship Id="rId111" Type="http://schemas.openxmlformats.org/officeDocument/2006/relationships/hyperlink" Target="consultantplus://offline/ref=94D07B5AC4C1A07D0C9476C6D5AA7ADDFBDF0C40E59A020E3BCA38D37B24C380E547077E6F3B0FE99784EC50NDB3D" TargetMode = "External"/>
	<Relationship Id="rId112" Type="http://schemas.openxmlformats.org/officeDocument/2006/relationships/hyperlink" Target="consultantplus://offline/ref=94D07B5AC4C1A07D0C9476C6D5AA7ADDF6D90C44EE995F04339334D17C2B9C85E256077D6A250FED808DB80394818E43017BCEB2F57F043ENEB1D" TargetMode = "External"/>
	<Relationship Id="rId113" Type="http://schemas.openxmlformats.org/officeDocument/2006/relationships/hyperlink" Target="consultantplus://offline/ref=94D07B5AC4C1A07D0C9468CBC3C624D4FBD15B4AEE9252526CCC6F8C2B2296D2A5195E3F2E280EED8986EC5BDB80D2055168CCB3F57D0022E013D8NBBDD" TargetMode = "External"/>
	<Relationship Id="rId114" Type="http://schemas.openxmlformats.org/officeDocument/2006/relationships/hyperlink" Target="consultantplus://offline/ref=94D07B5AC4C1A07D0C9468CBC3C624D4FBD15B4AEE9252526CCC6F8C2B2296D2A5195E3F2E280EED8986EC5BDB80D2055168CCB3F57D0022E013D8NBBDD" TargetMode = "External"/>
	<Relationship Id="rId115" Type="http://schemas.openxmlformats.org/officeDocument/2006/relationships/hyperlink" Target="consultantplus://offline/ref=94D07B5AC4C1A07D0C9468CBC3C624D4FBD15B4AE79050506EC63286237B9AD0A2160128296102EC8986EC51D4DFD7104030C3B4EE630438FC11DABCN1BFD" TargetMode = "External"/>
	<Relationship Id="rId116" Type="http://schemas.openxmlformats.org/officeDocument/2006/relationships/hyperlink" Target="consultantplus://offline/ref=94D07B5AC4C1A07D0C9476C6D5AA7ADDF3D80C44E5945F04339334D17C2B9C85F0565F71682011ED8D98EE52D2NDB7D" TargetMode = "External"/>
	<Relationship Id="rId117" Type="http://schemas.openxmlformats.org/officeDocument/2006/relationships/hyperlink" Target="consultantplus://offline/ref=94D07B5AC4C1A07D0C9476C6D5AA7ADDF1DF0D47E4975F04339334D17C2B9C85F0565F71682011ED8D98EE52D2NDB7D" TargetMode = "External"/>
	<Relationship Id="rId118" Type="http://schemas.openxmlformats.org/officeDocument/2006/relationships/hyperlink" Target="consultantplus://offline/ref=94D07B5AC4C1A07D0C9476C6D5AA7ADDF1DF024EE4965F04339334D17C2B9C85F0565F71682011ED8D98EE52D2NDB7D" TargetMode = "External"/>
	<Relationship Id="rId119" Type="http://schemas.openxmlformats.org/officeDocument/2006/relationships/hyperlink" Target="consultantplus://offline/ref=94D07B5AC4C1A07D0C9476C6D5AA7ADDF6DE074FE1965F04339334D17C2B9C85E256077D6A250FEC808DB80394818E43017BCEB2F57F043ENEB1D" TargetMode = "External"/>
	<Relationship Id="rId120" Type="http://schemas.openxmlformats.org/officeDocument/2006/relationships/hyperlink" Target="consultantplus://offline/ref=94D07B5AC4C1A07D0C9468CBC3C624D4FBD15B4AE79050506EC63286237B9AD0A2160128296102EC8986EC51D5DFD7104030C3B4EE630438FC11DABCN1BFD" TargetMode = "External"/>
	<Relationship Id="rId121" Type="http://schemas.openxmlformats.org/officeDocument/2006/relationships/hyperlink" Target="consultantplus://offline/ref=94D07B5AC4C1A07D0C9468CBC3C624D4FBD15B4AE790535567C73286237B9AD0A2160128296102EC8986EC50D6DFD7104030C3B4EE630438FC11DABCN1BFD" TargetMode = "External"/>
	<Relationship Id="rId122" Type="http://schemas.openxmlformats.org/officeDocument/2006/relationships/hyperlink" Target="consultantplus://offline/ref=94D07B5AC4C1A07D0C9468CBC3C624D4FBD15B4AE7945C5366C63286237B9AD0A2160128296102EC8986EC55D0DFD7104030C3B4EE630438FC11DABCN1BFD" TargetMode = "External"/>
	<Relationship Id="rId123" Type="http://schemas.openxmlformats.org/officeDocument/2006/relationships/hyperlink" Target="consultantplus://offline/ref=94D07B5AC4C1A07D0C9476C6D5AA7ADDF6DE074FE1965F04339334D17C2B9C85E256077D6A250FEC808DB80394818E43017BCEB2F57F043ENEB1D" TargetMode = "External"/>
	<Relationship Id="rId124" Type="http://schemas.openxmlformats.org/officeDocument/2006/relationships/hyperlink" Target="consultantplus://offline/ref=94D07B5AC4C1A07D0C9476C6D5AA7ADDF6D90343E7905F04339334D17C2B9C85F0565F71682011ED8D98EE52D2NDB7D" TargetMode = "External"/>
	<Relationship Id="rId125" Type="http://schemas.openxmlformats.org/officeDocument/2006/relationships/hyperlink" Target="consultantplus://offline/ref=94D07B5AC4C1A07D0C9468CBC3C624D4FBD15B4AEF9654576FCC6F8C2B2296D2A5195E3F2E280EED8986E856DB80D2055168CCB3F57D0022E013D8NBBDD" TargetMode = "External"/>
	<Relationship Id="rId126" Type="http://schemas.openxmlformats.org/officeDocument/2006/relationships/hyperlink" Target="consultantplus://offline/ref=94D07B5AC4C1A07D0C9468CBC3C624D4FBD15B4AE79050506EC63286237B9AD0A2160128296102EC8986EC51D9DFD7104030C3B4EE630438FC11DABCN1BFD" TargetMode = "External"/>
	<Relationship Id="rId127" Type="http://schemas.openxmlformats.org/officeDocument/2006/relationships/hyperlink" Target="consultantplus://offline/ref=94D07B5AC4C1A07D0C9468CBC3C624D4FBD15B4AE790535567C73286237B9AD0A2160128296102EC8986EC50D6DFD7104030C3B4EE630438FC11DABCN1BFD" TargetMode = "External"/>
	<Relationship Id="rId128" Type="http://schemas.openxmlformats.org/officeDocument/2006/relationships/hyperlink" Target="consultantplus://offline/ref=94D07B5AC4C1A07D0C9468CBC3C624D4FBD15B4AE79050506EC63286237B9AD0A2160128296102EC8986EC56D0DFD7104030C3B4EE630438FC11DABCN1BFD" TargetMode = "External"/>
	<Relationship Id="rId129" Type="http://schemas.openxmlformats.org/officeDocument/2006/relationships/hyperlink" Target="consultantplus://offline/ref=94D07B5AC4C1A07D0C9468CBC3C624D4FBD15B4AE79754546DC43286237B9AD0A2160128296102EC8986EC53D4DFD7104030C3B4EE630438FC11DABCN1BFD" TargetMode = "External"/>
	<Relationship Id="rId130" Type="http://schemas.openxmlformats.org/officeDocument/2006/relationships/hyperlink" Target="consultantplus://offline/ref=94D07B5AC4C1A07D0C9476C6D5AA7ADDF6D90343E7905F04339334D17C2B9C85F0565F71682011ED8D98EE52D2NDB7D" TargetMode = "External"/>
	<Relationship Id="rId131" Type="http://schemas.openxmlformats.org/officeDocument/2006/relationships/hyperlink" Target="consultantplus://offline/ref=94D07B5AC4C1A07D0C9468CBC3C624D4FBD15B4AE7935D546DCE3286237B9AD0A2160128296102EC8986EC50D5DFD7104030C3B4EE630438FC11DABCN1BFD" TargetMode = "External"/>
	<Relationship Id="rId132" Type="http://schemas.openxmlformats.org/officeDocument/2006/relationships/hyperlink" Target="consultantplus://offline/ref=94D07B5AC4C1A07D0C9468CBC3C624D4FBD15B4AEF9654576FCC6F8C2B2296D2A5195E3F2E280EED8986E950DB80D2055168CCB3F57D0022E013D8NBBDD" TargetMode = "External"/>
	<Relationship Id="rId133" Type="http://schemas.openxmlformats.org/officeDocument/2006/relationships/hyperlink" Target="consultantplus://offline/ref=94D07B5AC4C1A07D0C9468CBC3C624D4FBD15B4AE790545567C73286237B9AD0A2160128296102EC8986EC57D0DFD7104030C3B4EE630438FC11DABCN1BFD" TargetMode = "External"/>
	<Relationship Id="rId134" Type="http://schemas.openxmlformats.org/officeDocument/2006/relationships/hyperlink" Target="consultantplus://offline/ref=94D07B5AC4C1A07D0C9468CBC3C624D4FBD15B4AEF9654576FCC6F8C2B2296D2A5195E3F2E280EED8986E956DB80D2055168CCB3F57D0022E013D8NBBDD" TargetMode = "External"/>
	<Relationship Id="rId135" Type="http://schemas.openxmlformats.org/officeDocument/2006/relationships/hyperlink" Target="consultantplus://offline/ref=94D07B5AC4C1A07D0C9468CBC3C624D4FBD15B4AEF9654576FCC6F8C2B2296D2A5195E3F2E280EED8986E957DB80D2055168CCB3F57D0022E013D8NBBDD" TargetMode = "External"/>
	<Relationship Id="rId136" Type="http://schemas.openxmlformats.org/officeDocument/2006/relationships/hyperlink" Target="consultantplus://offline/ref=94D07B5AC4C1A07D0C9468CBC3C624D4FBD15B4AE790545567C73286237B9AD0A2160128296102EC8986EC57D1DFD7104030C3B4EE630438FC11DABCN1BFD" TargetMode = "External"/>
	<Relationship Id="rId137" Type="http://schemas.openxmlformats.org/officeDocument/2006/relationships/hyperlink" Target="consultantplus://offline/ref=94D07B5AC4C1A07D0C9468CBC3C624D4FBD15B4AEF9654576FCC6F8C2B2296D2A5195E3F2E280EED8986E955DB80D2055168CCB3F57D0022E013D8NBBDD" TargetMode = "External"/>
	<Relationship Id="rId138" Type="http://schemas.openxmlformats.org/officeDocument/2006/relationships/hyperlink" Target="consultantplus://offline/ref=94D07B5AC4C1A07D0C9468CBC3C624D4FBD15B4AEF9654576FCC6F8C2B2296D2A5195E3F2E280EED8986E95BDB80D2055168CCB3F57D0022E013D8NBBDD" TargetMode = "External"/>
	<Relationship Id="rId139" Type="http://schemas.openxmlformats.org/officeDocument/2006/relationships/hyperlink" Target="consultantplus://offline/ref=94D07B5AC4C1A07D0C9468CBC3C624D4FBD15B4AE790545567C73286237B9AD0A2160128296102EC8986EC57D2DFD7104030C3B4EE630438FC11DABCN1BFD" TargetMode = "External"/>
	<Relationship Id="rId140" Type="http://schemas.openxmlformats.org/officeDocument/2006/relationships/hyperlink" Target="consultantplus://offline/ref=94D07B5AC4C1A07D0C9468CBC3C624D4FBD15B4AE790545567C73286237B9AD0A2160128296102EC8986EC57D4DFD7104030C3B4EE630438FC11DABCN1BFD" TargetMode = "External"/>
	<Relationship Id="rId141" Type="http://schemas.openxmlformats.org/officeDocument/2006/relationships/hyperlink" Target="consultantplus://offline/ref=94D07B5AC4C1A07D0C9468CBC3C624D4FBD15B4AEF9654576FCC6F8C2B2296D2A5195E3F2E280EED8986EA50DB80D2055168CCB3F57D0022E013D8NBBDD" TargetMode = "External"/>
	<Relationship Id="rId142" Type="http://schemas.openxmlformats.org/officeDocument/2006/relationships/hyperlink" Target="consultantplus://offline/ref=94D07B5AC4C1A07D0C9468CBC3C624D4FBD15B4AE790545567C73286237B9AD0A2160128296102EC8986EC57D5DFD7104030C3B4EE630438FC11DABCN1BFD" TargetMode = "External"/>
	<Relationship Id="rId143" Type="http://schemas.openxmlformats.org/officeDocument/2006/relationships/hyperlink" Target="consultantplus://offline/ref=94D07B5AC4C1A07D0C9468CBC3C624D4FBD15B4AE79450536FC53286237B9AD0A2160128296102EC8986EC53D2DFD7104030C3B4EE630438FC11DABCN1BFD" TargetMode = "External"/>
	<Relationship Id="rId144" Type="http://schemas.openxmlformats.org/officeDocument/2006/relationships/hyperlink" Target="consultantplus://offline/ref=94D07B5AC4C1A07D0C9468CBC3C624D4FBD15B4AE79450536FC53286237B9AD0A2160128296102EC8986EC53D2DFD7104030C3B4EE630438FC11DABCN1BFD" TargetMode = "External"/>
	<Relationship Id="rId145" Type="http://schemas.openxmlformats.org/officeDocument/2006/relationships/hyperlink" Target="consultantplus://offline/ref=94D07B5AC4C1A07D0C9476C6D5AA7ADDF6D90343E7905F04339334D17C2B9C85E256077D6A2409EB8A8DB80394818E43017BCEB2F57F043ENEB1D" TargetMode = "External"/>
	<Relationship Id="rId146" Type="http://schemas.openxmlformats.org/officeDocument/2006/relationships/hyperlink" Target="consultantplus://offline/ref=94D07B5AC4C1A07D0C9476C6D5AA7ADDF6D90343E7905F04339334D17C2B9C85E256077D6A2408EF8D8DB80394818E43017BCEB2F57F043ENEB1D" TargetMode = "External"/>
	<Relationship Id="rId147" Type="http://schemas.openxmlformats.org/officeDocument/2006/relationships/hyperlink" Target="consultantplus://offline/ref=94D07B5AC4C1A07D0C9476C6D5AA7ADDF6D90343E7905F04339334D17C2B9C85F0565F71682011ED8D98EE52D2NDB7D" TargetMode = "External"/>
	<Relationship Id="rId148" Type="http://schemas.openxmlformats.org/officeDocument/2006/relationships/hyperlink" Target="consultantplus://offline/ref=94D07B5AC4C1A07D0C9476C6D5AA7ADDF6D90343E7905F04339334D17C2B9C85E256077D6A250DEE8E8DB80394818E43017BCEB2F57F043ENEB1D" TargetMode = "External"/>
	<Relationship Id="rId149" Type="http://schemas.openxmlformats.org/officeDocument/2006/relationships/hyperlink" Target="consultantplus://offline/ref=94D07B5AC4C1A07D0C9468CBC3C624D4FBD15B4AE7945C5366C63286237B9AD0A2160128296102EC8986EC55D2DFD7104030C3B4EE630438FC11DABCN1BFD" TargetMode = "External"/>
	<Relationship Id="rId150" Type="http://schemas.openxmlformats.org/officeDocument/2006/relationships/hyperlink" Target="consultantplus://offline/ref=94D07B5AC4C1A07D0C9468CBC3C624D4FBD15B4AEF9654576FCC6F8C2B2296D2A5195E3F2E280EED8986EA51DB80D2055168CCB3F57D0022E013D8NBBDD" TargetMode = "External"/>
	<Relationship Id="rId151" Type="http://schemas.openxmlformats.org/officeDocument/2006/relationships/hyperlink" Target="consultantplus://offline/ref=94D07B5AC4C1A07D0C9468CBC3C624D4FBD15B4AE790545567C73286237B9AD0A2160128296102EC8986EC57D6DFD7104030C3B4EE630438FC11DABCN1BFD" TargetMode = "External"/>
	<Relationship Id="rId152" Type="http://schemas.openxmlformats.org/officeDocument/2006/relationships/hyperlink" Target="consultantplus://offline/ref=94D07B5AC4C1A07D0C9476C6D5AA7ADDF6D90343E7905F04339334D17C2B9C85E256077D6A2506EA898DB80394818E43017BCEB2F57F043ENEB1D" TargetMode = "External"/>
	<Relationship Id="rId153" Type="http://schemas.openxmlformats.org/officeDocument/2006/relationships/hyperlink" Target="consultantplus://offline/ref=94D07B5AC4C1A07D0C9468CBC3C624D4FBD15B4AE790545567C73286237B9AD0A2160128296102EC8986EC57D7DFD7104030C3B4EE630438FC11DABCN1BFD" TargetMode = "External"/>
	<Relationship Id="rId154" Type="http://schemas.openxmlformats.org/officeDocument/2006/relationships/hyperlink" Target="consultantplus://offline/ref=94D07B5AC4C1A07D0C9476C6D5AA7ADDF6D90343E7905F04339334D17C2B9C85F0565F71682011ED8D98EE52D2NDB7D" TargetMode = "External"/>
	<Relationship Id="rId155" Type="http://schemas.openxmlformats.org/officeDocument/2006/relationships/hyperlink" Target="consultantplus://offline/ref=94D07B5AC4C1A07D0C9468CBC3C624D4FBD15B4AE790545567C73286237B9AD0A2160128296102EC8986EC57D8DFD7104030C3B4EE630438FC11DABCN1BFD" TargetMode = "External"/>
	<Relationship Id="rId156" Type="http://schemas.openxmlformats.org/officeDocument/2006/relationships/hyperlink" Target="consultantplus://offline/ref=94D07B5AC4C1A07D0C9476C6D5AA7ADDF6D90343E7905F04339334D17C2B9C85F0565F71682011ED8D98EE52D2NDB7D" TargetMode = "External"/>
	<Relationship Id="rId157" Type="http://schemas.openxmlformats.org/officeDocument/2006/relationships/hyperlink" Target="consultantplus://offline/ref=94D07B5AC4C1A07D0C9468CBC3C624D4FBD15B4AE790545567C73286237B9AD0A2160128296102EC8986EC57D9DFD7104030C3B4EE630438FC11DABCN1BFD" TargetMode = "External"/>
	<Relationship Id="rId158" Type="http://schemas.openxmlformats.org/officeDocument/2006/relationships/hyperlink" Target="consultantplus://offline/ref=94D07B5AC4C1A07D0C9468CBC3C624D4FBD15B4AE794525668CF3286237B9AD0A21601283B615AE08B83F252D4CA814106N6B6D" TargetMode = "External"/>
	<Relationship Id="rId159" Type="http://schemas.openxmlformats.org/officeDocument/2006/relationships/hyperlink" Target="consultantplus://offline/ref=94D07B5AC4C1A07D0C9476C6D5AA7ADDF6D90343E7905F04339334D17C2B9C85F0565F71682011ED8D98EE52D2NDB7D" TargetMode = "External"/>
	<Relationship Id="rId160" Type="http://schemas.openxmlformats.org/officeDocument/2006/relationships/hyperlink" Target="consultantplus://offline/ref=94D07B5AC4C1A07D0C9468CBC3C624D4FBD15B4AE790545567C73286237B9AD0A2160128296102EC8986EC54D2DFD7104030C3B4EE630438FC11DABCN1BFD" TargetMode = "External"/>
	<Relationship Id="rId161" Type="http://schemas.openxmlformats.org/officeDocument/2006/relationships/hyperlink" Target="consultantplus://offline/ref=94D07B5AC4C1A07D0C9468CBC3C624D4FBD15B4AE7925C526ACE3286237B9AD0A2160128296102EC8986EC56D4DFD7104030C3B4EE630438FC11DABCN1BFD" TargetMode = "External"/>
	<Relationship Id="rId162" Type="http://schemas.openxmlformats.org/officeDocument/2006/relationships/hyperlink" Target="consultantplus://offline/ref=94D07B5AC4C1A07D0C9468CBC3C624D4FBD15B4AE79754546DC43286237B9AD0A2160128296102EC8986EC53D4DFD7104030C3B4EE630438FC11DABCN1BFD" TargetMode = "External"/>
	<Relationship Id="rId163" Type="http://schemas.openxmlformats.org/officeDocument/2006/relationships/hyperlink" Target="consultantplus://offline/ref=94D07B5AC4C1A07D0C9468CBC3C624D4FBD15B4AE79754546DC43286237B9AD0A2160128296102EC8986EC53D4DFD7104030C3B4EE630438FC11DABCN1BFD" TargetMode = "External"/>
	<Relationship Id="rId164" Type="http://schemas.openxmlformats.org/officeDocument/2006/relationships/hyperlink" Target="consultantplus://offline/ref=94D07B5AC4C1A07D0C9468CBC3C624D4FBD15B4AE79754546DC43286237B9AD0A2160128296102EC8986EC53D4DFD7104030C3B4EE630438FC11DABCN1BFD" TargetMode = "External"/>
	<Relationship Id="rId165" Type="http://schemas.openxmlformats.org/officeDocument/2006/relationships/hyperlink" Target="consultantplus://offline/ref=94D07B5AC4C1A07D0C9468CBC3C624D4FBD15B4AE7945C5366C63286237B9AD0A2160128296102EC8986EC55D6DFD7104030C3B4EE630438FC11DABCN1BFD" TargetMode = "External"/>
	<Relationship Id="rId166" Type="http://schemas.openxmlformats.org/officeDocument/2006/relationships/hyperlink" Target="consultantplus://offline/ref=94D07B5AC4C1A07D0C9468CBC3C624D4FBD15B4AE79754546DC43286237B9AD0A2160128296102EC8986EC53D5DFD7104030C3B4EE630438FC11DABCN1BFD" TargetMode = "External"/>
	<Relationship Id="rId167" Type="http://schemas.openxmlformats.org/officeDocument/2006/relationships/header" Target="header2.xml"/>
	<Relationship Id="rId168" Type="http://schemas.openxmlformats.org/officeDocument/2006/relationships/footer" Target="footer2.xml"/>
	<Relationship Id="rId169" Type="http://schemas.openxmlformats.org/officeDocument/2006/relationships/hyperlink" Target="consultantplus://offline/ref=94D07B5AC4C1A07D0C9468CBC3C624D4FBD15B4AE795525369CE3286237B9AD0A2160128296102EC8986EC5BD7DFD7104030C3B4EE630438FC11DABCN1BFD" TargetMode = "External"/>
	<Relationship Id="rId170" Type="http://schemas.openxmlformats.org/officeDocument/2006/relationships/hyperlink" Target="consultantplus://offline/ref=94D07B5AC4C1A07D0C9468CBC3C624D4FBD15B4AE795525369CE3286237B9AD0A2160128296102EC8986EC5BD7DFD7104030C3B4EE630438FC11DABCN1BFD" TargetMode = "External"/>
	<Relationship Id="rId171" Type="http://schemas.openxmlformats.org/officeDocument/2006/relationships/hyperlink" Target="consultantplus://offline/ref=94D07B5AC4C1A07D0C9468CBC3C624D4FBD15B4AE795525369CE3286237B9AD0A2160128296102EC8986EC5BD7DFD7104030C3B4EE630438FC11DABCN1BFD" TargetMode = "External"/>
	<Relationship Id="rId172" Type="http://schemas.openxmlformats.org/officeDocument/2006/relationships/hyperlink" Target="consultantplus://offline/ref=94D07B5AC4C1A07D0C9468CBC3C624D4FBD15B4AE795525369CE3286237B9AD0A2160128296102EC8986EC5BD7DFD7104030C3B4EE630438FC11DABCN1BFD" TargetMode = "External"/>
	<Relationship Id="rId173" Type="http://schemas.openxmlformats.org/officeDocument/2006/relationships/hyperlink" Target="consultantplus://offline/ref=94D07B5AC4C1A07D0C9476C6D5AA7ADDF6DE074FE1965F04339334D17C2B9C85E256077D6A250FEC808DB80394818E43017BCEB2F57F043ENEB1D" TargetMode = "External"/>
	<Relationship Id="rId174" Type="http://schemas.openxmlformats.org/officeDocument/2006/relationships/hyperlink" Target="consultantplus://offline/ref=94D07B5AC4C1A07D0C9468CBC3C624D4FBD15B4AE79754546DC43286237B9AD0A2160128296102EC8986EC53D6DFD7104030C3B4EE630438FC11DABCN1BFD" TargetMode = "External"/>
	<Relationship Id="rId175" Type="http://schemas.openxmlformats.org/officeDocument/2006/relationships/hyperlink" Target="consultantplus://offline/ref=94D07B5AC4C1A07D0C9468CBC3C624D4FBD15B4AE79355576AC53286237B9AD0A21601283B615AE08B83F252D4CA814106N6B6D" TargetMode = "External"/>
	<Relationship Id="rId176" Type="http://schemas.openxmlformats.org/officeDocument/2006/relationships/hyperlink" Target="consultantplus://offline/ref=94D07B5AC4C1A07D0C9468CBC3C624D4FBD15B4AE790535567C73286237B9AD0A2160128296102EC8986EC51D3DFD7104030C3B4EE630438FC11DABCN1BFD" TargetMode = "External"/>
	<Relationship Id="rId177" Type="http://schemas.openxmlformats.org/officeDocument/2006/relationships/hyperlink" Target="consultantplus://offline/ref=94D07B5AC4C1A07D0C9468CBC3C624D4FBD15B4AE7945C5366C63286237B9AD0A2160128296102EC8986EC55D7DFD7104030C3B4EE630438FC11DABCN1BFD" TargetMode = "External"/>
	<Relationship Id="rId178" Type="http://schemas.openxmlformats.org/officeDocument/2006/relationships/hyperlink" Target="consultantplus://offline/ref=94D07B5AC4C1A07D0C9468CBC3C624D4FBD15B4AE79754546DC43286237B9AD0A2160128296102EC8986EC53D8DFD7104030C3B4EE630438FC11DABCN1BFD" TargetMode = "External"/>
	<Relationship Id="rId179" Type="http://schemas.openxmlformats.org/officeDocument/2006/relationships/hyperlink" Target="consultantplus://offline/ref=94D07B5AC4C1A07D0C9468CBC3C624D4FBD15B4AE79754546DC43286237B9AD0A2160128296102EC8986EC53D9DFD7104030C3B4EE630438FC11DABCN1BFD" TargetMode = "External"/>
	<Relationship Id="rId180" Type="http://schemas.openxmlformats.org/officeDocument/2006/relationships/hyperlink" Target="consultantplus://offline/ref=94D07B5AC4C1A07D0C9468CBC3C624D4FBD15B4AE79754546DC43286237B9AD0A2160128296102EC8986EC50D0DFD7104030C3B4EE630438FC11DABCN1BFD" TargetMode = "External"/>
	<Relationship Id="rId181" Type="http://schemas.openxmlformats.org/officeDocument/2006/relationships/hyperlink" Target="consultantplus://offline/ref=94D07B5AC4C1A07D0C9468CBC3C624D4FBD15B4AE79754546DC43286237B9AD0A2160128296102EC8986EC50D1DFD7104030C3B4EE630438FC11DABCN1BFD" TargetMode = "External"/>
	<Relationship Id="rId182" Type="http://schemas.openxmlformats.org/officeDocument/2006/relationships/hyperlink" Target="consultantplus://offline/ref=94D07B5AC4C1A07D0C9468CBC3C624D4FBD15B4AE79754546DC43286237B9AD0A2160128296102EC8986EC50D4DFD7104030C3B4EE630438FC11DABCN1BFD" TargetMode = "External"/>
	<Relationship Id="rId183" Type="http://schemas.openxmlformats.org/officeDocument/2006/relationships/hyperlink" Target="consultantplus://offline/ref=94D07B5AC4C1A07D0C9468CBC3C624D4FBD15B4AE79754546DC43286237B9AD0A2160128296102EC8986EC51D1DFD7104030C3B4EE630438FC11DABCN1BFD" TargetMode = "External"/>
	<Relationship Id="rId184" Type="http://schemas.openxmlformats.org/officeDocument/2006/relationships/hyperlink" Target="consultantplus://offline/ref=94D07B5AC4C1A07D0C9476C6D5AA7ADDF6DE0744E1905F04339334D17C2B9C85F0565F71682011ED8D98EE52D2NDB7D" TargetMode = "External"/>
	<Relationship Id="rId185" Type="http://schemas.openxmlformats.org/officeDocument/2006/relationships/hyperlink" Target="consultantplus://offline/ref=94D07B5AC4C1A07D0C9468CBC3C624D4FBD15B4AE7945C5268C53286237B9AD0A21601283B615AE08B83F252D4CA814106N6B6D" TargetMode = "External"/>
	<Relationship Id="rId186" Type="http://schemas.openxmlformats.org/officeDocument/2006/relationships/hyperlink" Target="consultantplus://offline/ref=94D07B5AC4C1A07D0C9468CBC3C624D4FBD15B4AE79754546DC43286237B9AD0A2160128296102EC8986EC51D7DFD7104030C3B4EE630438FC11DABCN1BFD" TargetMode = "External"/>
	<Relationship Id="rId187" Type="http://schemas.openxmlformats.org/officeDocument/2006/relationships/hyperlink" Target="consultantplus://offline/ref=94D07B5AC4C1A07D0C9468CBC3C624D4FBD15B4AE79754546DC43286237B9AD0A2160128296102EC8986EC56D4DFD7104030C3B4EE630438FC11DABCN1BFD" TargetMode = "External"/>
	<Relationship Id="rId188" Type="http://schemas.openxmlformats.org/officeDocument/2006/relationships/hyperlink" Target="consultantplus://offline/ref=94D07B5AC4C1A07D0C9468CBC3C624D4FBD15B4AEF9654576FCC6F8C2B2296D2A5195E3F2E280EED8986EB5BDB80D2055168CCB3F57D0022E013D8NBBDD" TargetMode = "External"/>
	<Relationship Id="rId189" Type="http://schemas.openxmlformats.org/officeDocument/2006/relationships/hyperlink" Target="consultantplus://offline/ref=94D07B5AC4C1A07D0C9468CBC3C624D4FBD15B4AE791575466C53286237B9AD0A2160128296102EC8986EC55D4DFD7104030C3B4EE630438FC11DABCN1BFD" TargetMode = "External"/>
	<Relationship Id="rId190" Type="http://schemas.openxmlformats.org/officeDocument/2006/relationships/hyperlink" Target="consultantplus://offline/ref=94D07B5AC4C1A07D0C9468CBC3C624D4FBD15B4AE791515469C33286237B9AD0A2160128296102EC8986EC50D4DFD7104030C3B4EE630438FC11DABCN1BFD" TargetMode = "External"/>
	<Relationship Id="rId191" Type="http://schemas.openxmlformats.org/officeDocument/2006/relationships/hyperlink" Target="consultantplus://offline/ref=94D07B5AC4C1A07D0C9468CBC3C624D4FBD15B4AE790545567C73286237B9AD0A2160128296102EC8986EC5AD2DFD7104030C3B4EE630438FC11DABCN1BFD" TargetMode = "External"/>
	<Relationship Id="rId192" Type="http://schemas.openxmlformats.org/officeDocument/2006/relationships/hyperlink" Target="consultantplus://offline/ref=94D07B5AC4C1A07D0C9468CBC3C624D4FBD15B4AE79050506EC63286237B9AD0A2160128296102EC8986EC5BD6DFD7104030C3B4EE630438FC11DABCN1BFD" TargetMode = "External"/>
	<Relationship Id="rId193" Type="http://schemas.openxmlformats.org/officeDocument/2006/relationships/hyperlink" Target="consultantplus://offline/ref=94D07B5AC4C1A07D0C9468CBC3C624D4FBD15B4AE790525066C73286237B9AD0A2160128296102EC8986EC5BD7DFD7104030C3B4EE630438FC11DABCN1BFD" TargetMode = "External"/>
	<Relationship Id="rId194" Type="http://schemas.openxmlformats.org/officeDocument/2006/relationships/hyperlink" Target="consultantplus://offline/ref=94D07B5AC4C1A07D0C9468CBC3C624D4FBD15B4AE790535567C73286237B9AD0A2160128296102EC8986EC51D6DFD7104030C3B4EE630438FC11DABCN1BFD" TargetMode = "External"/>
	<Relationship Id="rId195" Type="http://schemas.openxmlformats.org/officeDocument/2006/relationships/hyperlink" Target="consultantplus://offline/ref=94D07B5AC4C1A07D0C9468CBC3C624D4FBD15B4AE793575066C53286237B9AD0A2160128296102EC8986ED52D3DFD7104030C3B4EE630438FC11DABCN1BFD" TargetMode = "External"/>
	<Relationship Id="rId196" Type="http://schemas.openxmlformats.org/officeDocument/2006/relationships/hyperlink" Target="consultantplus://offline/ref=94D07B5AC4C1A07D0C9468CBC3C624D4FBD15B4AE7935D546DCE3286237B9AD0A2160128296102EC8986EC51D3DFD7104030C3B4EE630438FC11DABCN1BFD" TargetMode = "External"/>
	<Relationship Id="rId197" Type="http://schemas.openxmlformats.org/officeDocument/2006/relationships/hyperlink" Target="consultantplus://offline/ref=94D07B5AC4C1A07D0C9468CBC3C624D4FBD15B4AE790535567C73286237B9AD0A2160128296102EC8986EC56D0DFD7104030C3B4EE630438FC11DABCN1BFD" TargetMode = "External"/>
	<Relationship Id="rId198" Type="http://schemas.openxmlformats.org/officeDocument/2006/relationships/hyperlink" Target="consultantplus://offline/ref=94D07B5AC4C1A07D0C9468CBC3C624D4FBD15B4AE790545567C73286237B9AD0A2160128296102EC8986EC5AD4DFD7104030C3B4EE630438FC11DABCN1BFD" TargetMode = "External"/>
	<Relationship Id="rId199" Type="http://schemas.openxmlformats.org/officeDocument/2006/relationships/hyperlink" Target="consultantplus://offline/ref=94D07B5AC4C1A07D0C9468CBC3C624D4FBD15B4AE79050506EC63286237B9AD0A2160128296102EC8986EC5BD8DFD7104030C3B4EE630438FC11DABCN1BFD" TargetMode = "External"/>
	<Relationship Id="rId200" Type="http://schemas.openxmlformats.org/officeDocument/2006/relationships/hyperlink" Target="consultantplus://offline/ref=94D07B5AC4C1A07D0C9468CBC3C624D4FBD15B4AE790545567C73286237B9AD0A2160128296102EC8986EC5AD5DFD7104030C3B4EE630438FC11DABCN1BFD" TargetMode = "External"/>
	<Relationship Id="rId201" Type="http://schemas.openxmlformats.org/officeDocument/2006/relationships/hyperlink" Target="consultantplus://offline/ref=94D07B5AC4C1A07D0C9468CBC3C624D4FBD15B4AE79050506EC63286237B9AD0A2160128296102EC8986EC5BD9DFD7104030C3B4EE630438FC11DABCN1BFD" TargetMode = "External"/>
	<Relationship Id="rId202" Type="http://schemas.openxmlformats.org/officeDocument/2006/relationships/hyperlink" Target="consultantplus://offline/ref=94D07B5AC4C1A07D0C9468CBC3C624D4FBD15B4AE790545567C73286237B9AD0A2160128296102EC8986EC5AD7DFD7104030C3B4EE630438FC11DABCN1BFD" TargetMode = "External"/>
	<Relationship Id="rId203" Type="http://schemas.openxmlformats.org/officeDocument/2006/relationships/hyperlink" Target="consultantplus://offline/ref=94D07B5AC4C1A07D0C9468CBC3C624D4FBD15B4AE79050506EC63286237B9AD0A2160128296102EC8986ED52D0DFD7104030C3B4EE630438FC11DABCN1BFD" TargetMode = "External"/>
	<Relationship Id="rId204" Type="http://schemas.openxmlformats.org/officeDocument/2006/relationships/hyperlink" Target="consultantplus://offline/ref=94D07B5AC4C1A07D0C9476C6D5AA7ADDF6D90343E7905F04339334D17C2B9C85F0565F71682011ED8D98EE52D2NDB7D" TargetMode = "External"/>
	<Relationship Id="rId205" Type="http://schemas.openxmlformats.org/officeDocument/2006/relationships/hyperlink" Target="consultantplus://offline/ref=94D07B5AC4C1A07D0C9468CBC3C624D4FBD15B4AE790535567C73286237B9AD0A2160128296102EC8986EC56D1DFD7104030C3B4EE630438FC11DABCN1BFD" TargetMode = "External"/>
	<Relationship Id="rId206" Type="http://schemas.openxmlformats.org/officeDocument/2006/relationships/hyperlink" Target="consultantplus://offline/ref=94D07B5AC4C1A07D0C9468CBC3C624D4FBD15B4AE790535567C73286237B9AD0A2160128296102EC8986EC56D6DFD7104030C3B4EE630438FC11DABCN1BFD" TargetMode = "External"/>
	<Relationship Id="rId207" Type="http://schemas.openxmlformats.org/officeDocument/2006/relationships/hyperlink" Target="consultantplus://offline/ref=94D07B5AC4C1A07D0C9468CBC3C624D4FBD15B4AE7935D546DCE3286237B9AD0A2160128296102EC8986EC51D5DFD7104030C3B4EE630438FC11DABCN1BFD" TargetMode = "External"/>
	<Relationship Id="rId208" Type="http://schemas.openxmlformats.org/officeDocument/2006/relationships/hyperlink" Target="consultantplus://offline/ref=94D07B5AC4C1A07D0C9468CBC3C624D4FBD15B4AE7935D546DCE3286237B9AD0A2160128296102EC8986EC51D6DFD7104030C3B4EE630438FC11DABCN1BFD" TargetMode = "External"/>
	<Relationship Id="rId209" Type="http://schemas.openxmlformats.org/officeDocument/2006/relationships/hyperlink" Target="consultantplus://offline/ref=94D07B5AC4C1A07D0C9468CBC3C624D4FBD15B4AE7935D546DCE3286237B9AD0A2160128296102EC8986EC56D1DFD7104030C3B4EE630438FC11DABCN1BFD" TargetMode = "External"/>
	<Relationship Id="rId210" Type="http://schemas.openxmlformats.org/officeDocument/2006/relationships/hyperlink" Target="consultantplus://offline/ref=94D07B5AC4C1A07D0C9468CBC3C624D4FBD15B4AE791575466C53286237B9AD0A2160128296102EC8986EC5AD1DFD7104030C3B4EE630438FC11DABCN1BFD" TargetMode = "External"/>
	<Relationship Id="rId211" Type="http://schemas.openxmlformats.org/officeDocument/2006/relationships/hyperlink" Target="consultantplus://offline/ref=94D07B5AC4C1A07D0C9468CBC3C624D4FBD15B4AE793575066C53286237B9AD0A2160128296102EC8986ED52D5DFD7104030C3B4EE630438FC11DABCN1BFD" TargetMode = "External"/>
	<Relationship Id="rId212" Type="http://schemas.openxmlformats.org/officeDocument/2006/relationships/hyperlink" Target="consultantplus://offline/ref=94D07B5AC4C1A07D0C9468CBC3C624D4FBD15B4AE7935D546DCE3286237B9AD0A2160128296102EC8986EC56D1DFD7104030C3B4EE630438FC11DABCN1BFD" TargetMode = "External"/>
	<Relationship Id="rId213" Type="http://schemas.openxmlformats.org/officeDocument/2006/relationships/hyperlink" Target="consultantplus://offline/ref=94D07B5AC4C1A07D0C9468CBC3C624D4FBD15B4AE7935D546DCE3286237B9AD0A2160128296102EC8986EC56D2DFD7104030C3B4EE630438FC11DABCN1BFD" TargetMode = "External"/>
	<Relationship Id="rId214" Type="http://schemas.openxmlformats.org/officeDocument/2006/relationships/hyperlink" Target="consultantplus://offline/ref=94D07B5AC4C1A07D0C9468CBC3C624D4FBD15B4AE19954526ACC6F8C2B2296D2A5195E3F2E280EED8A87ED53DB80D2055168CCB3F57D0022E013D8NBBDD" TargetMode = "External"/>
	<Relationship Id="rId215" Type="http://schemas.openxmlformats.org/officeDocument/2006/relationships/hyperlink" Target="consultantplus://offline/ref=94D07B5AC4C1A07D0C9468CBC3C624D4FBD15B4AE19954526ACC6F8C2B2296D2A5195E3F2E280EED8A8FE957DB80D2055168CCB3F57D0022E013D8NBBDD" TargetMode = "External"/>
	<Relationship Id="rId216" Type="http://schemas.openxmlformats.org/officeDocument/2006/relationships/hyperlink" Target="consultantplus://offline/ref=94D07B5AC4C1A07D0C9476C6D5AA7ADDF6D90343E7905F04339334D17C2B9C85F0565F71682011ED8D98EE52D2NDB7D" TargetMode = "External"/>
	<Relationship Id="rId217" Type="http://schemas.openxmlformats.org/officeDocument/2006/relationships/hyperlink" Target="consultantplus://offline/ref=94D07B5AC4C1A07D0C9468CBC3C624D4FBD15B4AE795525369CE3286237B9AD0A21601283B615AE08B83F252D4CA814106N6B6D" TargetMode = "External"/>
	<Relationship Id="rId218" Type="http://schemas.openxmlformats.org/officeDocument/2006/relationships/hyperlink" Target="consultantplus://offline/ref=94D07B5AC4C1A07D0C9468CBC3C624D4FBD15B4AE7945D5A67C53286237B9AD0A21601283B615AE08B83F252D4CA814106N6B6D" TargetMode = "External"/>
	<Relationship Id="rId219" Type="http://schemas.openxmlformats.org/officeDocument/2006/relationships/hyperlink" Target="consultantplus://offline/ref=94D07B5AC4C1A07D0C9476C6D5AA7ADDF6D90343E7905F04339334D17C2B9C85F0565F71682011ED8D98EE52D2NDB7D" TargetMode = "External"/>
	<Relationship Id="rId220" Type="http://schemas.openxmlformats.org/officeDocument/2006/relationships/hyperlink" Target="consultantplus://offline/ref=94D07B5AC4C1A07D0C9476C6D5AA7ADDF6D90343E7905F04339334D17C2B9C85F0565F71682011ED8D98EE52D2NDB7D" TargetMode = "External"/>
	<Relationship Id="rId221" Type="http://schemas.openxmlformats.org/officeDocument/2006/relationships/hyperlink" Target="consultantplus://offline/ref=94D07B5AC4C1A07D0C9476C6D5AA7ADDF6D90343E7905F04339334D17C2B9C85F0565F71682011ED8D98EE52D2NDB7D" TargetMode = "External"/>
	<Relationship Id="rId222" Type="http://schemas.openxmlformats.org/officeDocument/2006/relationships/hyperlink" Target="consultantplus://offline/ref=94D07B5AC4C1A07D0C9468CBC3C624D4FBD15B4AE793535B68C53286237B9AD0A2160128296102EC8986EC53D1DFD7104030C3B4EE630438FC11DABCN1BFD" TargetMode = "External"/>
	<Relationship Id="rId223" Type="http://schemas.openxmlformats.org/officeDocument/2006/relationships/hyperlink" Target="consultantplus://offline/ref=94D07B5AC4C1A07D0C9468CBC3C624D4FBD15B4AE793535B68C53286237B9AD0A2160128296102EC8986EC53D1DFD7104030C3B4EE630438FC11DABCN1BFD" TargetMode = "External"/>
	<Relationship Id="rId224" Type="http://schemas.openxmlformats.org/officeDocument/2006/relationships/hyperlink" Target="consultantplus://offline/ref=94D07B5AC4C1A07D0C9468CBC3C624D4FBD15B4AE793535B68C53286237B9AD0A2160128296102EC8986EC53D1DFD7104030C3B4EE630438FC11DABCN1BFD" TargetMode = "External"/>
	<Relationship Id="rId225" Type="http://schemas.openxmlformats.org/officeDocument/2006/relationships/hyperlink" Target="consultantplus://offline/ref=94D07B5AC4C1A07D0C9468CBC3C624D4FBD15B4AE79050506EC63286237B9AD0A2160128296102EC8986ED52D8DFD7104030C3B4EE630438FC11DABCN1BFD" TargetMode = "External"/>
	<Relationship Id="rId226" Type="http://schemas.openxmlformats.org/officeDocument/2006/relationships/hyperlink" Target="consultantplus://offline/ref=94D07B5AC4C1A07D0C9468CBC3C624D4FBD15B4AE790545567C73286237B9AD0A2160128296102EC8986ED52D1DFD7104030C3B4EE630438FC11DABCN1BFD" TargetMode = "External"/>
	<Relationship Id="rId227" Type="http://schemas.openxmlformats.org/officeDocument/2006/relationships/hyperlink" Target="consultantplus://offline/ref=94D07B5AC4C1A07D0C9468CBC3C624D4FBD15B4AE79050506EC63286237B9AD0A2160128296102EC8986ED52D9DFD7104030C3B4EE630438FC11DABCN1BFD" TargetMode = "External"/>
	<Relationship Id="rId228" Type="http://schemas.openxmlformats.org/officeDocument/2006/relationships/hyperlink" Target="consultantplus://offline/ref=94D07B5AC4C1A07D0C9476C6D5AA7ADDF6D90343E7905F04339334D17C2B9C85F0565F71682011ED8D98EE52D2NDB7D" TargetMode = "External"/>
	<Relationship Id="rId229" Type="http://schemas.openxmlformats.org/officeDocument/2006/relationships/hyperlink" Target="consultantplus://offline/ref=94D07B5AC4C1A07D0C9468CBC3C624D4FBD15B4AE790535567C73286237B9AD0A2160128296102EC8986EC57D9DFD7104030C3B4EE630438FC11DABCN1BFD" TargetMode = "External"/>
	<Relationship Id="rId230" Type="http://schemas.openxmlformats.org/officeDocument/2006/relationships/hyperlink" Target="consultantplus://offline/ref=94D07B5AC4C1A07D0C9468CBC3C624D4FBD15B4AE790535567C73286237B9AD0A2160128296102EC8986EC54D1DFD7104030C3B4EE630438FC11DABCN1BFD" TargetMode = "External"/>
	<Relationship Id="rId231" Type="http://schemas.openxmlformats.org/officeDocument/2006/relationships/hyperlink" Target="consultantplus://offline/ref=94D07B5AC4C1A07D0C9468CBC3C624D4FBD15B4AE790535567C73286237B9AD0A2160128296102EC8986EC54D3DFD7104030C3B4EE630438FC11DABCN1BFD" TargetMode = "External"/>
	<Relationship Id="rId232" Type="http://schemas.openxmlformats.org/officeDocument/2006/relationships/hyperlink" Target="consultantplus://offline/ref=94D07B5AC4C1A07D0C9468CBC3C624D4FBD15B4AE791575466C53286237B9AD0A2160128296102EC8986EC5BD3DFD7104030C3B4EE630438FC11DABCN1BFD" TargetMode = "External"/>
	<Relationship Id="rId233" Type="http://schemas.openxmlformats.org/officeDocument/2006/relationships/hyperlink" Target="consultantplus://offline/ref=94D07B5AC4C1A07D0C9468CBC3C624D4FBD15B4AE7935D546DCE3286237B9AD0A2160128296102EC8986EC56D7DFD7104030C3B4EE630438FC11DABCN1BFD" TargetMode = "External"/>
	<Relationship Id="rId234" Type="http://schemas.openxmlformats.org/officeDocument/2006/relationships/hyperlink" Target="consultantplus://offline/ref=94D07B5AC4C1A07D0C9468CBC3C624D4FBD15B4AE790535567C73286237B9AD0A2160128296102EC8986EC54D5DFD7104030C3B4EE630438FC11DABCN1BFD" TargetMode = "External"/>
	<Relationship Id="rId235" Type="http://schemas.openxmlformats.org/officeDocument/2006/relationships/hyperlink" Target="consultantplus://offline/ref=94D07B5AC4C1A07D0C9468CBC3C624D4FBD15B4AE791575466C53286237B9AD0A2160128296102EC8986EC5BD8DFD7104030C3B4EE630438FC11DABCN1BFD" TargetMode = "External"/>
	<Relationship Id="rId236" Type="http://schemas.openxmlformats.org/officeDocument/2006/relationships/hyperlink" Target="consultantplus://offline/ref=94D07B5AC4C1A07D0C9468CBC3C624D4FBD15B4AE790545567C73286237B9AD0A2160128296102EC8986ED52D4DFD7104030C3B4EE630438FC11DABCN1BFD" TargetMode = "External"/>
	<Relationship Id="rId237" Type="http://schemas.openxmlformats.org/officeDocument/2006/relationships/hyperlink" Target="consultantplus://offline/ref=94D07B5AC4C1A07D0C9468CBC3C624D4FBD15B4AE79557556ACF3286237B9AD0A2160128296102EC8986EC53D2DFD7104030C3B4EE630438FC11DABCN1BFD" TargetMode = "External"/>
	<Relationship Id="rId238" Type="http://schemas.openxmlformats.org/officeDocument/2006/relationships/hyperlink" Target="consultantplus://offline/ref=94D07B5AC4C1A07D0C9468CBC3C624D4FBD15B4AE790545567C73286237B9AD0A2160128296102EC8986ED52D5DFD7104030C3B4EE630438FC11DABCN1BFD" TargetMode = "External"/>
	<Relationship Id="rId239" Type="http://schemas.openxmlformats.org/officeDocument/2006/relationships/hyperlink" Target="consultantplus://offline/ref=94D07B5AC4C1A07D0C9468CBC3C624D4FBD15B4AE790545567C73286237B9AD0A2160128296102EC8986ED52D7DFD7104030C3B4EE630438FC11DABCN1BFD" TargetMode = "External"/>
	<Relationship Id="rId240" Type="http://schemas.openxmlformats.org/officeDocument/2006/relationships/hyperlink" Target="consultantplus://offline/ref=94D07B5AC4C1A07D0C9468CBC3C624D4FBD15B4AE790525066C73286237B9AD0A2160128296102EC8986ED52D9DFD7104030C3B4EE630438FC11DABCN1BFD" TargetMode = "External"/>
	<Relationship Id="rId241" Type="http://schemas.openxmlformats.org/officeDocument/2006/relationships/hyperlink" Target="consultantplus://offline/ref=94D07B5AC4C1A07D0C9468CBC3C624D4FBD15B4AE790535567C73286237B9AD0A2160128296102EC8986EC54D7DFD7104030C3B4EE630438FC11DABCN1BFD" TargetMode = "External"/>
	<Relationship Id="rId242" Type="http://schemas.openxmlformats.org/officeDocument/2006/relationships/hyperlink" Target="consultantplus://offline/ref=94D07B5AC4C1A07D0C9468CBC3C624D4FBD15B4AE790545567C73286237B9AD0A2160128296102EC8986ED52D9DFD7104030C3B4EE630438FC11DABCN1BFD" TargetMode = "External"/>
	<Relationship Id="rId243" Type="http://schemas.openxmlformats.org/officeDocument/2006/relationships/hyperlink" Target="consultantplus://offline/ref=94D07B5AC4C1A07D0C9468CBC3C624D4FBD15B4AE790525066C73286237B9AD0A2160128296102EC8986ED53D0DFD7104030C3B4EE630438FC11DABCN1BFD" TargetMode = "External"/>
	<Relationship Id="rId244" Type="http://schemas.openxmlformats.org/officeDocument/2006/relationships/hyperlink" Target="consultantplus://offline/ref=94D07B5AC4C1A07D0C9468CBC3C624D4FBD15B4AE790535567C73286237B9AD0A2160128296102EC8986EC54D8DFD7104030C3B4EE630438FC11DABCN1BFD" TargetMode = "External"/>
	<Relationship Id="rId245" Type="http://schemas.openxmlformats.org/officeDocument/2006/relationships/hyperlink" Target="consultantplus://offline/ref=94D07B5AC4C1A07D0C9468CBC3C624D4FBD15B4AE790545567C73286237B9AD0A2160128296102EC8986ED52D9DFD7104030C3B4EE630438FC11DABCN1BFD" TargetMode = "External"/>
	<Relationship Id="rId246" Type="http://schemas.openxmlformats.org/officeDocument/2006/relationships/hyperlink" Target="consultantplus://offline/ref=94D07B5AC4C1A07D0C9468CBC3C624D4FBD15B4AE790535567C73286237B9AD0A2160128296102EC8986EC54D9DFD7104030C3B4EE630438FC11DABCN1BFD" TargetMode = "External"/>
	<Relationship Id="rId247" Type="http://schemas.openxmlformats.org/officeDocument/2006/relationships/hyperlink" Target="consultantplus://offline/ref=94D07B5AC4C1A07D0C9468CBC3C624D4FBD15B4AE790545567C73286237B9AD0A2160128296102EC8986ED53D0DFD7104030C3B4EE630438FC11DABCN1BFD" TargetMode = "External"/>
	<Relationship Id="rId248" Type="http://schemas.openxmlformats.org/officeDocument/2006/relationships/hyperlink" Target="consultantplus://offline/ref=94D07B5AC4C1A07D0C9468CBC3C624D4FBD15B4AE79050506EC63286237B9AD0A2160128296102EC8986ED53D2DFD7104030C3B4EE630438FC11DABCN1BFD" TargetMode = "External"/>
	<Relationship Id="rId249" Type="http://schemas.openxmlformats.org/officeDocument/2006/relationships/hyperlink" Target="consultantplus://offline/ref=94D07B5AC4C1A07D0C9468CBC3C624D4FBD15B4AE79050506EC63286237B9AD0A2160128296102EC8986ED53D3DFD7104030C3B4EE630438FC11DABCN1BFD" TargetMode = "External"/>
	<Relationship Id="rId250" Type="http://schemas.openxmlformats.org/officeDocument/2006/relationships/hyperlink" Target="consultantplus://offline/ref=94D07B5AC4C1A07D0C9468CBC3C624D4FBD15B4AE79050506EC63286237B9AD0A2160128296102EC8986ED53D3DFD7104030C3B4EE630438FC11DABCN1BFD" TargetMode = "External"/>
	<Relationship Id="rId251" Type="http://schemas.openxmlformats.org/officeDocument/2006/relationships/hyperlink" Target="consultantplus://offline/ref=94D07B5AC4C1A07D0C9468CBC3C624D4FBD15B4AE795525269C63286237B9AD0A21601283B615AE08B83F252D4CA814106N6B6D" TargetMode = "External"/>
	<Relationship Id="rId252" Type="http://schemas.openxmlformats.org/officeDocument/2006/relationships/hyperlink" Target="consultantplus://offline/ref=56728894F7790BDF1D21FD8867B9A3260C8265AB424F536624F6F64A9BA00068343BB6AC652403B3FD68C1D5DB0E539561A983F58C22A04BAA74D9A7OBB6D" TargetMode = "External"/>
	<Relationship Id="rId253" Type="http://schemas.openxmlformats.org/officeDocument/2006/relationships/hyperlink" Target="consultantplus://offline/ref=56728894F7790BDF1D21FD8867B9A3260C8265AB424F50632DF7F64A9BA00068343BB6AC652403B3FD68C0D3DF0E539561A983F58C22A04BAA74D9A7OBB6D" TargetMode = "External"/>
	<Relationship Id="rId254" Type="http://schemas.openxmlformats.org/officeDocument/2006/relationships/hyperlink" Target="consultantplus://offline/ref=56728894F7790BDF1D21FD8867B9A3260C8265AB424F57632DF7F64A9BA00068343BB6AC652403B3FD68C1D5DA0E539561A983F58C22A04BAA74D9A7OBB6D" TargetMode = "External"/>
	<Relationship Id="rId255" Type="http://schemas.openxmlformats.org/officeDocument/2006/relationships/hyperlink" Target="consultantplus://offline/ref=56728894F7790BDF1D21FD8867B9A3260C8265AB424F50632DF7F64A9BA00068343BB6AC652403B3FD68C0D3DE0E539561A983F58C22A04BAA74D9A7OBB6D" TargetMode = "External"/>
	<Relationship Id="rId256" Type="http://schemas.openxmlformats.org/officeDocument/2006/relationships/hyperlink" Target="consultantplus://offline/ref=56728894F7790BDF1D21FD8867B9A3260C8265AB424E54622CF5F64A9BA00068343BB6AC652403B3FD68C1D4DD0E539561A983F58C22A04BAA74D9A7OBB6D" TargetMode = "External"/>
	<Relationship Id="rId257" Type="http://schemas.openxmlformats.org/officeDocument/2006/relationships/hyperlink" Target="consultantplus://offline/ref=56728894F7790BDF1D21FD8867B9A3260C8265AB424F50632DF7F64A9BA00068343BB6AC652403B3FD68C0D3DD0E539561A983F58C22A04BAA74D9A7OBB6D" TargetMode = "External"/>
	<Relationship Id="rId258" Type="http://schemas.openxmlformats.org/officeDocument/2006/relationships/hyperlink" Target="consultantplus://offline/ref=56728894F7790BDF1D21FD8867B9A3260C8265AB424F50632DF7F64A9BA00068343BB6AC652403B3FD68C0D3DB0E539561A983F58C22A04BAA74D9A7OBB6D" TargetMode = "External"/>
	<Relationship Id="rId259" Type="http://schemas.openxmlformats.org/officeDocument/2006/relationships/hyperlink" Target="consultantplus://offline/ref=56728894F7790BDF1D21FD8867B9A3260C8265AB424A516423F6F64A9BA00068343BB6AC77245BBFFF6DDED4DB1B05C427OFBFD" TargetMode = "External"/>
	<Relationship Id="rId260" Type="http://schemas.openxmlformats.org/officeDocument/2006/relationships/hyperlink" Target="consultantplus://offline/ref=56728894F7790BDF1D21FD8867B9A3260C8265AB424F50632DF7F64A9BA00068343BB6AC652403B3FD68C0D3DA0E539561A983F58C22A04BAA74D9A7OBB6D" TargetMode = "External"/>
	<Relationship Id="rId261" Type="http://schemas.openxmlformats.org/officeDocument/2006/relationships/hyperlink" Target="consultantplus://offline/ref=56728894F7790BDF1D21FD8867B9A3260C8265AB424C54662CF5F64A9BA00068343BB6AC652403B3FD68C1D5DA0E539561A983F58C22A04BAA74D9A7OBB6D" TargetMode = "External"/>
	<Relationship Id="rId262" Type="http://schemas.openxmlformats.org/officeDocument/2006/relationships/hyperlink" Target="consultantplus://offline/ref=56728894F7790BDF1D21FD8867B9A3260C8265AB424C5E6227FEF64A9BA00068343BB6AC652403B3FD68C0D0D70E539561A983F58C22A04BAA74D9A7OBB6D" TargetMode = "External"/>
	<Relationship Id="rId263" Type="http://schemas.openxmlformats.org/officeDocument/2006/relationships/hyperlink" Target="consultantplus://offline/ref=56728894F7790BDF1D21FD8867B9A3260C8265AB424F50632DF7F64A9BA00068343BB6AC652403B3FD68C0DCDF0E539561A983F58C22A04BAA74D9A7OBB6D" TargetMode = "External"/>
	<Relationship Id="rId264" Type="http://schemas.openxmlformats.org/officeDocument/2006/relationships/hyperlink" Target="consultantplus://offline/ref=56728894F7790BDF1D21FD8867B9A3260C8265AB424F57632DF7F64A9BA00068343BB6AC652403B3FD68C1D5D60E539561A983F58C22A04BAA74D9A7OBB6D" TargetMode = "External"/>
	<Relationship Id="rId265" Type="http://schemas.openxmlformats.org/officeDocument/2006/relationships/hyperlink" Target="consultantplus://offline/ref=56728894F7790BDF1D21FD8867B9A3260C8265AB424F50632DF7F64A9BA00068343BB6AC652403B3FD68C0DCD60E539561A983F58C22A04BAA74D9A7OBB6D" TargetMode = "External"/>
	<Relationship Id="rId266" Type="http://schemas.openxmlformats.org/officeDocument/2006/relationships/hyperlink" Target="consultantplus://offline/ref=56728894F7790BDF1D21FD8867B9A3260C8265AB424C5E6227FEF64A9BA00068343BB6AC652403B3FD68C0D1DF0E539561A983F58C22A04BAA74D9A7OBB6D" TargetMode = "External"/>
	<Relationship Id="rId267" Type="http://schemas.openxmlformats.org/officeDocument/2006/relationships/hyperlink" Target="consultantplus://offline/ref=56728894F7790BDF1D21FD8867B9A3260C8265AB424F51662CF7F64A9BA00068343BB6AC652403B3FD68C1D5DD0E539561A983F58C22A04BAA74D9A7OBB6D" TargetMode = "External"/>
	<Relationship Id="rId268" Type="http://schemas.openxmlformats.org/officeDocument/2006/relationships/hyperlink" Target="consultantplus://offline/ref=56728894F7790BDF1D21FD8867B9A3260C8265AB424F50632DF7F64A9BA00068343BB6AC652403B3FD68C0DDDF0E539561A983F58C22A04BAA74D9A7OBB6D" TargetMode = "External"/>
	<Relationship Id="rId269" Type="http://schemas.openxmlformats.org/officeDocument/2006/relationships/hyperlink" Target="consultantplus://offline/ref=56728894F7790BDF1D21FD8867B9A3260C8265AB424C5E6227FEF64A9BA00068343BB6AC652403B3FD68C0D1DE0E539561A983F58C22A04BAA74D9A7OBB6D" TargetMode = "External"/>
	<Relationship Id="rId270" Type="http://schemas.openxmlformats.org/officeDocument/2006/relationships/hyperlink" Target="consultantplus://offline/ref=56728894F7790BDF1D21FD8867B9A3260C8265AB424C5E6227FEF64A9BA00068343BB6AC652403B3FD68C0D1DD0E539561A983F58C22A04BAA74D9A7OBB6D" TargetMode = "External"/>
	<Relationship Id="rId271" Type="http://schemas.openxmlformats.org/officeDocument/2006/relationships/hyperlink" Target="consultantplus://offline/ref=56728894F7790BDF1D21FD8867B9A3260C8265AB424F57632DF7F64A9BA00068343BB6AC652403B3FD68C1D6DE0E539561A983F58C22A04BAA74D9A7OBB6D" TargetMode = "External"/>
	<Relationship Id="rId272" Type="http://schemas.openxmlformats.org/officeDocument/2006/relationships/hyperlink" Target="consultantplus://offline/ref=56728894F7790BDF1D21FD8867B9A3260C8265AB424F51662CF7F64A9BA00068343BB6AC652403B3FD68C1D5DC0E539561A983F58C22A04BAA74D9A7OBB6D" TargetMode = "External"/>
	<Relationship Id="rId273" Type="http://schemas.openxmlformats.org/officeDocument/2006/relationships/hyperlink" Target="consultantplus://offline/ref=56728894F7790BDF1D21FD8867B9A3260C8265AB424F50632DF7F64A9BA00068343BB6AC652403B3FD68C0DDDE0E539561A983F58C22A04BAA74D9A7OBB6D" TargetMode = "External"/>
	<Relationship Id="rId274" Type="http://schemas.openxmlformats.org/officeDocument/2006/relationships/hyperlink" Target="consultantplus://offline/ref=56728894F7790BDF1D21FD8867B9A3260C8265AB424C5E6227FEF64A9BA00068343BB6AC652403B3FD68C0D1DC0E539561A983F58C22A04BAA74D9A7OBB6D" TargetMode = "External"/>
	<Relationship Id="rId275" Type="http://schemas.openxmlformats.org/officeDocument/2006/relationships/hyperlink" Target="consultantplus://offline/ref=56728894F7790BDF1D21FD8867B9A3260C8265AB424E54622CF5F64A9BA00068343BB6AC652403B3FD68C1D4DA0E539561A983F58C22A04BAA74D9A7OBB6D" TargetMode = "External"/>
	<Relationship Id="rId276" Type="http://schemas.openxmlformats.org/officeDocument/2006/relationships/hyperlink" Target="consultantplus://offline/ref=56728894F7790BDF1D21FD8867B9A3260C8265AB424C5E6227FEF64A9BA00068343BB6AC652403B3FD68C0D1DB0E539561A983F58C22A04BAA74D9A7OBB6D" TargetMode = "External"/>
	<Relationship Id="rId277" Type="http://schemas.openxmlformats.org/officeDocument/2006/relationships/hyperlink" Target="consultantplus://offline/ref=56728894F7790BDF1D21FD8867B9A3260C8265AB424E54622CF5F64A9BA00068343BB6AC652403B3FD68C1D4D80E539561A983F58C22A04BAA74D9A7OBB6D" TargetMode = "External"/>
	<Relationship Id="rId278" Type="http://schemas.openxmlformats.org/officeDocument/2006/relationships/hyperlink" Target="consultantplus://offline/ref=56728894F7790BDF1D21FD8867B9A3260C8265AB424F57632DF7F64A9BA00068343BB6AC652403B3FD68C1D6DD0E539561A983F58C22A04BAA74D9A7OBB6D" TargetMode = "External"/>
	<Relationship Id="rId279" Type="http://schemas.openxmlformats.org/officeDocument/2006/relationships/hyperlink" Target="consultantplus://offline/ref=56728894F7790BDF1D21FD8867B9A3260C8265AB424F50632DF7F64A9BA00068343BB6AC652403B3FD68C0DDDD0E539561A983F58C22A04BAA74D9A7OBB6D" TargetMode = "External"/>
	<Relationship Id="rId280" Type="http://schemas.openxmlformats.org/officeDocument/2006/relationships/hyperlink" Target="consultantplus://offline/ref=56728894F7790BDF1D21FD8867B9A3260C8265AB424C5E6227FEF64A9BA00068343BB6AC652403B3FD68C0D1DA0E539561A983F58C22A04BAA74D9A7OBB6D" TargetMode = "External"/>
	<Relationship Id="rId281" Type="http://schemas.openxmlformats.org/officeDocument/2006/relationships/hyperlink" Target="consultantplus://offline/ref=56728894F7790BDF1D21FD8867B9A3260C8265AB424C5E6227FEF64A9BA00068343BB6AC652403B3FD68C0D1D90E539561A983F58C22A04BAA74D9A7OBB6D" TargetMode = "External"/>
	<Relationship Id="rId282" Type="http://schemas.openxmlformats.org/officeDocument/2006/relationships/hyperlink" Target="consultantplus://offline/ref=56728894F7790BDF1D21FD8867B9A3260C8265AB424F57632DF7F64A9BA00068343BB6AC652403B3FD68C1D6DB0E539561A983F58C22A04BAA74D9A7OBB6D" TargetMode = "External"/>
	<Relationship Id="rId283" Type="http://schemas.openxmlformats.org/officeDocument/2006/relationships/hyperlink" Target="consultantplus://offline/ref=56728894F7790BDF1D21FD8867B9A3260C8265AB424F536624F6F64A9BA00068343BB6AC652403B3FD68C1D5D90E539561A983F58C22A04BAA74D9A7OBB6D" TargetMode = "External"/>
	<Relationship Id="rId284" Type="http://schemas.openxmlformats.org/officeDocument/2006/relationships/hyperlink" Target="consultantplus://offline/ref=56728894F7790BDF1D21FD8867B9A3260C8265AB424F51662CF7F64A9BA00068343BB6AC652403B3FD68C1D5DB0E539561A983F58C22A04BAA74D9A7OBB6D" TargetMode = "External"/>
	<Relationship Id="rId285" Type="http://schemas.openxmlformats.org/officeDocument/2006/relationships/hyperlink" Target="consultantplus://offline/ref=56728894F7790BDF1D21FD8867B9A3260C8265AB424F50632DF7F64A9BA00068343BB6AC652403B3FD68C0DDDB0E539561A983F58C22A04BAA74D9A7OBB6D" TargetMode = "External"/>
	<Relationship Id="rId286" Type="http://schemas.openxmlformats.org/officeDocument/2006/relationships/hyperlink" Target="consultantplus://offline/ref=56728894F7790BDF1D21FD8867B9A3260C8265AB424C54662CF5F64A9BA00068343BB6AC652403B3FD68C1D6DE0E539561A983F58C22A04BAA74D9A7OBB6D" TargetMode = "External"/>
	<Relationship Id="rId287" Type="http://schemas.openxmlformats.org/officeDocument/2006/relationships/hyperlink" Target="consultantplus://offline/ref=56728894F7790BDF1D21FD8867B9A3260C8265AB424C5E6227FEF64A9BA00068343BB6AC652403B3FD68C0D1D80E539561A983F58C22A04BAA74D9A7OBB6D" TargetMode = "External"/>
	<Relationship Id="rId288" Type="http://schemas.openxmlformats.org/officeDocument/2006/relationships/hyperlink" Target="consultantplus://offline/ref=56728894F7790BDF1D21FD8867B9A3260C8265AB424F50632DF7F64A9BA00068343BB6AC652403B3FD68C0DDD70E539561A983F58C22A04BAA74D9A7OBB6D" TargetMode = "External"/>
	<Relationship Id="rId289" Type="http://schemas.openxmlformats.org/officeDocument/2006/relationships/hyperlink" Target="consultantplus://offline/ref=56728894F7790BDF1D21FD8867B9A3260C8265AB424F536624F6F64A9BA00068343BB6AC652403B3FD68C1D5D80E539561A983F58C22A04BAA74D9A7OBB6D" TargetMode = "External"/>
	<Relationship Id="rId290" Type="http://schemas.openxmlformats.org/officeDocument/2006/relationships/hyperlink" Target="consultantplus://offline/ref=56728894F7790BDF1D21FD8867B9A3260C8265AB424C54662CF5F64A9BA00068343BB6AC652403B3FD68C1D6DC0E539561A983F58C22A04BAA74D9A7OBB6D" TargetMode = "External"/>
	<Relationship Id="rId291" Type="http://schemas.openxmlformats.org/officeDocument/2006/relationships/hyperlink" Target="consultantplus://offline/ref=56728894F7790BDF1D21FD8867B9A3260C8265AB424F50632DF7F64A9BA00068343BB6AC652403B3FD68C0DDD60E539561A983F58C22A04BAA74D9A7OBB6D" TargetMode = "External"/>
	<Relationship Id="rId292" Type="http://schemas.openxmlformats.org/officeDocument/2006/relationships/hyperlink" Target="consultantplus://offline/ref=56728894F7790BDF1D21FD8867B9A3260C8265AB424C5E6227FEF64A9BA00068343BB6AC652403B3FD68C0D1D60E539561A983F58C22A04BAA74D9A7OBB6D" TargetMode = "External"/>
	<Relationship Id="rId293" Type="http://schemas.openxmlformats.org/officeDocument/2006/relationships/hyperlink" Target="consultantplus://offline/ref=56728894F7790BDF1D21FD8867B9A3260C8265AB424C5E6227FEF64A9BA00068343BB6AC652403B3FD68C0D2DF0E539561A983F58C22A04BAA74D9A7OBB6D" TargetMode = "External"/>
	<Relationship Id="rId294" Type="http://schemas.openxmlformats.org/officeDocument/2006/relationships/hyperlink" Target="consultantplus://offline/ref=56728894F7790BDF1D21FD8867B9A3260C8265AB424C54662CF5F64A9BA00068343BB6AC652403B3FD68C1D7DC0E539561A983F58C22A04BAA74D9A7OBB6D" TargetMode = "External"/>
	<Relationship Id="rId295" Type="http://schemas.openxmlformats.org/officeDocument/2006/relationships/hyperlink" Target="consultantplus://offline/ref=56728894F7790BDF1D21FD8867B9A3260C8265AB424F50632DF7F64A9BA00068343BB6AC652403B3FD68C1D4DA0E539561A983F58C22A04BAA74D9A7OBB6D" TargetMode = "External"/>
	<Relationship Id="rId296" Type="http://schemas.openxmlformats.org/officeDocument/2006/relationships/hyperlink" Target="consultantplus://offline/ref=56728894F7790BDF1D21FD8867B9A3260C8265AB424F50632DF7F64A9BA00068343BB6AC652403B3FD68C1D4DA0E539561A983F58C22A04BAA74D9A7OBB6D" TargetMode = "External"/>
	<Relationship Id="rId297" Type="http://schemas.openxmlformats.org/officeDocument/2006/relationships/hyperlink" Target="consultantplus://offline/ref=56728894F7790BDF1D21FD8867B9A3260C8265AB424C54662CF5F64A9BA00068343BB6AC652403B3FD68C1D7D70E539561A983F58C22A04BAA74D9A7OBB6D" TargetMode = "External"/>
	<Relationship Id="rId298" Type="http://schemas.openxmlformats.org/officeDocument/2006/relationships/hyperlink" Target="consultantplus://offline/ref=56728894F7790BDF1D21FD8867B9A3260C8265AB424C5E6227FEF64A9BA00068343BB6AC652403B3FD68C0D2DA0E539561A983F58C22A04BAA74D9A7OBB6D" TargetMode = "External"/>
	<Relationship Id="rId299" Type="http://schemas.openxmlformats.org/officeDocument/2006/relationships/hyperlink" Target="consultantplus://offline/ref=56728894F7790BDF1D21E38571D5FD2F01893EAE40485C3279A3F01DC4F0063D667BE8F5246510B2F976C2D4DDO0B6D" TargetMode = "External"/>
	<Relationship Id="rId300" Type="http://schemas.openxmlformats.org/officeDocument/2006/relationships/hyperlink" Target="consultantplus://offline/ref=56728894F7790BDF1D21E38571D5FD2F01893EAE40485C3279A3F01DC4F0063D747BB0F926600EBAF46394859B500AC620E28EF3973EA04DOBB7D" TargetMode = "External"/>
	<Relationship Id="rId301" Type="http://schemas.openxmlformats.org/officeDocument/2006/relationships/hyperlink" Target="consultantplus://offline/ref=56728894F7790BDF1D21FD817EBEA3260C8265AB424D506725FCAB4093F90C6A3334E9A9623503B0F876C0D0C10707C6O2B6D" TargetMode = "External"/>
	<Relationship Id="rId302" Type="http://schemas.openxmlformats.org/officeDocument/2006/relationships/hyperlink" Target="consultantplus://offline/ref=56728894F7790BDF1D21E38571D5FD2F078832AE434A5C3279A3F01DC4F0063D747BB0F926600EB2F46394859B500AC620E28EF3973EA04DOBB7D" TargetMode = "External"/>
	<Relationship Id="rId303" Type="http://schemas.openxmlformats.org/officeDocument/2006/relationships/hyperlink" Target="consultantplus://offline/ref=56728894F7790BDF1D21E38571D5FD2F01893EAE40485C3279A3F01DC4F0063D747BB0F926600EBAF56394859B500AC620E28EF3973EA04DOBB7D" TargetMode = "External"/>
	<Relationship Id="rId304" Type="http://schemas.openxmlformats.org/officeDocument/2006/relationships/hyperlink" Target="consultantplus://offline/ref=56728894F7790BDF1D21FD8867B9A3260C8265AB464C556426FCAB4093F90C6A3334E9A9623503B0F876C0D0C10707C6O2B6D" TargetMode = "External"/>
	<Relationship Id="rId305" Type="http://schemas.openxmlformats.org/officeDocument/2006/relationships/hyperlink" Target="consultantplus://offline/ref=56728894F7790BDF1D21E38571D5FD2F01893EA0454B5C3279A3F01DC4F0063D667BE8F5246510B2F976C2D4DDO0B6D" TargetMode = "External"/>
	<Relationship Id="rId306" Type="http://schemas.openxmlformats.org/officeDocument/2006/relationships/hyperlink" Target="consultantplus://offline/ref=56728894F7790BDF1D21E38571D5FD2F018A3DA2424F5C3279A3F01DC4F0063D667BE8F5246510B2F976C2D4DDO0B6D" TargetMode = "External"/>
	<Relationship Id="rId307" Type="http://schemas.openxmlformats.org/officeDocument/2006/relationships/hyperlink" Target="consultantplus://offline/ref=56728894F7790BDF1D21FD8867B9A3260C8265AB424C54662CF5F64A9BA00068343BB6AC652403B3FD68C1D0DF0E539561A983F58C22A04BAA74D9A7OBB6D" TargetMode = "External"/>
	<Relationship Id="rId308" Type="http://schemas.openxmlformats.org/officeDocument/2006/relationships/hyperlink" Target="consultantplus://offline/ref=56728894F7790BDF1D21E38571D5FD2F018A3DA2424F5C3279A3F01DC4F0063D667BE8F5246510B2F976C2D4DDO0B6D" TargetMode = "External"/>
	<Relationship Id="rId309" Type="http://schemas.openxmlformats.org/officeDocument/2006/relationships/hyperlink" Target="consultantplus://offline/ref=56728894F7790BDF1D21FD8867B9A3260C8265AB424C54662CF5F64A9BA00068343BB6AC652403B3FD68C1D0DD0E539561A983F58C22A04BAA74D9A7OBB6D" TargetMode = "External"/>
	<Relationship Id="rId310" Type="http://schemas.openxmlformats.org/officeDocument/2006/relationships/hyperlink" Target="consultantplus://offline/ref=56728894F7790BDF1D21FD8867B9A3260C8265AB424C54662CF5F64A9BA00068343BB6AC652403B3FD68C1D0DC0E539561A983F58C22A04BAA74D9A7OBB6D" TargetMode = "External"/>
	<Relationship Id="rId311" Type="http://schemas.openxmlformats.org/officeDocument/2006/relationships/hyperlink" Target="consultantplus://offline/ref=56728894F7790BDF1D21FD8867B9A3260C8265AB424F5F6C23F6F64A9BA00068343BB6AC77245BBFFF6DDED4DB1B05C427OFBFD" TargetMode = "External"/>
	<Relationship Id="rId312" Type="http://schemas.openxmlformats.org/officeDocument/2006/relationships/hyperlink" Target="consultantplus://offline/ref=56728894F7790BDF1D21FD8867B9A3260C8265AB424C54662CF5F64A9BA00068343BB6AC652403B3FD68C1D0DB0E539561A983F58C22A04BAA74D9A7OBB6D" TargetMode = "External"/>
	<Relationship Id="rId313" Type="http://schemas.openxmlformats.org/officeDocument/2006/relationships/hyperlink" Target="consultantplus://offline/ref=56728894F7790BDF1D21FD8867B9A3260C8265AB424C54662CF5F64A9BA00068343BB6AC652403B3FD68C1D0DA0E539561A983F58C22A04BAA74D9A7OBB6D" TargetMode = "External"/>
	<Relationship Id="rId314" Type="http://schemas.openxmlformats.org/officeDocument/2006/relationships/hyperlink" Target="consultantplus://offline/ref=56728894F7790BDF1D21FD8867B9A3260C8265AB424C54662CF5F64A9BA00068343BB6AC652403B3FD68C1D0D90E539561A983F58C22A04BAA74D9A7OBB6D" TargetMode = "External"/>
	<Relationship Id="rId315" Type="http://schemas.openxmlformats.org/officeDocument/2006/relationships/hyperlink" Target="consultantplus://offline/ref=56728894F7790BDF1D21FD8867B9A3260C8265AB424F50632DF7F64A9BA00068343BB6AC652403B3FD68C1D4D80E539561A983F58C22A04BAA74D9A7OBB6D" TargetMode = "External"/>
	<Relationship Id="rId316" Type="http://schemas.openxmlformats.org/officeDocument/2006/relationships/hyperlink" Target="consultantplus://offline/ref=56728894F7790BDF1D21FD8867B9A3260C8265AB424F50632DF7F64A9BA00068343BB6AC652403B3FD68C1D4D60E539561A983F58C22A04BAA74D9A7OBB6D" TargetMode = "External"/>
	<Relationship Id="rId317" Type="http://schemas.openxmlformats.org/officeDocument/2006/relationships/hyperlink" Target="consultantplus://offline/ref=56728894F7790BDF1D21FD8867B9A3260C8265AB424C5E6227FEF64A9BA00068343BB6AC652403B3FD68C0D2D90E539561A983F58C22A04BAA74D9A7OBB6D" TargetMode = "External"/>
	<Relationship Id="rId318" Type="http://schemas.openxmlformats.org/officeDocument/2006/relationships/hyperlink" Target="consultantplus://offline/ref=56728894F7790BDF1D21FD8867B9A3260C8265AB424F50632DF7F64A9BA00068343BB6AC652403B3FD68C1D5DE0E539561A983F58C22A04BAA74D9A7OBB6D" TargetMode = "External"/>
	<Relationship Id="rId319" Type="http://schemas.openxmlformats.org/officeDocument/2006/relationships/hyperlink" Target="consultantplus://offline/ref=56728894F7790BDF1D21FD8867B9A3260C8265AB424F50632DF7F64A9BA00068343BB6AC652403B3FD68C1D5DD0E539561A983F58C22A04BAA74D9A7OBB6D" TargetMode = "External"/>
	<Relationship Id="rId320" Type="http://schemas.openxmlformats.org/officeDocument/2006/relationships/hyperlink" Target="consultantplus://offline/ref=56728894F7790BDF1D21FD8867B9A3260C8265AB424C54662CF5F64A9BA00068343BB6AC652403B3FD68C1D1DA0E539561A983F58C22A04BAA74D9A7OBB6D" TargetMode = "External"/>
	<Relationship Id="rId321" Type="http://schemas.openxmlformats.org/officeDocument/2006/relationships/hyperlink" Target="consultantplus://offline/ref=56728894F7790BDF1D21FD8867B9A3260C8265AB424F50632DF7F64A9BA00068343BB6AC652403B3FD68C1D5DC0E539561A983F58C22A04BAA74D9A7OBB6D" TargetMode = "External"/>
	<Relationship Id="rId322" Type="http://schemas.openxmlformats.org/officeDocument/2006/relationships/hyperlink" Target="consultantplus://offline/ref=56728894F7790BDF1D21FD8867B9A3260C8265AB424C54662CF5F64A9BA00068343BB6AC652403B3FD68C1D1D90E539561A983F58C22A04BAA74D9A7OBB6D" TargetMode = "External"/>
	<Relationship Id="rId323" Type="http://schemas.openxmlformats.org/officeDocument/2006/relationships/hyperlink" Target="consultantplus://offline/ref=56728894F7790BDF1D21FD8867B9A3260C8265AB424C54662CF5F64A9BA00068343BB6AC652403B3FD68C1D1D80E539561A983F58C22A04BAA74D9A7OBB6D" TargetMode = "External"/>
	<Relationship Id="rId324" Type="http://schemas.openxmlformats.org/officeDocument/2006/relationships/hyperlink" Target="consultantplus://offline/ref=56728894F7790BDF1D21FD8867B9A3260C8265AB424C526422F2F64A9BA00068343BB6AC652403B3FD60C3D6D60E539561A983F58C22A04BAA74D9A7OBB6D" TargetMode = "External"/>
	<Relationship Id="rId325" Type="http://schemas.openxmlformats.org/officeDocument/2006/relationships/hyperlink" Target="consultantplus://offline/ref=56728894F7790BDF1D21FD8867B9A3260C8265AB424C54662CF5F64A9BA00068343BB6AC652403B3FD68C1D1D60E539561A983F58C22A04BAA74D9A7OBB6D" TargetMode = "External"/>
	<Relationship Id="rId326" Type="http://schemas.openxmlformats.org/officeDocument/2006/relationships/hyperlink" Target="consultantplus://offline/ref=56728894F7790BDF1D21FD8867B9A3260C8265AB424C54662CF5F64A9BA00068343BB6AC652403B3FD68C1D2DF0E539561A983F58C22A04BAA74D9A7OBB6D" TargetMode = "External"/>
	<Relationship Id="rId327" Type="http://schemas.openxmlformats.org/officeDocument/2006/relationships/hyperlink" Target="consultantplus://offline/ref=56728894F7790BDF1D21FD8867B9A3260C8265AB424C54662CF5F64A9BA00068343BB6AC652403B3FD68C1D2DE0E539561A983F58C22A04BAA74D9A7OBB6D" TargetMode = "External"/>
	<Relationship Id="rId328" Type="http://schemas.openxmlformats.org/officeDocument/2006/relationships/hyperlink" Target="consultantplus://offline/ref=56728894F7790BDF1D21FD8867B9A3260C8265AB424C54662CF5F64A9BA00068343BB6AC652403B3FD68C1D2DC0E539561A983F58C22A04BAA74D9A7OBB6D" TargetMode = "External"/>
	<Relationship Id="rId329" Type="http://schemas.openxmlformats.org/officeDocument/2006/relationships/hyperlink" Target="consultantplus://offline/ref=56728894F7790BDF1D21FD8867B9A3260C8265AB424C54662CF5F64A9BA00068343BB6AC652403B3FD68C1D2DA0E539561A983F58C22A04BAA74D9A7OBB6D" TargetMode = "External"/>
	<Relationship Id="rId330" Type="http://schemas.openxmlformats.org/officeDocument/2006/relationships/hyperlink" Target="consultantplus://offline/ref=56728894F7790BDF1D21FD8867B9A3260C8265AB4248566622F1F64A9BA00068343BB6AC652403B3FD68C0D4D60E539561A983F58C22A04BAA74D9A7OBB6D" TargetMode = "External"/>
	<Relationship Id="rId331" Type="http://schemas.openxmlformats.org/officeDocument/2006/relationships/hyperlink" Target="consultantplus://offline/ref=56728894F7790BDF1D21FD8867B9A3260C8265AB424A536725FFF64A9BA00068343BB6AC77245BBFFF6DDED4DB1B05C427OFBFD" TargetMode = "External"/>
	<Relationship Id="rId332" Type="http://schemas.openxmlformats.org/officeDocument/2006/relationships/hyperlink" Target="consultantplus://offline/ref=56728894F7790BDF1D21FD8867B9A3260C8265AB424C54662CF5F64A9BA00068343BB6AC652403B3FD68C1D2D90E539561A983F58C22A04BAA74D9A7OBB6D" TargetMode = "External"/>
	<Relationship Id="rId333" Type="http://schemas.openxmlformats.org/officeDocument/2006/relationships/hyperlink" Target="consultantplus://offline/ref=56728894F7790BDF1D21FD8867B9A3260C8265AB424F50632DF7F64A9BA00068343BB6AC652403B3FD68C1D5DB0E539561A983F58C22A04BAA74D9A7OBB6D" TargetMode = "External"/>
	<Relationship Id="rId334" Type="http://schemas.openxmlformats.org/officeDocument/2006/relationships/hyperlink" Target="consultantplus://offline/ref=56728894F7790BDF1D21FD8867B9A3260C8265AB424C54662CF5F64A9BA00068343BB6AC652403B3FD68C1D2D70E539561A983F58C22A04BAA74D9A7OBB6D" TargetMode = "External"/>
	<Relationship Id="rId335" Type="http://schemas.openxmlformats.org/officeDocument/2006/relationships/hyperlink" Target="consultantplus://offline/ref=56728894F7790BDF1D21FD8867B9A3260C8265AB424C5E6227FEF64A9BA00068343BB6AC652403B3FD68C0D2D80E539561A983F58C22A04BAA74D9A7OBB6D" TargetMode = "External"/>
	<Relationship Id="rId336" Type="http://schemas.openxmlformats.org/officeDocument/2006/relationships/hyperlink" Target="consultantplus://offline/ref=56728894F7790BDF1D21FD8867B9A3260C8265AB424C5E6227FEF64A9BA00068343BB6AC652403B3FD68C0D2D70E539561A983F58C22A04BAA74D9A7OBB6D" TargetMode = "External"/>
	<Relationship Id="rId337" Type="http://schemas.openxmlformats.org/officeDocument/2006/relationships/hyperlink" Target="consultantplus://offline/ref=56728894F7790BDF1D21FD8867B9A3260C8265AB424D546420F2F64A9BA00068343BB6AC652403B3FD68C0D3D60E539561A983F58C22A04BAA74D9A7OBB6D" TargetMode = "External"/>
	<Relationship Id="rId338" Type="http://schemas.openxmlformats.org/officeDocument/2006/relationships/hyperlink" Target="consultantplus://offline/ref=56728894F7790BDF1D21FD8867B9A3260C8265AB424D546D27F0F64A9BA00068343BB6AC652403B3FD68C0D5DD0E539561A983F58C22A04BAA74D9A7OBB6D" TargetMode = "External"/>
	<Relationship Id="rId339" Type="http://schemas.openxmlformats.org/officeDocument/2006/relationships/hyperlink" Target="consultantplus://offline/ref=56728894F7790BDF1D21FD8867B9A3260C8265AB424D5F6420FEF64A9BA00068343BB6AC652403B3FD68C0D1DF0E539561A983F58C22A04BAA74D9A7OBB6D" TargetMode = "External"/>
	<Relationship Id="rId340" Type="http://schemas.openxmlformats.org/officeDocument/2006/relationships/hyperlink" Target="consultantplus://offline/ref=56728894F7790BDF1D21FD8867B9A3260C8265AB424A5F6C27F6F64A9BA00068343BB6AC652403B3FD68C0D5D60E539561A983F58C22A04BAA74D9A7OBB6D" TargetMode = "External"/>
	<Relationship Id="rId341" Type="http://schemas.openxmlformats.org/officeDocument/2006/relationships/hyperlink" Target="consultantplus://offline/ref=56728894F7790BDF1D21FD8867B9A3260C8265AB424B566322F3F64A9BA00068343BB6AC652403B3FD68C0D5DF0E539561A983F58C22A04BAA74D9A7OBB6D" TargetMode = "External"/>
	<Relationship Id="rId342" Type="http://schemas.openxmlformats.org/officeDocument/2006/relationships/hyperlink" Target="consultantplus://offline/ref=56728894F7790BDF1D21FD8867B9A3260C8265AB424B5F652CF6F64A9BA00068343BB6AC652403B3FD68C0D3D60E539561A983F58C22A04BAA74D9A7OBB6D" TargetMode = "External"/>
	<Relationship Id="rId343" Type="http://schemas.openxmlformats.org/officeDocument/2006/relationships/hyperlink" Target="consultantplus://offline/ref=56728894F7790BDF1D21FD8867B9A3260C8265AB4248576227F4F64A9BA00068343BB6AC652403B3FD68C0D0DA0E539561A983F58C22A04BAA74D9A7OBB6D" TargetMode = "External"/>
	<Relationship Id="rId344" Type="http://schemas.openxmlformats.org/officeDocument/2006/relationships/hyperlink" Target="consultantplus://offline/ref=56728894F7790BDF1D21FD8867B9A3260C8265AB424A5F6C27F6F64A9BA00068343BB6AC652403B3FD68C0D6DE0E539561A983F58C22A04BAA74D9A7OBB6D" TargetMode = "External"/>
	<Relationship Id="rId345" Type="http://schemas.openxmlformats.org/officeDocument/2006/relationships/hyperlink" Target="consultantplus://offline/ref=56728894F7790BDF1D21FD8867B9A3260C8265AB424B5F652CF6F64A9BA00068343BB6AC652403B3FD68C0DCDE0E539561A983F58C22A04BAA74D9A7OBB6D" TargetMode = "External"/>
	<Relationship Id="rId346" Type="http://schemas.openxmlformats.org/officeDocument/2006/relationships/hyperlink" Target="consultantplus://offline/ref=56728894F7790BDF1D21E38571D5FD2F018A3DA2424F5C3279A3F01DC4F0063D667BE8F5246510B2F976C2D4DDO0B6D" TargetMode = "External"/>
	<Relationship Id="rId347" Type="http://schemas.openxmlformats.org/officeDocument/2006/relationships/hyperlink" Target="consultantplus://offline/ref=56728894F7790BDF1D21FD8867B9A3260C8265AB424B5F652CF6F64A9BA00068343BB6AC652403B3FD68C0DCDD0E539561A983F58C22A04BAA74D9A7OBB6D" TargetMode = "External"/>
	<Relationship Id="rId348" Type="http://schemas.openxmlformats.org/officeDocument/2006/relationships/hyperlink" Target="consultantplus://offline/ref=56728894F7790BDF1D21FD8867B9A3260C8265AB4248576227F4F64A9BA00068343BB6AC652403B3FD68C0D0D70E539561A983F58C22A04BAA74D9A7OBB6D" TargetMode = "External"/>
	<Relationship Id="rId349" Type="http://schemas.openxmlformats.org/officeDocument/2006/relationships/hyperlink" Target="consultantplus://offline/ref=56728894F7790BDF1D21FD8867B9A3260C8265AB424A5F6C27F6F64A9BA00068343BB6AC652403B3FD68C0D6D80E539561A983F58C22A04BAA74D9A7OBB6D" TargetMode = "External"/>
	<Relationship Id="rId350" Type="http://schemas.openxmlformats.org/officeDocument/2006/relationships/hyperlink" Target="consultantplus://offline/ref=56728894F7790BDF1D21FD8867B9A3260C8265AB424A5F6C27F6F64A9BA00068343BB6AC652403B3FD68C0D7DC0E539561A983F58C22A04BAA74D9A7OBB6D" TargetMode = "External"/>
	<Relationship Id="rId351" Type="http://schemas.openxmlformats.org/officeDocument/2006/relationships/hyperlink" Target="consultantplus://offline/ref=56728894F7790BDF1D21FD8867B9A3260C8265AB424D5F6420FEF64A9BA00068343BB6AC652403B3FD68C0D2DC0E539561A983F58C22A04BAA74D9A7OBB6D" TargetMode = "External"/>
	<Relationship Id="rId352" Type="http://schemas.openxmlformats.org/officeDocument/2006/relationships/hyperlink" Target="consultantplus://offline/ref=56728894F7790BDF1D21FD8867B9A3260C8265AB424A5F6C27F6F64A9BA00068343BB6AC652403B3FD68C0D7DC0E539561A983F58C22A04BAA74D9A7OBB6D" TargetMode = "External"/>
	<Relationship Id="rId353" Type="http://schemas.openxmlformats.org/officeDocument/2006/relationships/hyperlink" Target="consultantplus://offline/ref=56728894F7790BDF1D21FD8867B9A3260C8265AB424B5F652CF6F64A9BA00068343BB6AC652403B3FD68C1D4DD0E539561A983F58C22A04BAA74D9A7OBB6D" TargetMode = "External"/>
	<Relationship Id="rId354" Type="http://schemas.openxmlformats.org/officeDocument/2006/relationships/hyperlink" Target="consultantplus://offline/ref=56728894F7790BDF1D21FD8867B9A3260C8265AB4248576227F4F64A9BA00068343BB6AC652403B3FD68C0D1DC0E539561A983F58C22A04BAA74D9A7OBB6D" TargetMode = "External"/>
	<Relationship Id="rId355" Type="http://schemas.openxmlformats.org/officeDocument/2006/relationships/hyperlink" Target="consultantplus://offline/ref=56728894F7790BDF1D21FD8867B9A3260C8265AB4248576227F4F64A9BA00068343BB6AC652403B3FD68C0D1DC0E539561A983F58C22A04BAA74D9A7OBB6D" TargetMode = "External"/>
	<Relationship Id="rId356" Type="http://schemas.openxmlformats.org/officeDocument/2006/relationships/hyperlink" Target="consultantplus://offline/ref=56728894F7790BDF1D21FD8867B9A3260C8265AB424A516423F6F64A9BA00068343BB6AC77245BBFFF6DDED4DB1B05C427OFBFD" TargetMode = "External"/>
	<Relationship Id="rId357" Type="http://schemas.openxmlformats.org/officeDocument/2006/relationships/hyperlink" Target="consultantplus://offline/ref=56728894F7790BDF1D21FD8867B9A3260C8265AB424D546420F2F64A9BA00068343BB6AC652403B3FD68C0DCDF0E539561A983F58C22A04BAA74D9A7OBB6D" TargetMode = "External"/>
	<Relationship Id="rId358" Type="http://schemas.openxmlformats.org/officeDocument/2006/relationships/hyperlink" Target="consultantplus://offline/ref=56728894F7790BDF1D21FD8867B9A3260C8265AB424D546D27F0F64A9BA00068343BB6AC652403B3FD68C0D5DD0E539561A983F58C22A04BAA74D9A7OBB6D" TargetMode = "External"/>
	<Relationship Id="rId359" Type="http://schemas.openxmlformats.org/officeDocument/2006/relationships/hyperlink" Target="consultantplus://offline/ref=56728894F7790BDF1D21FD8867B9A3260C8265AB424D546420F2F64A9BA00068343BB6AC652403B3FD68C0DCDE0E539561A983F58C22A04BAA74D9A7OBB6D" TargetMode = "External"/>
	<Relationship Id="rId360" Type="http://schemas.openxmlformats.org/officeDocument/2006/relationships/hyperlink" Target="consultantplus://offline/ref=56728894F7790BDF1D21FD8867B9A3260C8265AB424B566322F3F64A9BA00068343BB6AC652403B3FD68C0D5DF0E539561A983F58C22A04BAA74D9A7OBB6D" TargetMode = "External"/>
	<Relationship Id="rId361" Type="http://schemas.openxmlformats.org/officeDocument/2006/relationships/hyperlink" Target="consultantplus://offline/ref=56728894F7790BDF1D21FD8867B9A3260C8265AB4248576227F4F64A9BA00068343BB6AC652403B3FD68C0D1DC0E539561A983F58C22A04BAA74D9A7OBB6D" TargetMode = "External"/>
	<Relationship Id="rId362" Type="http://schemas.openxmlformats.org/officeDocument/2006/relationships/hyperlink" Target="consultantplus://offline/ref=56728894F7790BDF1D21FD8867B9A3260C8265AB4B4E5F6622FCAB4093F90C6A3334E9BB626D0FB2FD68C7D3D451568070F18CF2973CA451B676DBOAB6D" TargetMode = "External"/>
	<Relationship Id="rId363" Type="http://schemas.openxmlformats.org/officeDocument/2006/relationships/hyperlink" Target="consultantplus://offline/ref=56728894F7790BDF1D21FD8867B9A3260C8265AB4B49546320FCAB4093F90C6A3334E9BB626D0FB2FD68C5D3D451568070F18CF2973CA451B676DBOAB6D" TargetMode = "External"/>
	<Relationship Id="rId364" Type="http://schemas.openxmlformats.org/officeDocument/2006/relationships/hyperlink" Target="consultantplus://offline/ref=56728894F7790BDF1D21FD8867B9A3260C8265AB4A49576125FCAB4093F90C6A3334E9BB626D0FB2FD68C8D4D451568070F18CF2973CA451B676DBOAB6D" TargetMode = "External"/>
	<Relationship Id="rId365" Type="http://schemas.openxmlformats.org/officeDocument/2006/relationships/hyperlink" Target="consultantplus://offline/ref=56728894F7790BDF1D21FD8867B9A3260C8265AB424F57632DF7F64A9BA00068343BB6AC652403B3FD68C1D6DA0E539561A983F58C22A04BAA74D9A7OBB6D" TargetMode = "External"/>
	<Relationship Id="rId366" Type="http://schemas.openxmlformats.org/officeDocument/2006/relationships/hyperlink" Target="consultantplus://offline/ref=56728894F7790BDF1D21FD8867B9A3260C8265AB424F50632DF7F64A9BA00068343BB6AC652403B3FD68C1D5DA0E539561A983F58C22A04BAA74D9A7OBB6D" TargetMode = "External"/>
	<Relationship Id="rId367" Type="http://schemas.openxmlformats.org/officeDocument/2006/relationships/hyperlink" Target="consultantplus://offline/ref=56728894F7790BDF1D21FD8867B9A3260C8265AB424F50632DF7F64A9BA00068343BB6AC652403B3FD68C1D5D70E539561A983F58C22A04BAA74D9A7OBB6D" TargetMode = "External"/>
	<Relationship Id="rId368" Type="http://schemas.openxmlformats.org/officeDocument/2006/relationships/hyperlink" Target="consultantplus://offline/ref=56728894F7790BDF1D21FD8867B9A3260C8265AB424F57632DF7F64A9BA00068343BB6AC652403B3FD68C1D6D80E539561A983F58C22A04BAA74D9A7OBB6D" TargetMode = "External"/>
	<Relationship Id="rId369" Type="http://schemas.openxmlformats.org/officeDocument/2006/relationships/hyperlink" Target="consultantplus://offline/ref=56728894F7790BDF1D21FD8867B9A3260C8265AB424F57632DF7F64A9BA00068343BB6AC652403B3FD68C1D6D70E539561A983F58C22A04BAA74D9A7OBB6D" TargetMode = "External"/>
	<Relationship Id="rId370" Type="http://schemas.openxmlformats.org/officeDocument/2006/relationships/hyperlink" Target="consultantplus://offline/ref=56728894F7790BDF1D21FD8867B9A3260C8265AB4A49576125FCAB4093F90C6A3334E9BB626D0FB2FD68C8D6D451568070F18CF2973CA451B676DBOAB6D" TargetMode = "External"/>
	<Relationship Id="rId371" Type="http://schemas.openxmlformats.org/officeDocument/2006/relationships/hyperlink" Target="consultantplus://offline/ref=56728894F7790BDF1D21FD8867B9A3260C8265AB4A49576125FCAB4093F90C6A3334E9BB626D0FB2FD68C8D7D451568070F18CF2973CA451B676DBOAB6D" TargetMode = "External"/>
	<Relationship Id="rId372" Type="http://schemas.openxmlformats.org/officeDocument/2006/relationships/hyperlink" Target="consultantplus://offline/ref=56728894F7790BDF1D21FD8867B9A3260C8265AB4A49576125FCAB4093F90C6A3334E9BB626D0FB2FD68C8DCD451568070F18CF2973CA451B676DBOAB6D" TargetMode = "External"/>
	<Relationship Id="rId373" Type="http://schemas.openxmlformats.org/officeDocument/2006/relationships/hyperlink" Target="consultantplus://offline/ref=56728894F7790BDF1D21FD8867B9A3260C8265AB4B4E5F6622FCAB4093F90C6A3334E9BB626D0FB2FD68C8D2D451568070F18CF2973CA451B676DBOAB6D" TargetMode = "External"/>
	<Relationship Id="rId374" Type="http://schemas.openxmlformats.org/officeDocument/2006/relationships/hyperlink" Target="consultantplus://offline/ref=56728894F7790BDF1D21FD8867B9A3260C8265AB4A49576125FCAB4093F90C6A3334E9BB626D0FB2FD68C9D7D451568070F18CF2973CA451B676DBOAB6D" TargetMode = "External"/>
	<Relationship Id="rId375" Type="http://schemas.openxmlformats.org/officeDocument/2006/relationships/hyperlink" Target="consultantplus://offline/ref=56728894F7790BDF1D21FD8867B9A3260C8265AB4A49576125FCAB4093F90C6A3334E9BB626D0FB2FD68C9DDD451568070F18CF2973CA451B676DBOAB6D" TargetMode = "External"/>
	<Relationship Id="rId376" Type="http://schemas.openxmlformats.org/officeDocument/2006/relationships/hyperlink" Target="consultantplus://offline/ref=56728894F7790BDF1D21E38571D5FD2F048B32A5404B5C3279A3F01DC4F0063D667BE8F5246510B2F976C2D4DDO0B6D" TargetMode = "External"/>
	<Relationship Id="rId377" Type="http://schemas.openxmlformats.org/officeDocument/2006/relationships/hyperlink" Target="consultantplus://offline/ref=56728894F7790BDF1D21FD8867B9A3260C8265AB4A49576125FCAB4093F90C6A3334E9BB626D0FB2FD69C0D4D451568070F18CF2973CA451B676DBOAB6D" TargetMode = "External"/>
	<Relationship Id="rId378" Type="http://schemas.openxmlformats.org/officeDocument/2006/relationships/hyperlink" Target="consultantplus://offline/ref=56728894F7790BDF1D21FD8867B9A3260C8265AB4B4F506124FCAB4093F90C6A3334E9A9623503B0F876C0D0C10707C6O2B6D" TargetMode = "External"/>
	<Relationship Id="rId379" Type="http://schemas.openxmlformats.org/officeDocument/2006/relationships/hyperlink" Target="consultantplus://offline/ref=56728894F7790BDF1D21FD8867B9A3260C8265AB444E556721FCAB4093F90C6A3334E9BB626D0FB2FD68C4D7D451568070F18CF2973CA451B676DBOAB6D" TargetMode = "External"/>
	<Relationship Id="rId380" Type="http://schemas.openxmlformats.org/officeDocument/2006/relationships/hyperlink" Target="consultantplus://offline/ref=56728894F7790BDF1D21E38571D5FD2F01893DA7404D5C3279A3F01DC4F0063D667BE8F5246510B2F976C2D4DDO0B6D" TargetMode = "External"/>
	<Relationship Id="rId381" Type="http://schemas.openxmlformats.org/officeDocument/2006/relationships/hyperlink" Target="consultantplus://offline/ref=56728894F7790BDF1D21FD8867B9A3260C8265AB4A49576125FCAB4093F90C6A3334E9BB626D0FB2FD69C0D6D451568070F18CF2973CA451B676DBOAB6D" TargetMode = "External"/>
	<Relationship Id="rId382" Type="http://schemas.openxmlformats.org/officeDocument/2006/relationships/hyperlink" Target="consultantplus://offline/ref=56728894F7790BDF1D21FD8867B9A3260C8265AB424F57632DF7F64A9BA00068343BB6AC652403B3FD68C1D7DE0E539561A983F58C22A04BAA74D9A7OBB6D" TargetMode = "External"/>
	<Relationship Id="rId383" Type="http://schemas.openxmlformats.org/officeDocument/2006/relationships/hyperlink" Target="consultantplus://offline/ref=56728894F7790BDF1D21FD8867B9A3260C8265AB4A49576125FCAB4093F90C6A3334E9BB626D0FB2FD69C0D1D451568070F18CF2973CA451B676DBOAB6D" TargetMode = "External"/>
	<Relationship Id="rId384" Type="http://schemas.openxmlformats.org/officeDocument/2006/relationships/hyperlink" Target="consultantplus://offline/ref=56728894F7790BDF1D21FD8867B9A3260C8265AB4A49576125FCAB4093F90C6A3334E9BB626D0FB2FD69C0D1D451568070F18CF2973CA451B676DBOAB6D" TargetMode = "External"/>
	<Relationship Id="rId385" Type="http://schemas.openxmlformats.org/officeDocument/2006/relationships/hyperlink" Target="consultantplus://offline/ref=56728894F7790BDF1D21FD8867B9A3260C8265AB4A49576125FCAB4093F90C6A3334E9BB626D0FB2FD69C0D2D451568070F18CF2973CA451B676DBOAB6D" TargetMode = "External"/>
	<Relationship Id="rId386" Type="http://schemas.openxmlformats.org/officeDocument/2006/relationships/hyperlink" Target="consultantplus://offline/ref=56728894F7790BDF1D21FD8867B9A3260C8265AB4B4E5F6622FCAB4093F90C6A3334E9BB626D0FB2FD68C8DDD451568070F18CF2973CA451B676DBOAB6D" TargetMode = "External"/>
	<Relationship Id="rId387" Type="http://schemas.openxmlformats.org/officeDocument/2006/relationships/hyperlink" Target="consultantplus://offline/ref=56728894F7790BDF1D21FD8867B9A3260C8265AB424F5E6D27F3F64A9BA00068343BB6AC77245BBFFF6DDED4DB1B05C427OFBFD" TargetMode = "External"/>
	<Relationship Id="rId388" Type="http://schemas.openxmlformats.org/officeDocument/2006/relationships/hyperlink" Target="consultantplus://offline/ref=56728894F7790BDF1D21FD8867B9A3260C8265AB4A4B526C26FCAB4093F90C6A3334E9A9623503B0F876C0D0C10707C6O2B6D" TargetMode = "External"/>
	<Relationship Id="rId389" Type="http://schemas.openxmlformats.org/officeDocument/2006/relationships/hyperlink" Target="consultantplus://offline/ref=56728894F7790BDF1D21FD8867B9A3260C8265AB4B4E5F6622FCAB4093F90C6A3334E9BB626D0FB2FD68C9D4D451568070F18CF2973CA451B676DBOAB6D" TargetMode = "External"/>
	<Relationship Id="rId390" Type="http://schemas.openxmlformats.org/officeDocument/2006/relationships/hyperlink" Target="consultantplus://offline/ref=56728894F7790BDF1D21FD8867B9A3260C8265AB424F576624F0F64A9BA00068343BB6AC652403B3FD68C0D4D60E539561A983F58C22A04BAA74D9A7OBB6D" TargetMode = "External"/>
	<Relationship Id="rId391" Type="http://schemas.openxmlformats.org/officeDocument/2006/relationships/hyperlink" Target="consultantplus://offline/ref=56728894F7790BDF1D21E38571D5FD2F048B32A5404B5C3279A3F01DC4F0063D667BE8F5246510B2F976C2D4DDO0B6D" TargetMode = "External"/>
	<Relationship Id="rId392" Type="http://schemas.openxmlformats.org/officeDocument/2006/relationships/hyperlink" Target="consultantplus://offline/ref=56728894F7790BDF1D21E38571D5FD2F018D38A145475C3279A3F01DC4F0063D747BB0FC266705E6AC2C95D9DD0019C421E28CF78BO3BFD" TargetMode = "External"/>
	<Relationship Id="rId393" Type="http://schemas.openxmlformats.org/officeDocument/2006/relationships/hyperlink" Target="consultantplus://offline/ref=56728894F7790BDF1D21FD8867B9A3260C8265AB4B4F506124FCAB4093F90C6A3334E9A9623503B0F876C0D0C10707C6O2B6D" TargetMode = "External"/>
	<Relationship Id="rId394" Type="http://schemas.openxmlformats.org/officeDocument/2006/relationships/hyperlink" Target="consultantplus://offline/ref=56728894F7790BDF1D21FD8867B9A3260C8265AB444E556721FCAB4093F90C6A3334E9A9623503B0F876C0D0C10707C6O2B6D" TargetMode = "External"/>
	<Relationship Id="rId395" Type="http://schemas.openxmlformats.org/officeDocument/2006/relationships/hyperlink" Target="consultantplus://offline/ref=56728894F7790BDF1D21FD8867B9A3260C8265AB424F57632DF7F64A9BA00068343BB6AC652403B3FD68C1D7DC0E539561A983F58C22A04BAA74D9A7OBB6D" TargetMode = "External"/>
	<Relationship Id="rId396" Type="http://schemas.openxmlformats.org/officeDocument/2006/relationships/hyperlink" Target="consultantplus://offline/ref=56728894F7790BDF1D21FD8867B9A3260C8265AB424F57632DF7F64A9BA00068343BB6AC652403B3FD68C1D7DB0E539561A983F58C22A04BAA74D9A7OBB6D" TargetMode = "External"/>
	<Relationship Id="rId397" Type="http://schemas.openxmlformats.org/officeDocument/2006/relationships/hyperlink" Target="consultantplus://offline/ref=56728894F7790BDF1D21FD8867B9A3260C8265AB424F57632DF7F64A9BA00068343BB6AC652403B3FD68C1D7DC0E539561A983F58C22A04BAA74D9A7OBB6D" TargetMode = "External"/>
	<Relationship Id="rId398" Type="http://schemas.openxmlformats.org/officeDocument/2006/relationships/hyperlink" Target="consultantplus://offline/ref=56728894F7790BDF1D21FD8867B9A3260C8265AB424F57632DF7F64A9BA00068343BB6AC652403B3FD68C1D7DA0E539561A983F58C22A04BAA74D9A7OBB6D" TargetMode = "External"/>
	<Relationship Id="rId399" Type="http://schemas.openxmlformats.org/officeDocument/2006/relationships/hyperlink" Target="consultantplus://offline/ref=56728894F7790BDF1D21E38571D5FD2F01893DA7404D5C3279A3F01DC4F0063D667BE8F5246510B2F976C2D4DDO0B6D" TargetMode = "External"/>
	<Relationship Id="rId400" Type="http://schemas.openxmlformats.org/officeDocument/2006/relationships/hyperlink" Target="consultantplus://offline/ref=56728894F7790BDF1D21FD8867B9A3260C8265AB4B4E5F6622FCAB4093F90C6A3334E9BB626D0FB2FD68C9D6D451568070F18CF2973CA451B676DBOAB6D" TargetMode = "External"/>
	<Relationship Id="rId401" Type="http://schemas.openxmlformats.org/officeDocument/2006/relationships/hyperlink" Target="consultantplus://offline/ref=56728894F7790BDF1D21FD8867B9A3260C8265AB4B4E5F6622FCAB4093F90C6A3334E9BB626D0FB2FD68C9D7D451568070F18CF2973CA451B676DBOAB6D" TargetMode = "External"/>
	<Relationship Id="rId402" Type="http://schemas.openxmlformats.org/officeDocument/2006/relationships/hyperlink" Target="consultantplus://offline/ref=56728894F7790BDF1D21FD8867B9A3260C8265AB4B4E5F6622FCAB4093F90C6A3334E9BB626D0FB2FD68C9D0D451568070F18CF2973CA451B676DBOAB6D" TargetMode = "External"/>
	<Relationship Id="rId403" Type="http://schemas.openxmlformats.org/officeDocument/2006/relationships/hyperlink" Target="consultantplus://offline/ref=56728894F7790BDF1D21FD8867B9A3260C8265AB424F57632DF7F64A9BA00068343BB6AC652403B3FD68C1D7D90E539561A983F58C22A04BAA74D9A7OBB6D" TargetMode = "External"/>
	<Relationship Id="rId404" Type="http://schemas.openxmlformats.org/officeDocument/2006/relationships/hyperlink" Target="consultantplus://offline/ref=56728894F7790BDF1D21FD8867B9A3260C8265AB4A49576125FCAB4093F90C6A3334E9BB626D0FB2FD69C0D3D451568070F18CF2973CA451B676DBOAB6D" TargetMode = "External"/>
	<Relationship Id="rId405" Type="http://schemas.openxmlformats.org/officeDocument/2006/relationships/hyperlink" Target="consultantplus://offline/ref=56728894F7790BDF1D21FD8867B9A3260C8265AB4A49576125FCAB4093F90C6A3334E9BB626D0FB2FD69C1D6D451568070F18CF2973CA451B676DBOAB6D" TargetMode = "External"/>
	<Relationship Id="rId406" Type="http://schemas.openxmlformats.org/officeDocument/2006/relationships/hyperlink" Target="consultantplus://offline/ref=56728894F7790BDF1D21FD8867B9A3260C8265AB424E54622CF5F64A9BA00068343BB6AC652403B3FD68C1D5DF0E539561A983F58C22A04BAA74D9A7OBB6D" TargetMode = "External"/>
	<Relationship Id="rId407" Type="http://schemas.openxmlformats.org/officeDocument/2006/relationships/hyperlink" Target="consultantplus://offline/ref=56728894F7790BDF1D21FD8867B9A3260C8265AB424E526223F3F64A9BA00068343BB6AC652403B3FD68C0D6DA0E539561A983F58C22A04BAA74D9A7OBB6D" TargetMode = "External"/>
	<Relationship Id="rId408" Type="http://schemas.openxmlformats.org/officeDocument/2006/relationships/hyperlink" Target="consultantplus://offline/ref=56728894F7790BDF1D21FD8867B9A3260C8265AB424F57632DF7F64A9BA00068343BB6AC652403B3FD68C1D7D70E539561A983F58C22A04BAA74D9A7OBB6D" TargetMode = "External"/>
	<Relationship Id="rId409" Type="http://schemas.openxmlformats.org/officeDocument/2006/relationships/hyperlink" Target="consultantplus://offline/ref=56728894F7790BDF1D21FD8867B9A3260C8265AB424F536624F6F64A9BA00068343BB6AC652403B3FD68C1D6DC0E539561A983F58C22A04BAA74D9A7OBB6D" TargetMode = "External"/>
	<Relationship Id="rId410" Type="http://schemas.openxmlformats.org/officeDocument/2006/relationships/hyperlink" Target="consultantplus://offline/ref=56728894F7790BDF1D21FD8867B9A3260C8265AB424F51662CF7F64A9BA00068343BB6AC652403B3FD68C1D5D60E539561A983F58C22A04BAA74D9A7OBB6D" TargetMode = "External"/>
	<Relationship Id="rId411" Type="http://schemas.openxmlformats.org/officeDocument/2006/relationships/hyperlink" Target="consultantplus://offline/ref=56728894F7790BDF1D21FD8867B9A3260C8265AB424F50632DF7F64A9BA00068343BB6AC652403B3FD68C1D5D60E539561A983F58C22A04BAA74D9A7OBB6D" TargetMode = "External"/>
	<Relationship Id="rId412" Type="http://schemas.openxmlformats.org/officeDocument/2006/relationships/hyperlink" Target="consultantplus://offline/ref=56728894F7790BDF1D21FD8867B9A3260C8265AB424C54662CF5F64A9BA00068343BB6AC652403B3FD68C1D3DF0E539561A983F58C22A04BAA74D9A7OBB6D" TargetMode = "External"/>
	<Relationship Id="rId413" Type="http://schemas.openxmlformats.org/officeDocument/2006/relationships/hyperlink" Target="consultantplus://offline/ref=56728894F7790BDF1D21FD8867B9A3260C8265AB424C5E6227FEF64A9BA00068343BB6AC652403B3FD68C0D2D60E539561A983F58C22A04BAA74D9A7OBB6D" TargetMode = "External"/>
	<Relationship Id="rId414" Type="http://schemas.openxmlformats.org/officeDocument/2006/relationships/hyperlink" Target="consultantplus://offline/ref=56728894F7790BDF1D21FD8867B9A3260C8265AB424D546420F2F64A9BA00068343BB6AC652403B3FD68C0DCDC0E539561A983F58C22A04BAA74D9A7OBB6D" TargetMode = "External"/>
	<Relationship Id="rId415" Type="http://schemas.openxmlformats.org/officeDocument/2006/relationships/hyperlink" Target="consultantplus://offline/ref=56728894F7790BDF1D21FD8867B9A3260C8265AB424D546D27F0F64A9BA00068343BB6AC652403B3FD68C0D5DC0E539561A983F58C22A04BAA74D9A7OBB6D" TargetMode = "External"/>
	<Relationship Id="rId416" Type="http://schemas.openxmlformats.org/officeDocument/2006/relationships/hyperlink" Target="consultantplus://offline/ref=56728894F7790BDF1D21FD8867B9A3260C8265AB424D5F6420FEF64A9BA00068343BB6AC652403B3FD68C1D4DD0E539561A983F58C22A04BAA74D9A7OBB6D" TargetMode = "External"/>
	<Relationship Id="rId417" Type="http://schemas.openxmlformats.org/officeDocument/2006/relationships/hyperlink" Target="consultantplus://offline/ref=56728894F7790BDF1D21FD8867B9A3260C8265AB424A5F6C27F6F64A9BA00068343BB6AC652403B3FD68C0D1DE0E539561A983F58C22A04BAA74D9A7OBB6D" TargetMode = "External"/>
	<Relationship Id="rId418" Type="http://schemas.openxmlformats.org/officeDocument/2006/relationships/hyperlink" Target="consultantplus://offline/ref=56728894F7790BDF1D21FD8867B9A3260C8265AB424B5F652CF6F64A9BA00068343BB6AC652403B3FD68C1D5D90E539561A983F58C22A04BAA74D9A7OBB6D" TargetMode = "External"/>
	<Relationship Id="rId419" Type="http://schemas.openxmlformats.org/officeDocument/2006/relationships/hyperlink" Target="consultantplus://offline/ref=56728894F7790BDF1D21FD8867B9A3260C8265AB4248576227F4F64A9BA00068343BB6AC652403B3FD68C0D1DB0E539561A983F58C22A04BAA74D9A7OBB6D" TargetMode = "External"/>
	<Relationship Id="rId420" Type="http://schemas.openxmlformats.org/officeDocument/2006/relationships/hyperlink" Target="consultantplus://offline/ref=56728894F7790BDF1D21FD8867B9A3260C8265AB424F50632DF7F64A9BA00068343BB6AC652403B3FD68C1D6DC0E539561A983F58C22A04BAA74D9A7OBB6D" TargetMode = "External"/>
	<Relationship Id="rId421" Type="http://schemas.openxmlformats.org/officeDocument/2006/relationships/hyperlink" Target="consultantplus://offline/ref=56728894F7790BDF1D21FD8867B9A3260C8265AB424F57632DF7F64A9BA00068343BB6AC652403B3FD68C1D0DF0E539561A983F58C22A04BAA74D9A7OBB6D" TargetMode = "External"/>
	<Relationship Id="rId422" Type="http://schemas.openxmlformats.org/officeDocument/2006/relationships/hyperlink" Target="consultantplus://offline/ref=56728894F7790BDF1D21FD8867B9A3260C8265AB424F536624F6F64A9BA00068343BB6AC652403B3FD68C1D6DA0E539561A983F58C22A04BAA74D9A7OBB6D" TargetMode = "External"/>
	<Relationship Id="rId423" Type="http://schemas.openxmlformats.org/officeDocument/2006/relationships/hyperlink" Target="consultantplus://offline/ref=56728894F7790BDF1D21FD8867B9A3260C8265AB424F57632DF7F64A9BA00068343BB6AC652403B3FD68C1D0DE0E539561A983F58C22A04BAA74D9A7OBB6D" TargetMode = "External"/>
	<Relationship Id="rId424" Type="http://schemas.openxmlformats.org/officeDocument/2006/relationships/hyperlink" Target="consultantplus://offline/ref=56728894F7790BDF1D21FD8867B9A3260C8265AB424F536624F6F64A9BA00068343BB6AC652403B3FD68C1D6D90E539561A983F58C22A04BAA74D9A7OBB6D" TargetMode = "External"/>
	<Relationship Id="rId425" Type="http://schemas.openxmlformats.org/officeDocument/2006/relationships/hyperlink" Target="consultantplus://offline/ref=56728894F7790BDF1D21FD8867B9A3260C8265AB424F57632DF7F64A9BA00068343BB6AC652403B3FD68C1D0DC0E539561A983F58C22A04BAA74D9A7OBB6D" TargetMode = "External"/>
	<Relationship Id="rId426" Type="http://schemas.openxmlformats.org/officeDocument/2006/relationships/hyperlink" Target="consultantplus://offline/ref=56728894F7790BDF1D21FD8867B9A3260C8265AB424F536624F6F64A9BA00068343BB6AC652403B3FD68C1D6D80E539561A983F58C22A04BAA74D9A7OBB6D" TargetMode = "External"/>
	<Relationship Id="rId427" Type="http://schemas.openxmlformats.org/officeDocument/2006/relationships/hyperlink" Target="consultantplus://offline/ref=56728894F7790BDF1D21FD8867B9A3260C8265AB424A5F6C27F6F64A9BA00068343BB6AC652403B3FD68C0D1DC0E539561A983F58C22A04BAA74D9A7OBB6D" TargetMode = "External"/>
	<Relationship Id="rId428" Type="http://schemas.openxmlformats.org/officeDocument/2006/relationships/hyperlink" Target="consultantplus://offline/ref=56728894F7790BDF1D21FD8867B9A3260C8265AB424B5F652CF6F64A9BA00068343BB6AC652403B3FD68C1D5D70E539561A983F58C22A04BAA74D9A7OBB6D" TargetMode = "External"/>
	<Relationship Id="rId429" Type="http://schemas.openxmlformats.org/officeDocument/2006/relationships/hyperlink" Target="consultantplus://offline/ref=56728894F7790BDF1D21E38571D5FD2F018D39AE44495C3279A3F01DC4F0063D747BB0F926600EB3F46394859B500AC620E28EF3973EA04DOBB7D" TargetMode = "External"/>
	<Relationship Id="rId430" Type="http://schemas.openxmlformats.org/officeDocument/2006/relationships/hyperlink" Target="consultantplus://offline/ref=56728894F7790BDF1D21FD8867B9A3260C8265AB424F536624F6F64A9BA00068343BB6AC652403B3FD68C1D6D70E539561A983F58C22A04BAA74D9A7OBB6D" TargetMode = "External"/>
	<Relationship Id="rId431" Type="http://schemas.openxmlformats.org/officeDocument/2006/relationships/hyperlink" Target="consultantplus://offline/ref=56728894F7790BDF1D21FD8867B9A3260C8265AB424F51662CF7F64A9BA00068343BB6AC652403B3FD68C1D6DE0E539561A983F58C22A04BAA74D9A7OBB6D" TargetMode = "External"/>
	<Relationship Id="rId432" Type="http://schemas.openxmlformats.org/officeDocument/2006/relationships/hyperlink" Target="consultantplus://offline/ref=56728894F7790BDF1D21FD8867B9A3260C8265AB424F50632DF7F64A9BA00068343BB6AC652403B3FD68C1D6DB0E539561A983F58C22A04BAA74D9A7OBB6D" TargetMode = "External"/>
	<Relationship Id="rId433" Type="http://schemas.openxmlformats.org/officeDocument/2006/relationships/hyperlink" Target="consultantplus://offline/ref=56728894F7790BDF1D21FD8867B9A3260C8265AB424F50632DF7F64A9BA00068343BB6AC652403B3FD68C1D6DA0E539561A983F58C22A04BAA74D9A7OBB6D" TargetMode = "External"/>
	<Relationship Id="rId434" Type="http://schemas.openxmlformats.org/officeDocument/2006/relationships/hyperlink" Target="consultantplus://offline/ref=56728894F7790BDF1D21FD8867B9A3260C8265AB424C5E6227FEF64A9BA00068343BB6AC652403B3FD68C0D3DE0E539561A983F58C22A04BAA74D9A7OBB6D" TargetMode = "External"/>
	<Relationship Id="rId435" Type="http://schemas.openxmlformats.org/officeDocument/2006/relationships/hyperlink" Target="consultantplus://offline/ref=56728894F7790BDF1D21FD8867B9A3260C8265AB424B5F652CF6F64A9BA00068343BB6AC652403B3FD68C1D5D60E539561A983F58C22A04BAA74D9A7OBB6D" TargetMode = "External"/>
	<Relationship Id="rId436" Type="http://schemas.openxmlformats.org/officeDocument/2006/relationships/hyperlink" Target="consultantplus://offline/ref=56728894F7790BDF1D21FD8867B9A3260C8265AB4248576227F4F64A9BA00068343BB6AC652403B3FD68C0D1DA0E539561A983F58C22A04BAA74D9A7OBB6D" TargetMode = "External"/>
	<Relationship Id="rId437" Type="http://schemas.openxmlformats.org/officeDocument/2006/relationships/hyperlink" Target="consultantplus://offline/ref=56728894F7790BDF1D21FD8867B9A3260C8265AB424E54622CF5F64A9BA00068343BB6AC652403B3FD68C1D5DD0E539561A983F58C22A04BAA74D9A7OBB6D" TargetMode = "External"/>
	<Relationship Id="rId438" Type="http://schemas.openxmlformats.org/officeDocument/2006/relationships/hyperlink" Target="consultantplus://offline/ref=56728894F7790BDF1D21FD8867B9A3260C8265AB424E526223F3F64A9BA00068343BB6AC652403B3FD68C0D6D80E539561A983F58C22A04BAA74D9A7OBB6D" TargetMode = "External"/>
	<Relationship Id="rId439" Type="http://schemas.openxmlformats.org/officeDocument/2006/relationships/hyperlink" Target="consultantplus://offline/ref=56728894F7790BDF1D21FD8867B9A3260C8265AB424F536624F6F64A9BA00068343BB6AC652403B3FD68C1D7D80E539561A983F58C22A04BAA74D9A7OBB6D" TargetMode = "External"/>
	<Relationship Id="rId440" Type="http://schemas.openxmlformats.org/officeDocument/2006/relationships/hyperlink" Target="consultantplus://offline/ref=56728894F7790BDF1D21FD8867B9A3260C8265AB424F50632DF7F64A9BA00068343BB6AC652403B3FD68C1D7DE0E539561A983F58C22A04BAA74D9A7OBB6D" TargetMode = "External"/>
	<Relationship Id="rId441" Type="http://schemas.openxmlformats.org/officeDocument/2006/relationships/hyperlink" Target="consultantplus://offline/ref=56728894F7790BDF1D21FD8867B9A3260C8265AB424A5F6C27F6F64A9BA00068343BB6AC652403B3FD68C0D2DF0E539561A983F58C22A04BAA74D9A7OBB6D" TargetMode = "External"/>
	<Relationship Id="rId442" Type="http://schemas.openxmlformats.org/officeDocument/2006/relationships/hyperlink" Target="consultantplus://offline/ref=56728894F7790BDF1D21FD8867B9A3260C8265AB424D546D27F0F64A9BA00068343BB6AC652403B3FD68C0D5DB0E539561A983F58C22A04BAA74D9A7OBB6D" TargetMode = "External"/>
	<Relationship Id="rId443" Type="http://schemas.openxmlformats.org/officeDocument/2006/relationships/hyperlink" Target="consultantplus://offline/ref=56728894F7790BDF1D21FD8867B9A3260C8265AB424E54622CF5F64A9BA00068343BB6AC652403B3FD68C1D5DA0E539561A983F58C22A04BAA74D9A7OBB6D" TargetMode = "External"/>
	<Relationship Id="rId444" Type="http://schemas.openxmlformats.org/officeDocument/2006/relationships/hyperlink" Target="consultantplus://offline/ref=56728894F7790BDF1D21FD8867B9A3260C8265AB424E526223F3F64A9BA00068343BB6AC652403B3FD68C0D6D60E539561A983F58C22A04BAA74D9A7OBB6D" TargetMode = "External"/>
	<Relationship Id="rId445" Type="http://schemas.openxmlformats.org/officeDocument/2006/relationships/hyperlink" Target="consultantplus://offline/ref=56728894F7790BDF1D21FD8867B9A3260C8265AB424F57632DF7F64A9BA00068343BB6AC652403B3FD68C1D1DC0E539561A983F58C22A04BAA74D9A7OBB6D" TargetMode = "External"/>
	<Relationship Id="rId446" Type="http://schemas.openxmlformats.org/officeDocument/2006/relationships/hyperlink" Target="consultantplus://offline/ref=56728894F7790BDF1D21FD8867B9A3260C8265AB424F536624F6F64A9BA00068343BB6AC652403B3FD68C1D7D60E539561A983F58C22A04BAA74D9A7OBB6D" TargetMode = "External"/>
	<Relationship Id="rId447" Type="http://schemas.openxmlformats.org/officeDocument/2006/relationships/hyperlink" Target="consultantplus://offline/ref=56728894F7790BDF1D21FD8867B9A3260C8265AB424F50632DF7F64A9BA00068343BB6AC652403B3FD68C1D7DD0E539561A983F58C22A04BAA74D9A7OBB6D" TargetMode = "External"/>
	<Relationship Id="rId448" Type="http://schemas.openxmlformats.org/officeDocument/2006/relationships/hyperlink" Target="consultantplus://offline/ref=56728894F7790BDF1D21FD8867B9A3260C8265AB424C5E6227FEF64A9BA00068343BB6AC652403B3FD68C0D3D80E539561A983F58C22A04BAA74D9A7OBB6D" TargetMode = "External"/>
	<Relationship Id="rId449" Type="http://schemas.openxmlformats.org/officeDocument/2006/relationships/hyperlink" Target="consultantplus://offline/ref=56728894F7790BDF1D21FD8867B9A3260C8265AB424D546D27F0F64A9BA00068343BB6AC652403B3FD68C0D5DB0E539561A983F58C22A04BAA74D9A7OBB6D" TargetMode = "External"/>
	<Relationship Id="rId450" Type="http://schemas.openxmlformats.org/officeDocument/2006/relationships/hyperlink" Target="consultantplus://offline/ref=56728894F7790BDF1D21FD8867B9A3260C8265AB424B5F652CF6F64A9BA00068343BB6AC652403B3FD68C1D3DF0E539561A983F58C22A04BAA74D9A7OBB6D" TargetMode = "External"/>
	<Relationship Id="rId451" Type="http://schemas.openxmlformats.org/officeDocument/2006/relationships/hyperlink" Target="consultantplus://offline/ref=56728894F7790BDF1D21FD8867B9A3260C8265AB4248576227F4F64A9BA00068343BB6AC652403B3FD68C0D2DF0E539561A983F58C22A04BAA74D9A7OBB6D" TargetMode = "External"/>
	<Relationship Id="rId452" Type="http://schemas.openxmlformats.org/officeDocument/2006/relationships/hyperlink" Target="consultantplus://offline/ref=56728894F7790BDF1D21FD8867B9A3260C8265AB4248576227F4F64A9BA00068343BB6AC652403B3FD68C0D2DF0E539561A983F58C22A04BAA74D9A7OBB6D" TargetMode = "External"/>
	<Relationship Id="rId453" Type="http://schemas.openxmlformats.org/officeDocument/2006/relationships/hyperlink" Target="consultantplus://offline/ref=56728894F7790BDF1D21FD8867B9A3260C8265AB424F50632DF7F64A9BA00068343BB6AC652403B3FD68C1D7D90E539561A983F58C22A04BAA74D9A7OBB6D" TargetMode = "External"/>
	<Relationship Id="rId454" Type="http://schemas.openxmlformats.org/officeDocument/2006/relationships/hyperlink" Target="consultantplus://offline/ref=56728894F7790BDF1D21FD8867B9A3260C8265AB424F576624F0F64A9BA00068343BB6AC652403B3FD68C0D4D60E539561A983F58C22A04BAA74D9A7OBB6D" TargetMode = "External"/>
	<Relationship Id="rId455" Type="http://schemas.openxmlformats.org/officeDocument/2006/relationships/hyperlink" Target="consultantplus://offline/ref=56728894F7790BDF1D21FD8867B9A3260C8265AB424E54622CF5F64A9BA00068343BB6AC652403B3FD68C1D0DC0E539561A983F58C22A04BAA74D9A7OBB6D" TargetMode = "External"/>
	<Relationship Id="rId456" Type="http://schemas.openxmlformats.org/officeDocument/2006/relationships/hyperlink" Target="consultantplus://offline/ref=56728894F7790BDF1D21FD8867B9A3260C8265AB424F57632DF7F64A9BA00068343BB6AC652403B3FD68C1D2DE0E539561A983F58C22A04BAA74D9A7OBB6D" TargetMode = "External"/>
	<Relationship Id="rId457" Type="http://schemas.openxmlformats.org/officeDocument/2006/relationships/hyperlink" Target="consultantplus://offline/ref=56728894F7790BDF1D21E38571D5FD2F01893DA7404D5C3279A3F01DC4F0063D667BE8F5246510B2F976C2D4DDO0B6D" TargetMode = "External"/>
	<Relationship Id="rId458" Type="http://schemas.openxmlformats.org/officeDocument/2006/relationships/hyperlink" Target="consultantplus://offline/ref=56728894F7790BDF1D21FD8867B9A3260C8265AB424E54622CF5F64A9BA00068343BB6AC652403B3FD68C1D0DB0E539561A983F58C22A04BAA74D9A7OBB6D" TargetMode = "External"/>
	<Relationship Id="rId459" Type="http://schemas.openxmlformats.org/officeDocument/2006/relationships/hyperlink" Target="consultantplus://offline/ref=56728894F7790BDF1D21FD8867B9A3260C8265AB424F57632DF7F64A9BA00068343BB6AC652403B3FD68C1D2DD0E539561A983F58C22A04BAA74D9A7OBB6D" TargetMode = "External"/>
	<Relationship Id="rId460" Type="http://schemas.openxmlformats.org/officeDocument/2006/relationships/hyperlink" Target="consultantplus://offline/ref=56728894F7790BDF1D21FD8867B9A3260C8265AB424E54622CF5F64A9BA00068343BB6AC652403B3FD68C1D0D90E539561A983F58C22A04BAA74D9A7OBB6D" TargetMode = "External"/>
	<Relationship Id="rId461" Type="http://schemas.openxmlformats.org/officeDocument/2006/relationships/hyperlink" Target="consultantplus://offline/ref=56728894F7790BDF1D21FD8867B9A3260C8265AB424A5F6C27F6F64A9BA00068343BB6AC652403B3FD68C0D2DC0E539561A983F58C22A04BAA74D9A7OBB6D" TargetMode = "External"/>
	<Relationship Id="rId462" Type="http://schemas.openxmlformats.org/officeDocument/2006/relationships/hyperlink" Target="consultantplus://offline/ref=56728894F7790BDF1D21FD8867B9A3260C8265AB424A5F6C27F6F64A9BA00068343BB6AC652403B3FD68C0D2DB0E539561A983F58C22A04BAA74D9A7OBB6D" TargetMode = "External"/>
	<Relationship Id="rId463" Type="http://schemas.openxmlformats.org/officeDocument/2006/relationships/hyperlink" Target="consultantplus://offline/ref=56728894F7790BDF1D21FD8867B9A3260C8265AB424B5F652CF6F64A9BA00068343BB6AC652403B3FD68C1D3DB0E539561A983F58C22A04BAA74D9A7OBB6D" TargetMode = "External"/>
	<Relationship Id="rId464" Type="http://schemas.openxmlformats.org/officeDocument/2006/relationships/hyperlink" Target="consultantplus://offline/ref=56728894F7790BDF1D21E38571D5FD2F018A3FA74A465C3279A3F01DC4F0063D667BE8F5246510B2F976C2D4DDO0B6D" TargetMode = "External"/>
	<Relationship Id="rId465" Type="http://schemas.openxmlformats.org/officeDocument/2006/relationships/hyperlink" Target="consultantplus://offline/ref=56728894F7790BDF1D21FD8867B9A3260C8265AB424B5F652CF6F64A9BA00068343BB6AC652403B3FD68C1D3DA0E539561A983F58C22A04BAA74D9A7OBB6D" TargetMode = "External"/>
	<Relationship Id="rId466" Type="http://schemas.openxmlformats.org/officeDocument/2006/relationships/hyperlink" Target="consultantplus://offline/ref=56728894F7790BDF1D21FD8867B9A3260C8265AB424B5F652CF6F64A9BA00068343BB6AC652403B3FD68C1D3D80E539561A983F58C22A04BAA74D9A7OBB6D" TargetMode = "External"/>
	<Relationship Id="rId467" Type="http://schemas.openxmlformats.org/officeDocument/2006/relationships/hyperlink" Target="consultantplus://offline/ref=56728894F7790BDF1D21E38571D5FD2F01893DA7404D5C3279A3F01DC4F0063D667BE8F5246510B2F976C2D4DDO0B6D" TargetMode = "External"/>
	<Relationship Id="rId468" Type="http://schemas.openxmlformats.org/officeDocument/2006/relationships/hyperlink" Target="consultantplus://offline/ref=56728894F7790BDF1D21FD8867B9A3260C8265AB424F57632DF7F64A9BA00068343BB6AC652403B3FD68C1D2DC0E539561A983F58C22A04BAA74D9A7OBB6D" TargetMode = "External"/>
	<Relationship Id="rId469" Type="http://schemas.openxmlformats.org/officeDocument/2006/relationships/hyperlink" Target="consultantplus://offline/ref=56728894F7790BDF1D21FD8867B9A3260C8265AB424F50632DF7F64A9BA00068343BB6AC652403B3FD68C1D7D70E539561A983F58C22A04BAA74D9A7OBB6D" TargetMode = "External"/>
	<Relationship Id="rId470" Type="http://schemas.openxmlformats.org/officeDocument/2006/relationships/hyperlink" Target="consultantplus://offline/ref=56728894F7790BDF1D21FD8867B9A3260C8265AB424D5F6420FEF64A9BA00068343BB6AC652403B3FD68C1D6D60E539561A983F58C22A04BAA74D9A7OBB6D" TargetMode = "External"/>
	<Relationship Id="rId471" Type="http://schemas.openxmlformats.org/officeDocument/2006/relationships/hyperlink" Target="consultantplus://offline/ref=56728894F7790BDF1D21FD8867B9A3260C8265AB424F50632DF7F64A9BA00068343BB6AC652403B3FD68C1D0DF0E539561A983F58C22A04BAA74D9A7OBB6D" TargetMode = "External"/>
	<Relationship Id="rId472" Type="http://schemas.openxmlformats.org/officeDocument/2006/relationships/hyperlink" Target="consultantplus://offline/ref=56728894F7790BDF1D21FD8867B9A3260C8265AB424C54662CF5F64A9BA00068343BB6AC652403B3FD68C1D3D90E539561A983F58C22A04BAA74D9A7OBB6D" TargetMode = "External"/>
	<Relationship Id="rId473" Type="http://schemas.openxmlformats.org/officeDocument/2006/relationships/hyperlink" Target="consultantplus://offline/ref=56728894F7790BDF1D21FD8867B9A3260C8265AB424D5F6420FEF64A9BA00068343BB6AC652403B3FD68C1D7DF0E539561A983F58C22A04BAA74D9A7OBB6D" TargetMode = "External"/>
	<Relationship Id="rId474" Type="http://schemas.openxmlformats.org/officeDocument/2006/relationships/hyperlink" Target="consultantplus://offline/ref=56728894F7790BDF1D21FD8867B9A3260C8265AB424D5F6420FEF64A9BA00068343BB6AC652403B3FD68C1D7DE0E539561A983F58C22A04BAA74D9A7OBB6D" TargetMode = "External"/>
	<Relationship Id="rId475" Type="http://schemas.openxmlformats.org/officeDocument/2006/relationships/hyperlink" Target="consultantplus://offline/ref=56728894F7790BDF1D21FD8867B9A3260C8265AB424F536624F6F64A9BA00068343BB6AC652403B3FD68C1D1DA0E539561A983F58C22A04BAA74D9A7OBB6D" TargetMode = "External"/>
	<Relationship Id="rId476" Type="http://schemas.openxmlformats.org/officeDocument/2006/relationships/hyperlink" Target="consultantplus://offline/ref=56728894F7790BDF1D21E38571D5FD2F018A3FA74A465C3279A3F01DC4F0063D667BE8F5246510B2F976C2D4DDO0B6D" TargetMode = "External"/>
	<Relationship Id="rId477" Type="http://schemas.openxmlformats.org/officeDocument/2006/relationships/hyperlink" Target="consultantplus://offline/ref=56728894F7790BDF1D21E38571D5FD2F018A3CA1414B5C3279A3F01DC4F0063D667BE8F5246510B2F976C2D4DDO0B6D" TargetMode = "External"/>
	<Relationship Id="rId478" Type="http://schemas.openxmlformats.org/officeDocument/2006/relationships/hyperlink" Target="consultantplus://offline/ref=56728894F7790BDF1D21FD8867B9A3260C8265AB424B5F652CF6F64A9BA00068343BB6AC652403B3FD68C1D3D70E539561A983F58C22A04BAA74D9A7OBB6D" TargetMode = "External"/>
	<Relationship Id="rId479" Type="http://schemas.openxmlformats.org/officeDocument/2006/relationships/hyperlink" Target="consultantplus://offline/ref=56728894F7790BDF1D21FD8867B9A3260C8265AB4248576227F4F64A9BA00068343BB6AC652403B3FD68C0D2DF0E539561A983F58C22A04BAA74D9A7OBB6D" TargetMode = "External"/>
	<Relationship Id="rId480" Type="http://schemas.openxmlformats.org/officeDocument/2006/relationships/hyperlink" Target="consultantplus://offline/ref=56728894F7790BDF1D21FD8867B9A3260C8265AB424F57632DF7F64A9BA00068343BB6AC652403B3FD68C1DDDD0E539561A983F58C22A04BAA74D9A7OBB6D" TargetMode = "External"/>
	<Relationship Id="rId481" Type="http://schemas.openxmlformats.org/officeDocument/2006/relationships/hyperlink" Target="consultantplus://offline/ref=56728894F7790BDF1D21FD8867B9A3260C8265AB424F536624F6F64A9BA00068343BB6AC652403B3FD68C1D2D90E539561A983F58C22A04BAA74D9A7OBB6D" TargetMode = "External"/>
	<Relationship Id="rId482" Type="http://schemas.openxmlformats.org/officeDocument/2006/relationships/hyperlink" Target="consultantplus://offline/ref=56728894F7790BDF1D21FD8867B9A3260C8265AB424F51662CF7F64A9BA00068343BB6AC652403B3FD68C1D7DD0E539561A983F58C22A04BAA74D9A7OBB6D" TargetMode = "External"/>
	<Relationship Id="rId483" Type="http://schemas.openxmlformats.org/officeDocument/2006/relationships/hyperlink" Target="consultantplus://offline/ref=56728894F7790BDF1D21FD8867B9A3260C8265AB424F50632DF7F64A9BA00068343BB6AC652403B3FD68C1D0DD0E539561A983F58C22A04BAA74D9A7OBB6D" TargetMode = "External"/>
	<Relationship Id="rId484" Type="http://schemas.openxmlformats.org/officeDocument/2006/relationships/hyperlink" Target="consultantplus://offline/ref=56728894F7790BDF1D21FD8867B9A3260C8265AB424C54662CF5F64A9BA00068343BB6AC652403B3FD68C1D3D80E539561A983F58C22A04BAA74D9A7OBB6D" TargetMode = "External"/>
	<Relationship Id="rId485" Type="http://schemas.openxmlformats.org/officeDocument/2006/relationships/hyperlink" Target="consultantplus://offline/ref=56728894F7790BDF1D21FD8867B9A3260C8265AB424C5E6227FEF64A9BA00068343BB6AC652403B3FD68C0DCDE0E539561A983F58C22A04BAA74D9A7OBB6D" TargetMode = "External"/>
	<Relationship Id="rId486" Type="http://schemas.openxmlformats.org/officeDocument/2006/relationships/hyperlink" Target="consultantplus://offline/ref=56728894F7790BDF1D21FD8867B9A3260C8265AB424D546420F2F64A9BA00068343BB6AC652403B3FD68C0DDDF0E539561A983F58C22A04BAA74D9A7OBB6D" TargetMode = "External"/>
	<Relationship Id="rId487" Type="http://schemas.openxmlformats.org/officeDocument/2006/relationships/hyperlink" Target="consultantplus://offline/ref=56728894F7790BDF1D21FD8867B9A3260C8265AB424D546D27F0F64A9BA00068343BB6AC652403B3FD68C0D5D90E539561A983F58C22A04BAA74D9A7OBB6D" TargetMode = "External"/>
	<Relationship Id="rId488" Type="http://schemas.openxmlformats.org/officeDocument/2006/relationships/hyperlink" Target="consultantplus://offline/ref=56728894F7790BDF1D21FD8867B9A3260C8265AB424D5F6420FEF64A9BA00068343BB6AC652403B3FD68C1D7DC0E539561A983F58C22A04BAA74D9A7OBB6D" TargetMode = "External"/>
	<Relationship Id="rId489" Type="http://schemas.openxmlformats.org/officeDocument/2006/relationships/hyperlink" Target="consultantplus://offline/ref=56728894F7790BDF1D21FD8867B9A3260C8265AB424A5F6C27F6F64A9BA00068343BB6AC652403B3FD68C0D2D90E539561A983F58C22A04BAA74D9A7OBB6D" TargetMode = "External"/>
	<Relationship Id="rId490" Type="http://schemas.openxmlformats.org/officeDocument/2006/relationships/hyperlink" Target="consultantplus://offline/ref=56728894F7790BDF1D21FD8867B9A3260C8265AB424B5F652CF6F64A9BA00068343BB6AC652403B3FD68C1DCDB0E539561A983F58C22A04BAA74D9A7OBB6D" TargetMode = "External"/>
	<Relationship Id="rId491" Type="http://schemas.openxmlformats.org/officeDocument/2006/relationships/hyperlink" Target="consultantplus://offline/ref=56728894F7790BDF1D21FD8867B9A3260C8265AB4248576227F4F64A9BA00068343BB6AC652403B3FD68C0D2DE0E539561A983F58C22A04BAA74D9A7OBB6D" TargetMode = "External"/>
	<Relationship Id="rId492" Type="http://schemas.openxmlformats.org/officeDocument/2006/relationships/hyperlink" Target="consultantplus://offline/ref=56728894F7790BDF1D21FD8867B9A3260C8265AB424F50632DF7F64A9BA00068343BB6AC652403B3FD68C1D0D90E539561A983F58C22A04BAA74D9A7OBB6D" TargetMode = "External"/>
	<Relationship Id="rId493" Type="http://schemas.openxmlformats.org/officeDocument/2006/relationships/hyperlink" Target="consultantplus://offline/ref=56728894F7790BDF1D21FD8867B9A3260C8265AB424F536624F6F64A9BA00068343BB6AC652403B3FD68C1D2D80E539561A983F58C22A04BAA74D9A7OBB6D" TargetMode = "External"/>
	<Relationship Id="rId494" Type="http://schemas.openxmlformats.org/officeDocument/2006/relationships/hyperlink" Target="consultantplus://offline/ref=56728894F7790BDF1D21FD8867B9A3260C8265AB424A5F6C27F6F64A9BA00068343BB6AC652403B3FD68C0D2D70E539561A983F58C22A04BAA74D9A7OBB6D" TargetMode = "External"/>
	<Relationship Id="rId495" Type="http://schemas.openxmlformats.org/officeDocument/2006/relationships/hyperlink" Target="consultantplus://offline/ref=56728894F7790BDF1D21FD8867B9A3260C8265AB424B5F652CF6F64A9BA00068343BB6AC652403B3FD68C1DCD90E539561A983F58C22A04BAA74D9A7OBB6D" TargetMode = "External"/>
	<Relationship Id="rId496" Type="http://schemas.openxmlformats.org/officeDocument/2006/relationships/hyperlink" Target="consultantplus://offline/ref=56728894F7790BDF1D21FD8867B9A3260C8265AB424F50632DF7F64A9BA00068343BB6AC652403B3FD68C1D0D80E539561A983F58C22A04BAA74D9A7OBB6D" TargetMode = "External"/>
	<Relationship Id="rId497" Type="http://schemas.openxmlformats.org/officeDocument/2006/relationships/hyperlink" Target="consultantplus://offline/ref=56728894F7790BDF1D21FD8867B9A3260C8265AB424C5E6227FEF64A9BA00068343BB6AC652403B3FD68C0DCDC0E539561A983F58C22A04BAA74D9A7OBB6D" TargetMode = "External"/>
	<Relationship Id="rId498" Type="http://schemas.openxmlformats.org/officeDocument/2006/relationships/hyperlink" Target="consultantplus://offline/ref=56728894F7790BDF1D21FD8867B9A3260C8265AB424B5F652CF6F64A9BA00068343BB6AC652403B3FD68C1DCD80E539561A983F58C22A04BAA74D9A7OBB6D" TargetMode = "External"/>
	<Relationship Id="rId499" Type="http://schemas.openxmlformats.org/officeDocument/2006/relationships/hyperlink" Target="consultantplus://offline/ref=56728894F7790BDF1D21FD8867B9A3260C8265AB4248576227F4F64A9BA00068343BB6AC652403B3FD68C0D2DD0E539561A983F58C22A04BAA74D9A7OBB6D" TargetMode = "External"/>
	<Relationship Id="rId500" Type="http://schemas.openxmlformats.org/officeDocument/2006/relationships/hyperlink" Target="consultantplus://offline/ref=56728894F7790BDF1D21FD8867B9A3260C8265AB424F51662CF7F64A9BA00068343BB6AC652403B3FD68C1D7D60E539561A983F58C22A04BAA74D9A7OBB6D" TargetMode = "External"/>
	<Relationship Id="rId501" Type="http://schemas.openxmlformats.org/officeDocument/2006/relationships/hyperlink" Target="consultantplus://offline/ref=56728894F7790BDF1D21FD8867B9A3260C8265AB424F50632DF7F64A9BA00068343BB6AC652403B3FD68C1D1DC0E539561A983F58C22A04BAA74D9A7OBB6D" TargetMode = "External"/>
	<Relationship Id="rId502" Type="http://schemas.openxmlformats.org/officeDocument/2006/relationships/hyperlink" Target="consultantplus://offline/ref=56728894F7790BDF1D21FD8867B9A3260C8265AB424C54662CF5F64A9BA00068343BB6AC652403B3FD68C1DCD70E539561A983F58C22A04BAA74D9A7OBB6D" TargetMode = "External"/>
	<Relationship Id="rId503" Type="http://schemas.openxmlformats.org/officeDocument/2006/relationships/hyperlink" Target="consultantplus://offline/ref=56728894F7790BDF1D21FD8867B9A3260C8265AB424C5E6227FEF64A9BA00068343BB6AC652403B3FD68C0DCD60E539561A983F58C22A04BAA74D9A7OBB6D" TargetMode = "External"/>
	<Relationship Id="rId504" Type="http://schemas.openxmlformats.org/officeDocument/2006/relationships/hyperlink" Target="consultantplus://offline/ref=56728894F7790BDF1D21FD8867B9A3260C8265AB424D5F6420FEF64A9BA00068343BB6AC652403B3FD68C1D0DA0E539561A983F58C22A04BAA74D9A7OBB6D" TargetMode = "External"/>
	<Relationship Id="rId505" Type="http://schemas.openxmlformats.org/officeDocument/2006/relationships/hyperlink" Target="consultantplus://offline/ref=56728894F7790BDF1D21FD8867B9A3260C8265AB424A5F6C27F6F64A9BA00068343BB6AC652403B3FD68C0D3D60E539561A983F58C22A04BAA74D9A7OBB6D" TargetMode = "External"/>
	<Relationship Id="rId506" Type="http://schemas.openxmlformats.org/officeDocument/2006/relationships/hyperlink" Target="consultantplus://offline/ref=56728894F7790BDF1D21FD8867B9A3260C8265AB424B5F652CF6F64A9BA00068343BB6AC652403B3FD68C2D4D60E539561A983F58C22A04BAA74D9A7OBB6D" TargetMode = "External"/>
	<Relationship Id="rId507" Type="http://schemas.openxmlformats.org/officeDocument/2006/relationships/hyperlink" Target="consultantplus://offline/ref=56728894F7790BDF1D21FD8867B9A3260C8265AB4248576227F4F64A9BA00068343BB6AC652403B3FD68C0D2D80E539561A983F58C22A04BAA74D9A7OBB6D" TargetMode = "External"/>
	<Relationship Id="rId508" Type="http://schemas.openxmlformats.org/officeDocument/2006/relationships/hyperlink" Target="consultantplus://offline/ref=56728894F7790BDF1D21FD8867B9A3260C8265AB4248576227F4F64A9BA00068343BB6AC652403B3FD68C0D2D80E539561A983F58C22A04BAA74D9A7OBB6D" TargetMode = "External"/>
	<Relationship Id="rId509" Type="http://schemas.openxmlformats.org/officeDocument/2006/relationships/hyperlink" Target="consultantplus://offline/ref=56728894F7790BDF1D21FD8867B9A3260C8265AB424F50632DF7F64A9BA00068343BB6AC652403B3FD68C1D1D70E539561A983F58C22A04BAA74D9A7OBB6D" TargetMode = "External"/>
	<Relationship Id="rId510" Type="http://schemas.openxmlformats.org/officeDocument/2006/relationships/hyperlink" Target="consultantplus://offline/ref=56728894F7790BDF1D21FD8867B9A3260C8265AB424F50632DF7F64A9BA00068343BB6AC652403B3FD68C1D1D60E539561A983F58C22A04BAA74D9A7OBB6D" TargetMode = "External"/>
	<Relationship Id="rId511" Type="http://schemas.openxmlformats.org/officeDocument/2006/relationships/hyperlink" Target="consultantplus://offline/ref=56728894F7790BDF1D21FD8867B9A3260C8265AB424F50632DF7F64A9BA00068343BB6AC652403B3FD68C1D2DF0E539561A983F58C22A04BAA74D9A7OBB6D" TargetMode = "External"/>
	<Relationship Id="rId512" Type="http://schemas.openxmlformats.org/officeDocument/2006/relationships/hyperlink" Target="consultantplus://offline/ref=56728894F7790BDF1D21FD8867B9A3260C8265AB424C54662CF5F64A9BA00068343BB6AC652403B3FD68C1DDDD0E539561A983F58C22A04BAA74D9A7OBB6D" TargetMode = "External"/>
	<Relationship Id="rId513" Type="http://schemas.openxmlformats.org/officeDocument/2006/relationships/hyperlink" Target="consultantplus://offline/ref=56728894F7790BDF1D21FD8867B9A3260C8265AB424D546D27F0F64A9BA00068343BB6AC652403B3FD68C0D5D60E539561A983F58C22A04BAA74D9A7OBB6D" TargetMode = "External"/>
	<Relationship Id="rId514" Type="http://schemas.openxmlformats.org/officeDocument/2006/relationships/hyperlink" Target="consultantplus://offline/ref=56728894F7790BDF1D21FD8867B9A3260C8265AB424F50632DF7F64A9BA00068343BB6AC652403B3FD68C1D2DE0E539561A983F58C22A04BAA74D9A7OBB6D" TargetMode = "External"/>
	<Relationship Id="rId515" Type="http://schemas.openxmlformats.org/officeDocument/2006/relationships/hyperlink" Target="consultantplus://offline/ref=56728894F7790BDF1D21FD8867B9A3260C8265AB424D546420F2F64A9BA00068343BB6AC652403B3FD68C0DDDF0E539561A983F58C22A04BAA74D9A7OBB6D" TargetMode = "External"/>
	<Relationship Id="rId516" Type="http://schemas.openxmlformats.org/officeDocument/2006/relationships/hyperlink" Target="consultantplus://offline/ref=56728894F7790BDF1D21FD8867B9A3260C8265AB424D546D27F0F64A9BA00068343BB6AC652403B3FD68C0D6DF0E539561A983F58C22A04BAA74D9A7OBB6D" TargetMode = "External"/>
	<Relationship Id="rId517" Type="http://schemas.openxmlformats.org/officeDocument/2006/relationships/hyperlink" Target="consultantplus://offline/ref=56728894F7790BDF1D21FD8867B9A3260C8265AB424C5E6227FEF64A9BA00068343BB6AC652403B3FD68C0DDDC0E539561A983F58C22A04BAA74D9A7OBB6D" TargetMode = "External"/>
	<Relationship Id="rId518" Type="http://schemas.openxmlformats.org/officeDocument/2006/relationships/hyperlink" Target="consultantplus://offline/ref=56728894F7790BDF1D21E38571D5FD2F018A3DA6454F5C3279A3F01DC4F0063D667BE8F5246510B2F976C2D4DDO0B6D" TargetMode = "External"/>
	<Relationship Id="rId519" Type="http://schemas.openxmlformats.org/officeDocument/2006/relationships/hyperlink" Target="consultantplus://offline/ref=56728894F7790BDF1D21FD8867B9A3260C8265AB424C5E6227FEF64A9BA00068343BB6AC652403B3FD68C0DDDA0E539561A983F58C22A04BAA74D9A7OBB6D" TargetMode = "External"/>
	<Relationship Id="rId520" Type="http://schemas.openxmlformats.org/officeDocument/2006/relationships/hyperlink" Target="consultantplus://offline/ref=56728894F7790BDF1D21FD8867B9A3260C8265AB424F50632DF7F64A9BA00068343BB6AC652403B3FD68C1D2DD0E539561A983F58C22A04BAA74D9A7OBB6D" TargetMode = "External"/>
	<Relationship Id="rId521" Type="http://schemas.openxmlformats.org/officeDocument/2006/relationships/hyperlink" Target="consultantplus://offline/ref=56728894F7790BDF1D21FD8867B9A3260C8265AB424F50632DF7F64A9BA00068343BB6AC652403B3FD68C1D2DC0E539561A983F58C22A04BAA74D9A7OBB6D" TargetMode = "External"/>
	<Relationship Id="rId522" Type="http://schemas.openxmlformats.org/officeDocument/2006/relationships/hyperlink" Target="consultantplus://offline/ref=56728894F7790BDF1D21FD8867B9A3260C8265AB424F5E6D27F3F64A9BA00068343BB6AC77245BBFFF6DDED4DB1B05C427OFBFD" TargetMode = "External"/>
	<Relationship Id="rId523" Type="http://schemas.openxmlformats.org/officeDocument/2006/relationships/hyperlink" Target="consultantplus://offline/ref=56728894F7790BDF1D21FD8867B9A3260C8265AB424F50632DF7F64A9BA00068343BB6AC652403B3FD68C1D2DB0E539561A983F58C22A04BAA74D9A7OBB6D" TargetMode = "External"/>
	<Relationship Id="rId524" Type="http://schemas.openxmlformats.org/officeDocument/2006/relationships/hyperlink" Target="consultantplus://offline/ref=56728894F7790BDF1D21FD8867B9A3260C8265AB424F50632DF7F64A9BA00068343BB6AC652403B3FD68C1D2DA0E539561A983F58C22A04BAA74D9A7OBB6D" TargetMode = "External"/>
	<Relationship Id="rId525" Type="http://schemas.openxmlformats.org/officeDocument/2006/relationships/hyperlink" Target="consultantplus://offline/ref=56728894F7790BDF1D21FD8867B9A3260C8265AB424F50632DF7F64A9BA00068343BB6AC652403B3FD68C1D2D90E539561A983F58C22A04BAA74D9A7OBB6D" TargetMode = "External"/>
	<Relationship Id="rId526" Type="http://schemas.openxmlformats.org/officeDocument/2006/relationships/hyperlink" Target="consultantplus://offline/ref=56728894F7790BDF1D21FD8867B9A3260C8265AB424B536525F5F64A9BA00068343BB6AC77245BBFFF6DDED4DB1B05C427OFBFD" TargetMode = "External"/>
	<Relationship Id="rId527" Type="http://schemas.openxmlformats.org/officeDocument/2006/relationships/hyperlink" Target="consultantplus://offline/ref=56728894F7790BDF1D21E38571D5FD2F018A3DA6454F5C3279A3F01DC4F0063D747BB0FB236705E6AC2C95D9DD0019C421E28CF78BO3BFD" TargetMode = "External"/>
	<Relationship Id="rId528" Type="http://schemas.openxmlformats.org/officeDocument/2006/relationships/hyperlink" Target="consultantplus://offline/ref=56728894F7790BDF1D21E38571D5FD2F018A3DA6454F5C3279A3F01DC4F0063D667BE8F5246510B2F976C2D4DDO0B6D" TargetMode = "External"/>
	<Relationship Id="rId529" Type="http://schemas.openxmlformats.org/officeDocument/2006/relationships/hyperlink" Target="consultantplus://offline/ref=56728894F7790BDF1D21E38571D5FD2F018A3DA6454F5C3279A3F01DC4F0063D747BB0F926600AB2F86394859B500AC620E28EF3973EA04DOBB7D" TargetMode = "External"/>
	<Relationship Id="rId530" Type="http://schemas.openxmlformats.org/officeDocument/2006/relationships/hyperlink" Target="consultantplus://offline/ref=56728894F7790BDF1D21E38571D5FD2F018A3DA6454F5C3279A3F01DC4F0063D747BB0F926600AB3FD6394859B500AC620E28EF3973EA04DOBB7D" TargetMode = "External"/>
	<Relationship Id="rId531" Type="http://schemas.openxmlformats.org/officeDocument/2006/relationships/hyperlink" Target="consultantplus://offline/ref=56728894F7790BDF1D21FD8867B9A3260C8265AB424F50632DF7F64A9BA00068343BB6AC652403B3FD68C1D2D80E539561A983F58C22A04BAA74D9A7OBB6D" TargetMode = "External"/>
	<Relationship Id="rId532" Type="http://schemas.openxmlformats.org/officeDocument/2006/relationships/hyperlink" Target="consultantplus://offline/ref=56728894F7790BDF1D21E38571D5FD2F018A3DA6454F5C3279A3F01DC4F0063D667BE8F5246510B2F976C2D4DDO0B6D" TargetMode = "External"/>
	<Relationship Id="rId533" Type="http://schemas.openxmlformats.org/officeDocument/2006/relationships/hyperlink" Target="consultantplus://offline/ref=56728894F7790BDF1D21FD8867B9A3260C8265AB4248576227F4F64A9BA00068343BB6AC652403B3FD68C0D2D80E539561A983F58C22A04BAA74D9A7OBB6D" TargetMode = "External"/>
	<Relationship Id="rId534" Type="http://schemas.openxmlformats.org/officeDocument/2006/relationships/hyperlink" Target="consultantplus://offline/ref=56728894F7790BDF1D21FD8867B9A3260C8265AB4A49576125FCAB4093F90C6A3334E9BB626D0FB2FD69C1D7D451568070F18CF2973CA451B676DBOAB6D" TargetMode = "External"/>
	<Relationship Id="rId535" Type="http://schemas.openxmlformats.org/officeDocument/2006/relationships/hyperlink" Target="consultantplus://offline/ref=56728894F7790BDF1D21FD8867B9A3260C8265AB424F57632DF7F64A9BA00068343BB6AC652403B3FD68C1DDDC0E539561A983F58C22A04BAA74D9A7OBB6D" TargetMode = "External"/>
	<Relationship Id="rId536" Type="http://schemas.openxmlformats.org/officeDocument/2006/relationships/hyperlink" Target="consultantplus://offline/ref=56728894F7790BDF1D21FD8867B9A3260C8265AB424F536624F6F64A9BA00068343BB6AC652403B3FD68C1D2D60E539561A983F58C22A04BAA74D9A7OBB6D" TargetMode = "External"/>
	<Relationship Id="rId537" Type="http://schemas.openxmlformats.org/officeDocument/2006/relationships/hyperlink" Target="consultantplus://offline/ref=56728894F7790BDF1D21FD8867B9A3260C8265AB424F51662CF7F64A9BA00068343BB6AC652403B3FD68C1D0DE0E539561A983F58C22A04BAA74D9A7OBB6D" TargetMode = "External"/>
	<Relationship Id="rId538" Type="http://schemas.openxmlformats.org/officeDocument/2006/relationships/hyperlink" Target="consultantplus://offline/ref=56728894F7790BDF1D21FD8867B9A3260C8265AB424F50632DF7F64A9BA00068343BB6AC652403B3FD68C1D3DD0E539561A983F58C22A04BAA74D9A7OBB6D" TargetMode = "External"/>
	<Relationship Id="rId539" Type="http://schemas.openxmlformats.org/officeDocument/2006/relationships/hyperlink" Target="consultantplus://offline/ref=56728894F7790BDF1D21FD8867B9A3260C8265AB424F5F6421F5F64A9BA00068343BB6AC652403B3FD68C0D4D70E539561A983F58C22A04BAA74D9A7OBB6D" TargetMode = "External"/>
	<Relationship Id="rId540" Type="http://schemas.openxmlformats.org/officeDocument/2006/relationships/hyperlink" Target="consultantplus://offline/ref=56728894F7790BDF1D21FD8867B9A3260C8265AB424C54662CF5F64A9BA00068343BB6AC652403B3FD68C1DDDA0E539561A983F58C22A04BAA74D9A7OBB6D" TargetMode = "External"/>
	<Relationship Id="rId541" Type="http://schemas.openxmlformats.org/officeDocument/2006/relationships/hyperlink" Target="consultantplus://offline/ref=56728894F7790BDF1D21FD8867B9A3260C8265AB424C5E6227FEF64A9BA00068343BB6AC652403B3FD68C0DDD60E539561A983F58C22A04BAA74D9A7OBB6D" TargetMode = "External"/>
	<Relationship Id="rId542" Type="http://schemas.openxmlformats.org/officeDocument/2006/relationships/hyperlink" Target="consultantplus://offline/ref=56728894F7790BDF1D21FD8867B9A3260C8265AB424D546420F2F64A9BA00068343BB6AC652403B3FD68C0DDDE0E539561A983F58C22A04BAA74D9A7OBB6D" TargetMode = "External"/>
	<Relationship Id="rId543" Type="http://schemas.openxmlformats.org/officeDocument/2006/relationships/hyperlink" Target="consultantplus://offline/ref=56728894F7790BDF1D21FD8867B9A3260C8265AB424D5F6420FEF64A9BA00068343BB6AC652403B3FD68C1D1DE0E539561A983F58C22A04BAA74D9A7OBB6D" TargetMode = "External"/>
	<Relationship Id="rId544" Type="http://schemas.openxmlformats.org/officeDocument/2006/relationships/hyperlink" Target="consultantplus://offline/ref=56728894F7790BDF1D21FD8867B9A3260C8265AB424A5F6C27F6F64A9BA00068343BB6AC652403B3FD68C0DCDD0E539561A983F58C22A04BAA74D9A7OBB6D" TargetMode = "External"/>
	<Relationship Id="rId545" Type="http://schemas.openxmlformats.org/officeDocument/2006/relationships/hyperlink" Target="consultantplus://offline/ref=56728894F7790BDF1D21FD8867B9A3260C8265AB424B5F652CF6F64A9BA00068343BB6AC652403B3FD68C2D5D80E539561A983F58C22A04BAA74D9A7OBB6D" TargetMode = "External"/>
	<Relationship Id="rId546" Type="http://schemas.openxmlformats.org/officeDocument/2006/relationships/hyperlink" Target="consultantplus://offline/ref=56728894F7790BDF1D21FD8867B9A3260C8265AB4248576227F4F64A9BA00068343BB6AC652403B3FD68C0D2D70E539561A983F58C22A04BAA74D9A7OBB6D" TargetMode = "External"/>
	<Relationship Id="rId547" Type="http://schemas.openxmlformats.org/officeDocument/2006/relationships/hyperlink" Target="consultantplus://offline/ref=56728894F7790BDF1D21FD8867B9A3260C8265AB424F50632DF7F64A9BA00068343BB6AC652403B3FD68C1D3D90E539561A983F58C22A04BAA74D9A7OBB6D" TargetMode = "External"/>
	<Relationship Id="rId548" Type="http://schemas.openxmlformats.org/officeDocument/2006/relationships/hyperlink" Target="consultantplus://offline/ref=56728894F7790BDF1D21FD8867B9A3260C8265AB424F57632DF7F64A9BA00068343BB6AC652403B3FD68C1DDDA0E539561A983F58C22A04BAA74D9A7OBB6D" TargetMode = "External"/>
	<Relationship Id="rId549" Type="http://schemas.openxmlformats.org/officeDocument/2006/relationships/hyperlink" Target="consultantplus://offline/ref=56728894F7790BDF1D21FD8867B9A3260C8265AB424F536624F6F64A9BA00068343BB6AC652403B3FD68C1D3DE0E539561A983F58C22A04BAA74D9A7OBB6D" TargetMode = "External"/>
	<Relationship Id="rId550" Type="http://schemas.openxmlformats.org/officeDocument/2006/relationships/hyperlink" Target="consultantplus://offline/ref=56728894F7790BDF1D21FD8867B9A3260C8265AB424F57632DF7F64A9BA00068343BB6AC652403B3FD68C1DDD90E539561A983F58C22A04BAA74D9A7OBB6D" TargetMode = "External"/>
	<Relationship Id="rId551" Type="http://schemas.openxmlformats.org/officeDocument/2006/relationships/hyperlink" Target="consultantplus://offline/ref=56728894F7790BDF1D21FD8867B9A3260C8265AB424F536624F6F64A9BA00068343BB6AC652403B3FD68C1D3DD0E539561A983F58C22A04BAA74D9A7OBB6D" TargetMode = "External"/>
	<Relationship Id="rId552" Type="http://schemas.openxmlformats.org/officeDocument/2006/relationships/hyperlink" Target="consultantplus://offline/ref=56728894F7790BDF1D21FD8867B9A3260C8265AB424F57632DF7F64A9BA00068343BB6AC652403B3FD68C1DDD70E539561A983F58C22A04BAA74D9A7OBB6D" TargetMode = "External"/>
	<Relationship Id="rId553" Type="http://schemas.openxmlformats.org/officeDocument/2006/relationships/hyperlink" Target="consultantplus://offline/ref=56728894F7790BDF1D21FD8867B9A3260C8265AB424F536624F6F64A9BA00068343BB6AC652403B3FD68C1D3DC0E539561A983F58C22A04BAA74D9A7OBB6D" TargetMode = "External"/>
	<Relationship Id="rId554" Type="http://schemas.openxmlformats.org/officeDocument/2006/relationships/hyperlink" Target="consultantplus://offline/ref=56728894F7790BDF1D21FD8867B9A3260C8265AB424A5F6C27F6F64A9BA00068343BB6AC652403B3FD68C0DCDB0E539561A983F58C22A04BAA74D9A7OBB6D" TargetMode = "External"/>
	<Relationship Id="rId555" Type="http://schemas.openxmlformats.org/officeDocument/2006/relationships/hyperlink" Target="consultantplus://offline/ref=56728894F7790BDF1D21FD8867B9A3260C8265AB424B5F652CF6F64A9BA00068343BB6AC652403B3FD68C2D5D60E539561A983F58C22A04BAA74D9A7OBB6D" TargetMode = "External"/>
	<Relationship Id="rId556" Type="http://schemas.openxmlformats.org/officeDocument/2006/relationships/hyperlink" Target="consultantplus://offline/ref=56728894F7790BDF1D21FD8867B9A3260C8265AB424F57632DF7F64A9BA00068343BB6AC652403B3FD68C2D4DC0E539561A983F58C22A04BAA74D9A7OBB6D" TargetMode = "External"/>
	<Relationship Id="rId557" Type="http://schemas.openxmlformats.org/officeDocument/2006/relationships/hyperlink" Target="consultantplus://offline/ref=56728894F7790BDF1D21FD8867B9A3260C8265AB424F50632DF7F64A9BA00068343BB6AC652403B3FD68C1D3D80E539561A983F58C22A04BAA74D9A7OBB6D" TargetMode = "External"/>
	<Relationship Id="rId558" Type="http://schemas.openxmlformats.org/officeDocument/2006/relationships/hyperlink" Target="consultantplus://offline/ref=56728894F7790BDF1D21FD8867B9A3260C8265AB424C5E6227FEF64A9BA00068343BB6AC652403B3FD68C1D4DE0E539561A983F58C22A04BAA74D9A7OBB6D" TargetMode = "External"/>
	<Relationship Id="rId559" Type="http://schemas.openxmlformats.org/officeDocument/2006/relationships/hyperlink" Target="consultantplus://offline/ref=56728894F7790BDF1D21FD8867B9A3260C8265AB424B5F652CF6F64A9BA00068343BB6AC652403B3FD68C2D6DF0E539561A983F58C22A04BAA74D9A7OBB6D" TargetMode = "External"/>
	<Relationship Id="rId560" Type="http://schemas.openxmlformats.org/officeDocument/2006/relationships/hyperlink" Target="consultantplus://offline/ref=56728894F7790BDF1D21FD8867B9A3260C8265AB4248576227F4F64A9BA00068343BB6AC652403B3FD68C0D2D60E539561A983F58C22A04BAA74D9A7OBB6D" TargetMode = "External"/>
	<Relationship Id="rId561" Type="http://schemas.openxmlformats.org/officeDocument/2006/relationships/hyperlink" Target="consultantplus://offline/ref=56728894F7790BDF1D21FD8867B9A3260C8265AB424C566120F5F64A9BA00068343BB6AC77245BBFFF6DDED4DB1B05C427OFBFD" TargetMode = "External"/>
	<Relationship Id="rId562" Type="http://schemas.openxmlformats.org/officeDocument/2006/relationships/hyperlink" Target="consultantplus://offline/ref=56728894F7790BDF1D21FD8867B9A3260C8265AB424F57632DF7F64A9BA00068343BB6AC652403B3FD68C2D5DC0E539561A983F58C22A04BAA74D9A7OBB6D" TargetMode = "External"/>
	<Relationship Id="rId563" Type="http://schemas.openxmlformats.org/officeDocument/2006/relationships/hyperlink" Target="consultantplus://offline/ref=56728894F7790BDF1D21FD8867B9A3260C8265AB424F57632DF7F64A9BA00068343BB6AC652403B3FD68C2D5D90E539561A983F58C22A04BAA74D9A7OBB6D" TargetMode = "External"/>
	<Relationship Id="rId564" Type="http://schemas.openxmlformats.org/officeDocument/2006/relationships/hyperlink" Target="consultantplus://offline/ref=56728894F7790BDF1D21FD8867B9A3260C8265AB424F536624F6F64A9BA00068343BB6AC652403B3FD68C1D3DB0E539561A983F58C22A04BAA74D9A7OBB6D" TargetMode = "External"/>
	<Relationship Id="rId565" Type="http://schemas.openxmlformats.org/officeDocument/2006/relationships/hyperlink" Target="consultantplus://offline/ref=56728894F7790BDF1D21FD8867B9A3260C8265AB424F51662CF7F64A9BA00068343BB6AC652403B3FD68C1D0D70E539561A983F58C22A04BAA74D9A7OBB6D" TargetMode = "External"/>
	<Relationship Id="rId566" Type="http://schemas.openxmlformats.org/officeDocument/2006/relationships/hyperlink" Target="consultantplus://offline/ref=56728894F7790BDF1D21FD8867B9A3260C8265AB424F50632DF7F64A9BA00068343BB6AC652403B3FD68C1DCDC0E539561A983F58C22A04BAA74D9A7OBB6D" TargetMode = "External"/>
	<Relationship Id="rId567" Type="http://schemas.openxmlformats.org/officeDocument/2006/relationships/hyperlink" Target="consultantplus://offline/ref=56728894F7790BDF1D21FD8867B9A3260C8265AB424C54662CF5F64A9BA00068343BB6AC652403B3FD68C2D4DD0E539561A983F58C22A04BAA74D9A7OBB6D" TargetMode = "External"/>
	<Relationship Id="rId568" Type="http://schemas.openxmlformats.org/officeDocument/2006/relationships/hyperlink" Target="consultantplus://offline/ref=56728894F7790BDF1D21FD8867B9A3260C8265AB424C5E6227FEF64A9BA00068343BB6AC652403B3FD68C1D4D80E539561A983F58C22A04BAA74D9A7OBB6D" TargetMode = "External"/>
	<Relationship Id="rId569" Type="http://schemas.openxmlformats.org/officeDocument/2006/relationships/hyperlink" Target="consultantplus://offline/ref=56728894F7790BDF1D21FD8867B9A3260C8265AB424D546420F2F64A9BA00068343BB6AC652403B3FD68C0DDD70E539561A983F58C22A04BAA74D9A7OBB6D" TargetMode = "External"/>
	<Relationship Id="rId570" Type="http://schemas.openxmlformats.org/officeDocument/2006/relationships/hyperlink" Target="consultantplus://offline/ref=56728894F7790BDF1D21FD8867B9A3260C8265AB424D5F6420FEF64A9BA00068343BB6AC652403B3FD68C1D2DB0E539561A983F58C22A04BAA74D9A7OBB6D" TargetMode = "External"/>
	<Relationship Id="rId571" Type="http://schemas.openxmlformats.org/officeDocument/2006/relationships/hyperlink" Target="consultantplus://offline/ref=56728894F7790BDF1D21FD8867B9A3260C8265AB424A5F6C27F6F64A9BA00068343BB6AC652403B3FD68C0DDDB0E539561A983F58C22A04BAA74D9A7OBB6D" TargetMode = "External"/>
	<Relationship Id="rId572" Type="http://schemas.openxmlformats.org/officeDocument/2006/relationships/hyperlink" Target="consultantplus://offline/ref=56728894F7790BDF1D21FD8867B9A3260C8265AB424B5F652CF6F64A9BA00068343BB6AC652403B3FD68C2D7DD0E539561A983F58C22A04BAA74D9A7OBB6D" TargetMode = "External"/>
	<Relationship Id="rId573" Type="http://schemas.openxmlformats.org/officeDocument/2006/relationships/hyperlink" Target="consultantplus://offline/ref=56728894F7790BDF1D21FD8867B9A3260C8265AB4248576227F4F64A9BA00068343BB6AC652403B3FD68C0D3DB0E539561A983F58C22A04BAA74D9A7OBB6D" TargetMode = "External"/>
	<Relationship Id="rId574" Type="http://schemas.openxmlformats.org/officeDocument/2006/relationships/hyperlink" Target="consultantplus://offline/ref=56728894F7790BDF1D21FD8867B9A3260C8265AB4248576227F4F64A9BA00068343BB6AC652403B3FD68C0D3DB0E539561A983F58C22A04BAA74D9A7OBB6D" TargetMode = "External"/>
	<Relationship Id="rId575" Type="http://schemas.openxmlformats.org/officeDocument/2006/relationships/hyperlink" Target="consultantplus://offline/ref=56728894F7790BDF1D21FD8867B9A3260C8265AB424F57632DF7F64A9BA00068343BB6AC652403B3FD68C2D7DA0E539561A983F58C22A04BAA74D9A7OBB6D" TargetMode = "External"/>
	<Relationship Id="rId576" Type="http://schemas.openxmlformats.org/officeDocument/2006/relationships/hyperlink" Target="consultantplus://offline/ref=56728894F7790BDF1D21FD8867B9A3260C8265AB424F50632DF7F64A9BA00068343BB6AC652403B3FD68C1DCD70E539561A983F58C22A04BAA74D9A7OBB6D" TargetMode = "External"/>
	<Relationship Id="rId577" Type="http://schemas.openxmlformats.org/officeDocument/2006/relationships/hyperlink" Target="consultantplus://offline/ref=56728894F7790BDF1D21FD8867B9A3260C8265AB424F57632DF7F64A9BA00068343BB6AC652403B3FD68C2D7D80E539561A983F58C22A04BAA74D9A7OBB6D" TargetMode = "External"/>
	<Relationship Id="rId578" Type="http://schemas.openxmlformats.org/officeDocument/2006/relationships/hyperlink" Target="consultantplus://offline/ref=56728894F7790BDF1D21FD8867B9A3260C8265AB4448576222FCAB4093F90C6A3334E9A9623503B0F876C0D0C10707C6O2B6D" TargetMode = "External"/>
	<Relationship Id="rId579" Type="http://schemas.openxmlformats.org/officeDocument/2006/relationships/hyperlink" Target="consultantplus://offline/ref=56728894F7790BDF1D21FD8867B9A3260C8265AB424F50632DF7F64A9BA00068343BB6AC652403B3FD68C1DCD60E539561A983F58C22A04BAA74D9A7OBB6D" TargetMode = "External"/>
	<Relationship Id="rId580" Type="http://schemas.openxmlformats.org/officeDocument/2006/relationships/hyperlink" Target="consultantplus://offline/ref=56728894F7790BDF1D21FD8867B9A3260C8265AB4448576222FCAB4093F90C6A3334E9A9623503B0F876C0D0C10707C6O2B6D" TargetMode = "External"/>
	<Relationship Id="rId581" Type="http://schemas.openxmlformats.org/officeDocument/2006/relationships/hyperlink" Target="consultantplus://offline/ref=56728894F7790BDF1D21FD8867B9A3260C8265AB424F50632DF7F64A9BA00068343BB6AC652403B3FD68C1DDDF0E539561A983F58C22A04BAA74D9A7OBB6D" TargetMode = "External"/>
	<Relationship Id="rId582" Type="http://schemas.openxmlformats.org/officeDocument/2006/relationships/hyperlink" Target="consultantplus://offline/ref=56728894F7790BDF1D21FD8867B9A3260C8265AB424D5F6420FEF64A9BA00068343BB6AC652403B3FD68C1D2D80E539561A983F58C22A04BAA74D9A7OBB6D" TargetMode = "External"/>
	<Relationship Id="rId583" Type="http://schemas.openxmlformats.org/officeDocument/2006/relationships/hyperlink" Target="consultantplus://offline/ref=56728894F7790BDF1D21FD8867B9A3260C8265AB424F50632DF7F64A9BA00068343BB6AC652403B3FD68C1DDDE0E539561A983F58C22A04BAA74D9A7OBB6D" TargetMode = "External"/>
	<Relationship Id="rId584" Type="http://schemas.openxmlformats.org/officeDocument/2006/relationships/hyperlink" Target="consultantplus://offline/ref=56728894F7790BDF1D21FD8867B9A3260C8265AB4448566524FCAB4093F90C6A3334E9A9623503B0F876C0D0C10707C6O2B6D" TargetMode = "External"/>
	<Relationship Id="rId585" Type="http://schemas.openxmlformats.org/officeDocument/2006/relationships/hyperlink" Target="consultantplus://offline/ref=56728894F7790BDF1D21FD8867B9A3260C8265AB424F57632DF7F64A9BA00068343BB6AC652403B3FD68C2D7D70E539561A983F58C22A04BAA74D9A7OBB6D" TargetMode = "External"/>
	<Relationship Id="rId586" Type="http://schemas.openxmlformats.org/officeDocument/2006/relationships/hyperlink" Target="consultantplus://offline/ref=56728894F7790BDF1D21FD8867B9A3260C8265AB424F50632DF7F64A9BA00068343BB6AC652403B3FD68C1DDDD0E539561A983F58C22A04BAA74D9A7OBB6D" TargetMode = "External"/>
	<Relationship Id="rId587" Type="http://schemas.openxmlformats.org/officeDocument/2006/relationships/hyperlink" Target="consultantplus://offline/ref=56728894F7790BDF1D21FD8867B9A3260C8265AB424F5E6D27F3F64A9BA00068343BB6AC77245BBFFF6DDED4DB1B05C427OFBFD" TargetMode = "External"/>
	<Relationship Id="rId588" Type="http://schemas.openxmlformats.org/officeDocument/2006/relationships/hyperlink" Target="consultantplus://offline/ref=56728894F7790BDF1D21FD8867B9A3260C8265AB424F57632DF7F64A9BA00068343BB6AC652403B3FD68C2D7D60E539561A983F58C22A04BAA74D9A7OBB6D" TargetMode = "External"/>
	<Relationship Id="rId589" Type="http://schemas.openxmlformats.org/officeDocument/2006/relationships/hyperlink" Target="consultantplus://offline/ref=56728894F7790BDF1D21FD8867B9A3260C8265AB424F50632DF7F64A9BA00068343BB6AC652403B3FD68C1DDDC0E539561A983F58C22A04BAA74D9A7OBB6D" TargetMode = "External"/>
	<Relationship Id="rId590" Type="http://schemas.openxmlformats.org/officeDocument/2006/relationships/hyperlink" Target="consultantplus://offline/ref=56728894F7790BDF1D21FD8867B9A3260C8265AB474F546D22FCAB4093F90C6A3334E9A9623503B0F876C0D0C10707C6O2B6D" TargetMode = "External"/>
	<Relationship Id="rId591" Type="http://schemas.openxmlformats.org/officeDocument/2006/relationships/hyperlink" Target="consultantplus://offline/ref=56728894F7790BDF1D21FD8867B9A3260C8265AB424F50632DF7F64A9BA00068343BB6AC652403B3FD68C1DDDB0E539561A983F58C22A04BAA74D9A7OBB6D" TargetMode = "External"/>
	<Relationship Id="rId592" Type="http://schemas.openxmlformats.org/officeDocument/2006/relationships/hyperlink" Target="consultantplus://offline/ref=56728894F7790BDF1D21FD8867B9A3260C8265AB424C566120F5F64A9BA00068343BB6AC77245BBFFF6DDED4DB1B05C427OFBFD" TargetMode = "External"/>
	<Relationship Id="rId593" Type="http://schemas.openxmlformats.org/officeDocument/2006/relationships/hyperlink" Target="consultantplus://offline/ref=56728894F7790BDF1D21FD8867B9A3260C8265AB424857602CF1F64A9BA00068343BB6AC652403B3FD68C6DDD60E539561A983F58C22A04BAA74D9A7OBB6D" TargetMode = "External"/>
	<Relationship Id="rId594" Type="http://schemas.openxmlformats.org/officeDocument/2006/relationships/hyperlink" Target="consultantplus://offline/ref=56728894F7790BDF1D21FD8867B9A3260C8265AB424F50632DF7F64A9BA00068343BB6AC652403B3FD68C1DDDA0E539561A983F58C22A04BAA74D9A7OBB6D" TargetMode = "External"/>
	<Relationship Id="rId595" Type="http://schemas.openxmlformats.org/officeDocument/2006/relationships/hyperlink" Target="consultantplus://offline/ref=56728894F7790BDF1D21FD8867B9A3260C8265AB424F57632DF7F64A9BA00068343BB6AC652403B3FD68C2D0DF0E539561A983F58C22A04BAA74D9A7OBB6D" TargetMode = "External"/>
	<Relationship Id="rId596" Type="http://schemas.openxmlformats.org/officeDocument/2006/relationships/hyperlink" Target="consultantplus://offline/ref=56728894F7790BDF1D21FD8867B9A3260C8265AB424F50632DF7F64A9BA00068343BB6AC652403B3FD68C1DDD80E539561A983F58C22A04BAA74D9A7OBB6D" TargetMode = "External"/>
	<Relationship Id="rId597" Type="http://schemas.openxmlformats.org/officeDocument/2006/relationships/hyperlink" Target="consultantplus://offline/ref=56728894F7790BDF1D21FD8867B9A3260C8265AB424F50632DF7F64A9BA00068343BB6AC652403B3FD68C1DDD60E539561A983F58C22A04BAA74D9A7OBB6D" TargetMode = "External"/>
	<Relationship Id="rId598" Type="http://schemas.openxmlformats.org/officeDocument/2006/relationships/hyperlink" Target="consultantplus://offline/ref=56728894F7790BDF1D21FD8867B9A3260C8265AB424F50632DF7F64A9BA00068343BB6AC652403B3FD68C2D4DF0E539561A983F58C22A04BAA74D9A7OBB6D" TargetMode = "External"/>
	<Relationship Id="rId599" Type="http://schemas.openxmlformats.org/officeDocument/2006/relationships/hyperlink" Target="consultantplus://offline/ref=56728894F7790BDF1D21FD8867B9A3260C8265AB424F50632DF7F64A9BA00068343BB6AC652403B3FD68C2D4DD0E539561A983F58C22A04BAA74D9A7OBB6D" TargetMode = "External"/>
	<Relationship Id="rId600" Type="http://schemas.openxmlformats.org/officeDocument/2006/relationships/hyperlink" Target="consultantplus://offline/ref=56728894F7790BDF1D21FD8867B9A3260C8265AB424F50632DF7F64A9BA00068343BB6AC652403B3FD68C2D4DC0E539561A983F58C22A04BAA74D9A7OBB6D" TargetMode = "External"/>
	<Relationship Id="rId601" Type="http://schemas.openxmlformats.org/officeDocument/2006/relationships/hyperlink" Target="consultantplus://offline/ref=56728894F7790BDF1D21FD8867B9A3260C8265AB424F50632DF7F64A9BA00068343BB6AC652403B3FD68C2D4DB0E539561A983F58C22A04BAA74D9A7OBB6D" TargetMode = "External"/>
	<Relationship Id="rId602" Type="http://schemas.openxmlformats.org/officeDocument/2006/relationships/hyperlink" Target="consultantplus://offline/ref=56728894F7790BDF1D21FD8867B9A3260C8265AB424F50632DF7F64A9BA00068343BB6AC652403B3FD68C2D4DA0E539561A983F58C22A04BAA74D9A7OBB6D" TargetMode = "External"/>
	<Relationship Id="rId603" Type="http://schemas.openxmlformats.org/officeDocument/2006/relationships/hyperlink" Target="consultantplus://offline/ref=56728894F7790BDF1D21FD8867B9A3260C8265AB424F50632DF7F64A9BA00068343BB6AC652403B3FD68C2D4D90E539561A983F58C22A04BAA74D9A7OBB6D" TargetMode = "External"/>
	<Relationship Id="rId604" Type="http://schemas.openxmlformats.org/officeDocument/2006/relationships/hyperlink" Target="consultantplus://offline/ref=56728894F7790BDF1D21FD8867B9A3260C8265AB424F536624F6F64A9BA00068343BB6AC652403B3FD68C1D3D90E539561A983F58C22A04BAA74D9A7OBB6D" TargetMode = "External"/>
	<Relationship Id="rId605" Type="http://schemas.openxmlformats.org/officeDocument/2006/relationships/hyperlink" Target="consultantplus://offline/ref=56728894F7790BDF1D21FD8867B9A3260C8265AB424F50632DF7F64A9BA00068343BB6AC652403B3FD68C2D4D70E539561A983F58C22A04BAA74D9A7OBB6D" TargetMode = "External"/>
	<Relationship Id="rId606" Type="http://schemas.openxmlformats.org/officeDocument/2006/relationships/hyperlink" Target="consultantplus://offline/ref=56728894F7790BDF1D21FD8867B9A3260C8265AB424F536624F6F64A9BA00068343BB6AC652403B3FD68C1D3D70E539561A983F58C22A04BAA74D9A7OBB6D" TargetMode = "External"/>
	<Relationship Id="rId607" Type="http://schemas.openxmlformats.org/officeDocument/2006/relationships/hyperlink" Target="consultantplus://offline/ref=56728894F7790BDF1D21FD8867B9A3260C8265AB424F50632DF7F64A9BA00068343BB6AC652403B3FD68C2D4D60E539561A983F58C22A04BAA74D9A7OBB6D" TargetMode = "External"/>
	<Relationship Id="rId608" Type="http://schemas.openxmlformats.org/officeDocument/2006/relationships/hyperlink" Target="consultantplus://offline/ref=56728894F7790BDF1D21FD8867B9A3260C8265AB424F536624F6F64A9BA00068343BB6AC652403B3FD68C1DCDF0E539561A983F58C22A04BAA74D9A7OBB6D" TargetMode = "External"/>
	<Relationship Id="rId609" Type="http://schemas.openxmlformats.org/officeDocument/2006/relationships/hyperlink" Target="consultantplus://offline/ref=56728894F7790BDF1D21FD8867B9A3260C8265AB424F50632DF7F64A9BA00068343BB6AC652403B3FD68C2D5DF0E539561A983F58C22A04BAA74D9A7OBB6D" TargetMode = "External"/>
	<Relationship Id="rId610" Type="http://schemas.openxmlformats.org/officeDocument/2006/relationships/hyperlink" Target="consultantplus://offline/ref=56728894F7790BDF1D21FD8867B9A3260C8265AB424F5F6421F5F64A9BA00068343BB6AC652403B3FD68C0D4D70E539561A983F58C22A04BAA74D9A7OBB6D" TargetMode = "External"/>
	<Relationship Id="rId611" Type="http://schemas.openxmlformats.org/officeDocument/2006/relationships/hyperlink" Target="consultantplus://offline/ref=56728894F7790BDF1D21FD8867B9A3260C8265AB424F526022F4F64A9BA00068343BB6AC77245BBFFF6DDED4DB1B05C427OFBFD" TargetMode = "External"/>
	<Relationship Id="rId612" Type="http://schemas.openxmlformats.org/officeDocument/2006/relationships/hyperlink" Target="consultantplus://offline/ref=56728894F7790BDF1D21FD8867B9A3260C8265AB424F50632DF7F64A9BA00068343BB6AC652403B3FD68C2D5DE0E539561A983F58C22A04BAA74D9A7OBB6D" TargetMode = "External"/>
	<Relationship Id="rId613" Type="http://schemas.openxmlformats.org/officeDocument/2006/relationships/hyperlink" Target="consultantplus://offline/ref=56728894F7790BDF1D21FD8867B9A3260C8265AB424F57632DF7F64A9BA00068343BB6AC652403B3FD68C2D0DC0E539561A983F58C22A04BAA74D9A7OBB6D" TargetMode = "External"/>
	<Relationship Id="rId614" Type="http://schemas.openxmlformats.org/officeDocument/2006/relationships/hyperlink" Target="consultantplus://offline/ref=56728894F7790BDF1D21FD8867B9A3260C8265AB4248576227F4F64A9BA00068343BB6AC652403B3FD68C0D3DB0E539561A983F58C22A04BAA74D9A7OBB6D" TargetMode = "External"/>
	<Relationship Id="rId615" Type="http://schemas.openxmlformats.org/officeDocument/2006/relationships/hyperlink" Target="consultantplus://offline/ref=56728894F7790BDF1D21FD8867B9A3260C8265AB4B4E5F6622FCAB4093F90C6A3334E9BB626D0FB2FD69C0D1D451568070F18CF2973CA451B676DBOAB6D" TargetMode = "External"/>
	<Relationship Id="rId616" Type="http://schemas.openxmlformats.org/officeDocument/2006/relationships/hyperlink" Target="consultantplus://offline/ref=56728894F7790BDF1D21FD8867B9A3260C8265AB4B49546320FCAB4093F90C6A3334E9BB626D0FB2FD68C7DDD451568070F18CF2973CA451B676DBOAB6D" TargetMode = "External"/>
	<Relationship Id="rId617" Type="http://schemas.openxmlformats.org/officeDocument/2006/relationships/hyperlink" Target="consultantplus://offline/ref=56728894F7790BDF1D21FD8867B9A3260C8265AB4A49576125FCAB4093F90C6A3334E9BB626D0FB2FD69C1D0D451568070F18CF2973CA451B676DBOAB6D" TargetMode = "External"/>
	<Relationship Id="rId618" Type="http://schemas.openxmlformats.org/officeDocument/2006/relationships/hyperlink" Target="consultantplus://offline/ref=56728894F7790BDF1D21FD8867B9A3260C8265AB424E54622CF5F64A9BA00068343BB6AC652403B3FD68C1D1DA0E539561A983F58C22A04BAA74D9A7OBB6D" TargetMode = "External"/>
	<Relationship Id="rId619" Type="http://schemas.openxmlformats.org/officeDocument/2006/relationships/hyperlink" Target="consultantplus://offline/ref=56728894F7790BDF1D21FD8867B9A3260C8265AB424F57632DF7F64A9BA00068343BB6AC652403B3FD68C2D3D90E539561A983F58C22A04BAA74D9A7OBB6D" TargetMode = "External"/>
	<Relationship Id="rId620" Type="http://schemas.openxmlformats.org/officeDocument/2006/relationships/hyperlink" Target="consultantplus://offline/ref=56728894F7790BDF1D21FD8867B9A3260C8265AB424F536624F6F64A9BA00068343BB6AC652403B3FD68C1DCDB0E539561A983F58C22A04BAA74D9A7OBB6D" TargetMode = "External"/>
	<Relationship Id="rId621" Type="http://schemas.openxmlformats.org/officeDocument/2006/relationships/hyperlink" Target="consultantplus://offline/ref=56728894F7790BDF1D21FD8867B9A3260C8265AB424F51662CF7F64A9BA00068343BB6AC652403B3FD68C1D1D70E539561A983F58C22A04BAA74D9A7OBB6D" TargetMode = "External"/>
	<Relationship Id="rId622" Type="http://schemas.openxmlformats.org/officeDocument/2006/relationships/hyperlink" Target="consultantplus://offline/ref=56728894F7790BDF1D21FD8867B9A3260C8265AB424F50632DF7F64A9BA00068343BB6AC652403B3FD68C2D5DA0E539561A983F58C22A04BAA74D9A7OBB6D" TargetMode = "External"/>
	<Relationship Id="rId623" Type="http://schemas.openxmlformats.org/officeDocument/2006/relationships/hyperlink" Target="consultantplus://offline/ref=56728894F7790BDF1D21FD8867B9A3260C8265AB424C54662CF5F64A9BA00068343BB6AC652403B3FD68C2D5DF0E539561A983F58C22A04BAA74D9A7OBB6D" TargetMode = "External"/>
	<Relationship Id="rId624" Type="http://schemas.openxmlformats.org/officeDocument/2006/relationships/hyperlink" Target="consultantplus://offline/ref=56728894F7790BDF1D21FD8867B9A3260C8265AB424C5E6227FEF64A9BA00068343BB6AC652403B3FD68C1D5DC0E539561A983F58C22A04BAA74D9A7OBB6D" TargetMode = "External"/>
	<Relationship Id="rId625" Type="http://schemas.openxmlformats.org/officeDocument/2006/relationships/hyperlink" Target="consultantplus://offline/ref=56728894F7790BDF1D21FD8867B9A3260C8265AB424D546420F2F64A9BA00068343BB6AC652403B3FD68C1D4DB0E539561A983F58C22A04BAA74D9A7OBB6D" TargetMode = "External"/>
	<Relationship Id="rId626" Type="http://schemas.openxmlformats.org/officeDocument/2006/relationships/hyperlink" Target="consultantplus://offline/ref=56728894F7790BDF1D21FD8867B9A3260C8265AB424A5F6C27F6F64A9BA00068343BB6AC652403B3FD68C1D4DD0E539561A983F58C22A04BAA74D9A7OBB6D" TargetMode = "External"/>
	<Relationship Id="rId627" Type="http://schemas.openxmlformats.org/officeDocument/2006/relationships/hyperlink" Target="consultantplus://offline/ref=56728894F7790BDF1D21FD8867B9A3260C8265AB424B5F652CF6F64A9BA00068343BB6AC652403B3FD68C2D0DF0E539561A983F58C22A04BAA74D9A7OBB6D" TargetMode = "External"/>
	<Relationship Id="rId628" Type="http://schemas.openxmlformats.org/officeDocument/2006/relationships/hyperlink" Target="consultantplus://offline/ref=56728894F7790BDF1D21FD8867B9A3260C8265AB4248576227F4F64A9BA00068343BB6AC652403B3FD68C0D3DA0E539561A983F58C22A04BAA74D9A7OBB6D" TargetMode = "External"/>
	<Relationship Id="rId629" Type="http://schemas.openxmlformats.org/officeDocument/2006/relationships/hyperlink" Target="consultantplus://offline/ref=56728894F7790BDF1D21FD8867B9A3260C8265AB424F50632DF7F64A9BA00068343BB6AC652403B3FD68C2D5D60E539561A983F58C22A04BAA74D9A7OBB6D" TargetMode = "External"/>
	<Relationship Id="rId630" Type="http://schemas.openxmlformats.org/officeDocument/2006/relationships/hyperlink" Target="consultantplus://offline/ref=56728894F7790BDF1D21FD8867B9A3260C8265AB424F57632DF7F64A9BA00068343BB6AC652403B3FD68C2D3D70E539561A983F58C22A04BAA74D9A7OBB6D" TargetMode = "External"/>
	<Relationship Id="rId631" Type="http://schemas.openxmlformats.org/officeDocument/2006/relationships/hyperlink" Target="consultantplus://offline/ref=56728894F7790BDF1D21FD8867B9A3260C8265AB424F536624F6F64A9BA00068343BB6AC652403B3FD68C1DCDA0E539561A983F58C22A04BAA74D9A7OBB6D" TargetMode = "External"/>
	<Relationship Id="rId632" Type="http://schemas.openxmlformats.org/officeDocument/2006/relationships/hyperlink" Target="consultantplus://offline/ref=56728894F7790BDF1D21FD8867B9A3260C8265AB424F57632DF7F64A9BA00068343BB6AC652403B3FD68C2D3D60E539561A983F58C22A04BAA74D9A7OBB6D" TargetMode = "External"/>
	<Relationship Id="rId633" Type="http://schemas.openxmlformats.org/officeDocument/2006/relationships/hyperlink" Target="consultantplus://offline/ref=56728894F7790BDF1D21FD8867B9A3260C8265AB424F536624F6F64A9BA00068343BB6AC652403B3FD68C1DCD90E539561A983F58C22A04BAA74D9A7OBB6D" TargetMode = "External"/>
	<Relationship Id="rId634" Type="http://schemas.openxmlformats.org/officeDocument/2006/relationships/hyperlink" Target="consultantplus://offline/ref=56728894F7790BDF1D21FD8867B9A3260C8265AB424F57632DF7F64A9BA00068343BB6AC652403B3FD68C2DCDF0E539561A983F58C22A04BAA74D9A7OBB6D" TargetMode = "External"/>
	<Relationship Id="rId635" Type="http://schemas.openxmlformats.org/officeDocument/2006/relationships/hyperlink" Target="consultantplus://offline/ref=56728894F7790BDF1D21FD8867B9A3260C8265AB424F536624F6F64A9BA00068343BB6AC652403B3FD68C1DCD80E539561A983F58C22A04BAA74D9A7OBB6D" TargetMode = "External"/>
	<Relationship Id="rId636" Type="http://schemas.openxmlformats.org/officeDocument/2006/relationships/hyperlink" Target="consultantplus://offline/ref=56728894F7790BDF1D21FD8867B9A3260C8265AB424A5F6C27F6F64A9BA00068343BB6AC652403B3FD68C1D4DC0E539561A983F58C22A04BAA74D9A7OBB6D" TargetMode = "External"/>
	<Relationship Id="rId637" Type="http://schemas.openxmlformats.org/officeDocument/2006/relationships/hyperlink" Target="consultantplus://offline/ref=56728894F7790BDF1D21FD8867B9A3260C8265AB424B5F652CF6F64A9BA00068343BB6AC652403B3FD68C2D0DD0E539561A983F58C22A04BAA74D9A7OBB6D" TargetMode = "External"/>
	<Relationship Id="rId638" Type="http://schemas.openxmlformats.org/officeDocument/2006/relationships/hyperlink" Target="consultantplus://offline/ref=56728894F7790BDF1D21FD8867B9A3260C8265AB424F50632DF7F64A9BA00068343BB6AC652403B3FD68C2D6DF0E539561A983F58C22A04BAA74D9A7OBB6D" TargetMode = "External"/>
	<Relationship Id="rId639" Type="http://schemas.openxmlformats.org/officeDocument/2006/relationships/hyperlink" Target="consultantplus://offline/ref=56728894F7790BDF1D21FD8867B9A3260C8265AB424C5E6227FEF64A9BA00068343BB6AC652403B3FD68C1D5DB0E539561A983F58C22A04BAA74D9A7OBB6D" TargetMode = "External"/>
	<Relationship Id="rId640" Type="http://schemas.openxmlformats.org/officeDocument/2006/relationships/hyperlink" Target="consultantplus://offline/ref=56728894F7790BDF1D21FD8867B9A3260C8265AB424B5F652CF6F64A9BA00068343BB6AC652403B3FD68C2D0DC0E539561A983F58C22A04BAA74D9A7OBB6D" TargetMode = "External"/>
	<Relationship Id="rId641" Type="http://schemas.openxmlformats.org/officeDocument/2006/relationships/hyperlink" Target="consultantplus://offline/ref=56728894F7790BDF1D21FD8867B9A3260C8265AB4248576227F4F64A9BA00068343BB6AC652403B3FD68C0D3D90E539561A983F58C22A04BAA74D9A7OBB6D" TargetMode = "External"/>
	<Relationship Id="rId642" Type="http://schemas.openxmlformats.org/officeDocument/2006/relationships/hyperlink" Target="consultantplus://offline/ref=56728894F7790BDF1D21FD8867B9A3260C8265AB4B4E5F6622FCAB4093F90C6A3334E9BB626D0FB2FD69C1D0D451568070F18CF2973CA451B676DBOAB6D" TargetMode = "External"/>
	<Relationship Id="rId643" Type="http://schemas.openxmlformats.org/officeDocument/2006/relationships/hyperlink" Target="consultantplus://offline/ref=56728894F7790BDF1D21FD8867B9A3260C8265AB4B49546320FCAB4093F90C6A3334E9BB626D0FB2FD68C8D1D451568070F18CF2973CA451B676DBOAB6D" TargetMode = "External"/>
	<Relationship Id="rId644" Type="http://schemas.openxmlformats.org/officeDocument/2006/relationships/hyperlink" Target="consultantplus://offline/ref=56728894F7790BDF1D21FD8867B9A3260C8265AB4A49576125FCAB4093F90C6A3334E9BB626D0FB2FD69C2D6D451568070F18CF2973CA451B676DBOAB6D" TargetMode = "External"/>
	<Relationship Id="rId645" Type="http://schemas.openxmlformats.org/officeDocument/2006/relationships/hyperlink" Target="consultantplus://offline/ref=56728894F7790BDF1D21FD8867B9A3260C8265AB424E54622CF5F64A9BA00068343BB6AC652403B3FD68C1D2DB0E539561A983F58C22A04BAA74D9A7OBB6D" TargetMode = "External"/>
	<Relationship Id="rId646" Type="http://schemas.openxmlformats.org/officeDocument/2006/relationships/hyperlink" Target="consultantplus://offline/ref=56728894F7790BDF1D21FD8867B9A3260C8265AB424F57632DF7F64A9BA00068343BB6AC652403B3FD68C2DDDF0E539561A983F58C22A04BAA74D9A7OBB6D" TargetMode = "External"/>
	<Relationship Id="rId647" Type="http://schemas.openxmlformats.org/officeDocument/2006/relationships/hyperlink" Target="consultantplus://offline/ref=56728894F7790BDF1D21FD8867B9A3260C8265AB424F536624F6F64A9BA00068343BB6AC652403B3FD68C1DDDC0E539561A983F58C22A04BAA74D9A7OBB6D" TargetMode = "External"/>
	<Relationship Id="rId648" Type="http://schemas.openxmlformats.org/officeDocument/2006/relationships/hyperlink" Target="consultantplus://offline/ref=56728894F7790BDF1D21FD8867B9A3260C8265AB424F50632DF7F64A9BA00068343BB6AC652403B3FD68C2D6D90E539561A983F58C22A04BAA74D9A7OBB6D" TargetMode = "External"/>
	<Relationship Id="rId649" Type="http://schemas.openxmlformats.org/officeDocument/2006/relationships/hyperlink" Target="consultantplus://offline/ref=56728894F7790BDF1D21FD8867B9A3260C8265AB424C54662CF5F64A9BA00068343BB6AC652403B3FD68C2D5D70E539561A983F58C22A04BAA74D9A7OBB6D" TargetMode = "External"/>
	<Relationship Id="rId650" Type="http://schemas.openxmlformats.org/officeDocument/2006/relationships/hyperlink" Target="consultantplus://offline/ref=56728894F7790BDF1D21FD8867B9A3260C8265AB424C5E6227FEF64A9BA00068343BB6AC652403B3FD68C1D6DF0E539561A983F58C22A04BAA74D9A7OBB6D" TargetMode = "External"/>
	<Relationship Id="rId651" Type="http://schemas.openxmlformats.org/officeDocument/2006/relationships/hyperlink" Target="consultantplus://offline/ref=56728894F7790BDF1D21FD8867B9A3260C8265AB424D546420F2F64A9BA00068343BB6AC652403B3FD68C1D5DC0E539561A983F58C22A04BAA74D9A7OBB6D" TargetMode = "External"/>
	<Relationship Id="rId652" Type="http://schemas.openxmlformats.org/officeDocument/2006/relationships/hyperlink" Target="consultantplus://offline/ref=56728894F7790BDF1D21FD8867B9A3260C8265AB424A5F6C27F6F64A9BA00068343BB6AC652403B3FD68C1D4DB0E539561A983F58C22A04BAA74D9A7OBB6D" TargetMode = "External"/>
	<Relationship Id="rId653" Type="http://schemas.openxmlformats.org/officeDocument/2006/relationships/hyperlink" Target="consultantplus://offline/ref=56728894F7790BDF1D21FD8867B9A3260C8265AB424B5F652CF6F64A9BA00068343BB6AC652403B3FD68C2D2DF0E539561A983F58C22A04BAA74D9A7OBB6D" TargetMode = "External"/>
	<Relationship Id="rId654" Type="http://schemas.openxmlformats.org/officeDocument/2006/relationships/hyperlink" Target="consultantplus://offline/ref=56728894F7790BDF1D21FD8867B9A3260C8265AB4248576227F4F64A9BA00068343BB6AC652403B3FD68C0DCDE0E539561A983F58C22A04BAA74D9A7OBB6D" TargetMode = "External"/>
	<Relationship Id="rId655" Type="http://schemas.openxmlformats.org/officeDocument/2006/relationships/hyperlink" Target="consultantplus://offline/ref=56728894F7790BDF1D21FD8867B9A3260C8265AB4248576227F4F64A9BA00068343BB6AC652403B3FD68C0DCDE0E539561A983F58C22A04BAA74D9A7OBB6D" TargetMode = "External"/>
	<Relationship Id="rId656" Type="http://schemas.openxmlformats.org/officeDocument/2006/relationships/hyperlink" Target="consultantplus://offline/ref=56728894F7790BDF1D21FD8867B9A3260C8265AB424E54622CF5F64A9BA00068343BB6AC652403B3FD68C1D2DA0E539561A983F58C22A04BAA74D9A7OBB6D" TargetMode = "External"/>
	<Relationship Id="rId657" Type="http://schemas.openxmlformats.org/officeDocument/2006/relationships/hyperlink" Target="consultantplus://offline/ref=56728894F7790BDF1D21FD8867B9A3260C8265AB4B4E5F6622FCAB4093F90C6A3334E9BB626D0FB2FD69C1D1D451568070F18CF2973CA451B676DBOAB6D" TargetMode = "External"/>
	<Relationship Id="rId658" Type="http://schemas.openxmlformats.org/officeDocument/2006/relationships/hyperlink" Target="consultantplus://offline/ref=56728894F7790BDF1D21FD8867B9A3260C8265AB424D546420F2F64A9BA00068343BB6AC652403B3FD68C1D5DB0E539561A983F58C22A04BAA74D9A7OBB6D" TargetMode = "External"/>
	<Relationship Id="rId659" Type="http://schemas.openxmlformats.org/officeDocument/2006/relationships/hyperlink" Target="consultantplus://offline/ref=56728894F7790BDF1D21E38571D5FD2F018B3EA2444F5C3279A3F01DC4F0063D747BB0F926600DBBF56394859B500AC620E28EF3973EA04DOBB7D" TargetMode = "External"/>
	<Relationship Id="rId660" Type="http://schemas.openxmlformats.org/officeDocument/2006/relationships/hyperlink" Target="consultantplus://offline/ref=56728894F7790BDF1D21FD8867B9A3260C8265AB424F57632DF7F64A9BA00068343BB6AC652403B3FD68C2DDDD0E539561A983F58C22A04BAA74D9A7OBB6D" TargetMode = "External"/>
	<Relationship Id="rId661" Type="http://schemas.openxmlformats.org/officeDocument/2006/relationships/hyperlink" Target="consultantplus://offline/ref=56728894F7790BDF1D21E38571D5FD2F018B3EA2444F5C3279A3F01DC4F0063D747BB0F926600DBBFB6394859B500AC620E28EF3973EA04DOBB7D" TargetMode = "External"/>
	<Relationship Id="rId662" Type="http://schemas.openxmlformats.org/officeDocument/2006/relationships/hyperlink" Target="consultantplus://offline/ref=56728894F7790BDF1D21FD8867B9A3260C8265AB4248576227F4F64A9BA00068343BB6AC652403B3FD68C0DCDE0E539561A983F58C22A04BAA74D9A7OBB6D" TargetMode = "External"/>
	<Relationship Id="rId663" Type="http://schemas.openxmlformats.org/officeDocument/2006/relationships/hyperlink" Target="consultantplus://offline/ref=56728894F7790BDF1D21FD8867B9A3260C8265AB4B49546320FCAB4093F90C6A3334E9BB626D0FB2FD68C8D2D451568070F18CF2973CA451B676DBOAB6D" TargetMode = "External"/>
	<Relationship Id="rId664" Type="http://schemas.openxmlformats.org/officeDocument/2006/relationships/hyperlink" Target="consultantplus://offline/ref=56728894F7790BDF1D21FD8867B9A3260C8265AB4A49576125FCAB4093F90C6A3334E9BB626D0FB2FD69C2D7D451568070F18CF2973CA451B676DBOAB6D" TargetMode = "External"/>
	<Relationship Id="rId665" Type="http://schemas.openxmlformats.org/officeDocument/2006/relationships/hyperlink" Target="consultantplus://offline/ref=56728894F7790BDF1D21FD8867B9A3260C8265AB424F57632DF7F64A9BA00068343BB6AC652403B3FD68C2DDDA0E539561A983F58C22A04BAA74D9A7OBB6D" TargetMode = "External"/>
	<Relationship Id="rId666" Type="http://schemas.openxmlformats.org/officeDocument/2006/relationships/hyperlink" Target="consultantplus://offline/ref=56728894F7790BDF1D21FD8867B9A3260C8265AB424F536624F6F64A9BA00068343BB6AC652403B3FD68C1DDDB0E539561A983F58C22A04BAA74D9A7OBB6D" TargetMode = "External"/>
	<Relationship Id="rId667" Type="http://schemas.openxmlformats.org/officeDocument/2006/relationships/hyperlink" Target="consultantplus://offline/ref=56728894F7790BDF1D21FD8867B9A3260C8265AB424F50632DF7F64A9BA00068343BB6AC652403B3FD68C2D6D80E539561A983F58C22A04BAA74D9A7OBB6D" TargetMode = "External"/>
	<Relationship Id="rId668" Type="http://schemas.openxmlformats.org/officeDocument/2006/relationships/hyperlink" Target="consultantplus://offline/ref=56728894F7790BDF1D21FD8867B9A3260C8265AB424C54662CF5F64A9BA00068343BB6AC652403B3FD68C2D5D60E539561A983F58C22A04BAA74D9A7OBB6D" TargetMode = "External"/>
	<Relationship Id="rId669" Type="http://schemas.openxmlformats.org/officeDocument/2006/relationships/hyperlink" Target="consultantplus://offline/ref=56728894F7790BDF1D21FD8867B9A3260C8265AB424C5E6227FEF64A9BA00068343BB6AC652403B3FD68C1D6DE0E539561A983F58C22A04BAA74D9A7OBB6D" TargetMode = "External"/>
	<Relationship Id="rId670" Type="http://schemas.openxmlformats.org/officeDocument/2006/relationships/hyperlink" Target="consultantplus://offline/ref=56728894F7790BDF1D21FD8867B9A3260C8265AB424D546420F2F64A9BA00068343BB6AC652403B3FD68C1D5DA0E539561A983F58C22A04BAA74D9A7OBB6D" TargetMode = "External"/>
	<Relationship Id="rId671" Type="http://schemas.openxmlformats.org/officeDocument/2006/relationships/hyperlink" Target="consultantplus://offline/ref=56728894F7790BDF1D21FD8867B9A3260C8265AB424D5F6420FEF64A9BA00068343BB6AC652403B3FD68C1D3DE0E539561A983F58C22A04BAA74D9A7OBB6D" TargetMode = "External"/>
	<Relationship Id="rId672" Type="http://schemas.openxmlformats.org/officeDocument/2006/relationships/hyperlink" Target="consultantplus://offline/ref=56728894F7790BDF1D21FD8867B9A3260C8265AB424A5F6C27F6F64A9BA00068343BB6AC652403B3FD68C1D4DA0E539561A983F58C22A04BAA74D9A7OBB6D" TargetMode = "External"/>
	<Relationship Id="rId673" Type="http://schemas.openxmlformats.org/officeDocument/2006/relationships/hyperlink" Target="consultantplus://offline/ref=56728894F7790BDF1D21FD8867B9A3260C8265AB424B576523F6F64A9BA00068343BB6AC652403B3FD68C0D7D60E539561A983F58C22A04BAA74D9A7OBB6D" TargetMode = "External"/>
	<Relationship Id="rId674" Type="http://schemas.openxmlformats.org/officeDocument/2006/relationships/hyperlink" Target="consultantplus://offline/ref=56728894F7790BDF1D21FD8867B9A3260C8265AB424B5F652CF6F64A9BA00068343BB6AC652403B3FD68C2D2DE0E539561A983F58C22A04BAA74D9A7OBB6D" TargetMode = "External"/>
	<Relationship Id="rId675" Type="http://schemas.openxmlformats.org/officeDocument/2006/relationships/hyperlink" Target="consultantplus://offline/ref=56728894F7790BDF1D21FD8867B9A3260C8265AB4248576227F4F64A9BA00068343BB6AC652403B3FD68C0DCDD0E539561A983F58C22A04BAA74D9A7OBB6D" TargetMode = "External"/>
	<Relationship Id="rId676" Type="http://schemas.openxmlformats.org/officeDocument/2006/relationships/hyperlink" Target="consultantplus://offline/ref=56728894F7790BDF1D21FD8867B9A3260C8265AB424F50632DF7F64A9BA00068343BB6AC652403B3FD68C2D7DE0E539561A983F58C22A04BAA74D9A7OBB6D" TargetMode = "External"/>
	<Relationship Id="rId677" Type="http://schemas.openxmlformats.org/officeDocument/2006/relationships/hyperlink" Target="consultantplus://offline/ref=56728894F7790BDF1D21FD8867B9A3260C8265AB424F57632DF7F64A9BA00068343BB6AC652403B3FD68C2DDD80E539561A983F58C22A04BAA74D9A7OBB6D" TargetMode = "External"/>
	<Relationship Id="rId678" Type="http://schemas.openxmlformats.org/officeDocument/2006/relationships/hyperlink" Target="consultantplus://offline/ref=56728894F7790BDF1D21FD8867B9A3260C8265AB424F536624F6F64A9BA00068343BB6AC652403B3FD68C1DDDA0E539561A983F58C22A04BAA74D9A7OBB6D" TargetMode = "External"/>
	<Relationship Id="rId679" Type="http://schemas.openxmlformats.org/officeDocument/2006/relationships/hyperlink" Target="consultantplus://offline/ref=56728894F7790BDF1D21FD8867B9A3260C8265AB424F57632DF7F64A9BA00068343BB6AC652403B3FD68C2DDD70E539561A983F58C22A04BAA74D9A7OBB6D" TargetMode = "External"/>
	<Relationship Id="rId680" Type="http://schemas.openxmlformats.org/officeDocument/2006/relationships/hyperlink" Target="consultantplus://offline/ref=56728894F7790BDF1D21FD8867B9A3260C8265AB424F536624F6F64A9BA00068343BB6AC652403B3FD68C1DDD90E539561A983F58C22A04BAA74D9A7OBB6D" TargetMode = "External"/>
	<Relationship Id="rId681" Type="http://schemas.openxmlformats.org/officeDocument/2006/relationships/hyperlink" Target="consultantplus://offline/ref=56728894F7790BDF1D21FD8867B9A3260C8265AB424F57632DF7F64A9BA00068343BB6AC652403B3FD68C2DDD60E539561A983F58C22A04BAA74D9A7OBB6D" TargetMode = "External"/>
	<Relationship Id="rId682" Type="http://schemas.openxmlformats.org/officeDocument/2006/relationships/hyperlink" Target="consultantplus://offline/ref=56728894F7790BDF1D21FD8867B9A3260C8265AB424F536624F6F64A9BA00068343BB6AC652403B3FD68C1DDD80E539561A983F58C22A04BAA74D9A7OBB6D" TargetMode = "External"/>
	<Relationship Id="rId683" Type="http://schemas.openxmlformats.org/officeDocument/2006/relationships/hyperlink" Target="consultantplus://offline/ref=56728894F7790BDF1D21FD8867B9A3260C8265AB424A5F6C27F6F64A9BA00068343BB6AC652403B3FD68C1D4D80E539561A983F58C22A04BAA74D9A7OBB6D" TargetMode = "External"/>
	<Relationship Id="rId684" Type="http://schemas.openxmlformats.org/officeDocument/2006/relationships/hyperlink" Target="consultantplus://offline/ref=56728894F7790BDF1D21FD8867B9A3260C8265AB424B5F652CF6F64A9BA00068343BB6AC652403B3FD68C2D2DC0E539561A983F58C22A04BAA74D9A7OBB6D" TargetMode = "External"/>
	<Relationship Id="rId685" Type="http://schemas.openxmlformats.org/officeDocument/2006/relationships/hyperlink" Target="consultantplus://offline/ref=56728894F7790BDF1D21FD8867B9A3260C8265AB424F50632DF7F64A9BA00068343BB6AC652403B3FD68C2D7DD0E539561A983F58C22A04BAA74D9A7OBB6D" TargetMode = "External"/>
	<Relationship Id="rId686" Type="http://schemas.openxmlformats.org/officeDocument/2006/relationships/hyperlink" Target="consultantplus://offline/ref=56728894F7790BDF1D21FD8867B9A3260C8265AB424C5E6227FEF64A9BA00068343BB6AC652403B3FD68C1D6DC0E539561A983F58C22A04BAA74D9A7OBB6D" TargetMode = "External"/>
	<Relationship Id="rId687" Type="http://schemas.openxmlformats.org/officeDocument/2006/relationships/hyperlink" Target="consultantplus://offline/ref=56728894F7790BDF1D21FD8867B9A3260C8265AB424B5F652CF6F64A9BA00068343BB6AC652403B3FD68C2D2DB0E539561A983F58C22A04BAA74D9A7OBB6D" TargetMode = "External"/>
	<Relationship Id="rId688" Type="http://schemas.openxmlformats.org/officeDocument/2006/relationships/hyperlink" Target="consultantplus://offline/ref=56728894F7790BDF1D21FD8867B9A3260C8265AB4248576227F4F64A9BA00068343BB6AC652403B3FD68C0DCDC0E539561A983F58C22A04BAA74D9A7OBB6D" TargetMode = "External"/>
	<Relationship Id="rId689" Type="http://schemas.openxmlformats.org/officeDocument/2006/relationships/hyperlink" Target="consultantplus://offline/ref=56728894F7790BDF1D21FD8867B9A3260C8265AB4B49546320FCAB4093F90C6A3334E9BB626D0FB2FD68C9D7D451568070F18CF2973CA451B676DBOAB6D" TargetMode = "External"/>
	<Relationship Id="rId690" Type="http://schemas.openxmlformats.org/officeDocument/2006/relationships/hyperlink" Target="consultantplus://offline/ref=56728894F7790BDF1D21FD8867B9A3260C8265AB4A49576125FCAB4093F90C6A3334E9BB626D0FB2FD69C3D5D451568070F18CF2973CA451B676DBOAB6D" TargetMode = "External"/>
	<Relationship Id="rId691" Type="http://schemas.openxmlformats.org/officeDocument/2006/relationships/hyperlink" Target="consultantplus://offline/ref=56728894F7790BDF1D21FD8867B9A3260C8265AB424F57632DF7F64A9BA00068343BB6AC652403B3FD68C3D4D60E539561A983F58C22A04BAA74D9A7OBB6D" TargetMode = "External"/>
	<Relationship Id="rId692" Type="http://schemas.openxmlformats.org/officeDocument/2006/relationships/hyperlink" Target="consultantplus://offline/ref=56728894F7790BDF1D21FD8867B9A3260C8265AB424F50632DF7F64A9BA00068343BB6AC652403B3FD68C2D7D70E539561A983F58C22A04BAA74D9A7OBB6D" TargetMode = "External"/>
	<Relationship Id="rId693" Type="http://schemas.openxmlformats.org/officeDocument/2006/relationships/hyperlink" Target="consultantplus://offline/ref=56728894F7790BDF1D21FD8867B9A3260C8265AB424C54662CF5F64A9BA00068343BB6AC652403B3FD68C2D6D70E539561A983F58C22A04BAA74D9A7OBB6D" TargetMode = "External"/>
	<Relationship Id="rId694" Type="http://schemas.openxmlformats.org/officeDocument/2006/relationships/hyperlink" Target="consultantplus://offline/ref=56728894F7790BDF1D21FD8867B9A3260C8265AB424C5E6227FEF64A9BA00068343BB6AC652403B3FD68C1D6D60E539561A983F58C22A04BAA74D9A7OBB6D" TargetMode = "External"/>
	<Relationship Id="rId695" Type="http://schemas.openxmlformats.org/officeDocument/2006/relationships/hyperlink" Target="consultantplus://offline/ref=56728894F7790BDF1D21FD8867B9A3260C8265AB424D546420F2F64A9BA00068343BB6AC652403B3FD68C1D6DB0E539561A983F58C22A04BAA74D9A7OBB6D" TargetMode = "External"/>
	<Relationship Id="rId696" Type="http://schemas.openxmlformats.org/officeDocument/2006/relationships/hyperlink" Target="consultantplus://offline/ref=56728894F7790BDF1D21FD8867B9A3260C8265AB424D5F6420FEF64A9BA00068343BB6AC652403B3FD68C1DCDF0E539561A983F58C22A04BAA74D9A7OBB6D" TargetMode = "External"/>
	<Relationship Id="rId697" Type="http://schemas.openxmlformats.org/officeDocument/2006/relationships/hyperlink" Target="consultantplus://offline/ref=56728894F7790BDF1D21FD8867B9A3260C8265AB424A5F6C27F6F64A9BA00068343BB6AC652403B3FD68C1D5DC0E539561A983F58C22A04BAA74D9A7OBB6D" TargetMode = "External"/>
	<Relationship Id="rId698" Type="http://schemas.openxmlformats.org/officeDocument/2006/relationships/hyperlink" Target="consultantplus://offline/ref=56728894F7790BDF1D21FD8867B9A3260C8265AB424B5F652CF6F64A9BA00068343BB6AC652403B3FD68C2DCDB0E539561A983F58C22A04BAA74D9A7OBB6D" TargetMode = "External"/>
	<Relationship Id="rId699" Type="http://schemas.openxmlformats.org/officeDocument/2006/relationships/hyperlink" Target="consultantplus://offline/ref=56728894F7790BDF1D21FD8867B9A3260C8265AB4248576227F4F64A9BA00068343BB6AC652403B3FD68C0DCD70E539561A983F58C22A04BAA74D9A7OBB6D" TargetMode = "External"/>
	<Relationship Id="rId700" Type="http://schemas.openxmlformats.org/officeDocument/2006/relationships/hyperlink" Target="consultantplus://offline/ref=56728894F7790BDF1D21FD8867B9A3260C8265AB4248576227F4F64A9BA00068343BB6AC652403B3FD68C0DCD70E539561A983F58C22A04BAA74D9A7OBB6D" TargetMode = "External"/>
	<Relationship Id="rId701" Type="http://schemas.openxmlformats.org/officeDocument/2006/relationships/hyperlink" Target="consultantplus://offline/ref=56728894F7790BDF1D21FD8867B9A3260C8265AB424F50632DF7F64A9BA00068343BB6AC652403B3FD68C2D0DC0E539561A983F58C22A04BAA74D9A7OBB6D" TargetMode = "External"/>
	<Relationship Id="rId702" Type="http://schemas.openxmlformats.org/officeDocument/2006/relationships/hyperlink" Target="consultantplus://offline/ref=56728894F7790BDF1D21FD8867B9A3260C8265AB424B5F652CF6F64A9BA00068343BB6AC652403B3FD68C2DCD90E539561A983F58C22A04BAA74D9A7OBB6D" TargetMode = "External"/>
	<Relationship Id="rId703" Type="http://schemas.openxmlformats.org/officeDocument/2006/relationships/hyperlink" Target="consultantplus://offline/ref=56728894F7790BDF1D21FD8867B9A3260C8265AB424C5E6227FEF64A9BA00068343BB6AC652403B3FD68C1D7DE0E539561A983F58C22A04BAA74D9A7OBB6D" TargetMode = "External"/>
	<Relationship Id="rId704" Type="http://schemas.openxmlformats.org/officeDocument/2006/relationships/hyperlink" Target="consultantplus://offline/ref=56728894F7790BDF1D21FD8867B9A3260C8265AB424D546420F2F64A9BA00068343BB6AC652403B3FD68C1D6D90E539561A983F58C22A04BAA74D9A7OBB6D" TargetMode = "External"/>
	<Relationship Id="rId705" Type="http://schemas.openxmlformats.org/officeDocument/2006/relationships/hyperlink" Target="consultantplus://offline/ref=56728894F7790BDF1D21FD8867B9A3260C8265AB424B5F652CF6F64A9BA00068343BB6AC652403B3FD68C2DCD80E539561A983F58C22A04BAA74D9A7OBB6D" TargetMode = "External"/>
	<Relationship Id="rId706" Type="http://schemas.openxmlformats.org/officeDocument/2006/relationships/hyperlink" Target="consultantplus://offline/ref=56728894F7790BDF1D21FD8867B9A3260C8265AB424B556721F4F64A9BA00068343BB6AC652403B3FD68C4D1DF0E539561A983F58C22A04BAA74D9A7OBB6D" TargetMode = "External"/>
	<Relationship Id="rId707" Type="http://schemas.openxmlformats.org/officeDocument/2006/relationships/hyperlink" Target="consultantplus://offline/ref=56728894F7790BDF1D21FD8867B9A3260C8265AB424C5E6227FEF64A9BA00068343BB6AC652403B3FD68C1D7DD0E539561A983F58C22A04BAA74D9A7OBB6D" TargetMode = "External"/>
	<Relationship Id="rId708" Type="http://schemas.openxmlformats.org/officeDocument/2006/relationships/hyperlink" Target="consultantplus://offline/ref=56728894F7790BDF1D21FD8867B9A3260C8265AB424B576523F6F64A9BA00068343BB6AC652403B3FD68C0D0DF0E539561A983F58C22A04BAA74D9A7OBB6D" TargetMode = "External"/>
	<Relationship Id="rId709" Type="http://schemas.openxmlformats.org/officeDocument/2006/relationships/hyperlink" Target="consultantplus://offline/ref=56728894F7790BDF1D21FD8867B9A3260C8265AB424B556721F4F64A9BA00068343BB6AC652403B3FD68C4D1DF0E539561A983F58C22A04BAA74D9A7OBB6D" TargetMode = "External"/>
	<Relationship Id="rId710" Type="http://schemas.openxmlformats.org/officeDocument/2006/relationships/hyperlink" Target="consultantplus://offline/ref=56728894F7790BDF1D21FD8867B9A3260C8265AB424C5E6227FEF64A9BA00068343BB6AC652403B3FD68C1D7DC0E539561A983F58C22A04BAA74D9A7OBB6D" TargetMode = "External"/>
	<Relationship Id="rId711" Type="http://schemas.openxmlformats.org/officeDocument/2006/relationships/hyperlink" Target="consultantplus://offline/ref=56728894F7790BDF1D21FD8867B9A3260C8265AB424B576523F6F64A9BA00068343BB6AC652403B3FD68C0D0DF0E539561A983F58C22A04BAA74D9A7OBB6D" TargetMode = "External"/>
	<Relationship Id="rId712" Type="http://schemas.openxmlformats.org/officeDocument/2006/relationships/hyperlink" Target="consultantplus://offline/ref=56728894F7790BDF1D21FD8867B9A3260C8265AB424B576523F6F64A9BA00068343BB6AC652403B3FD68C0D0DE0E539561A983F58C22A04BAA74D9A7OBB6D" TargetMode = "External"/>
	<Relationship Id="rId713" Type="http://schemas.openxmlformats.org/officeDocument/2006/relationships/hyperlink" Target="consultantplus://offline/ref=56728894F7790BDF1D21FD8867B9A3260C8265AB424D546420F2F64A9BA00068343BB6AC652403B3FD68C1D6D80E539561A983F58C22A04BAA74D9A7OBB6D" TargetMode = "External"/>
	<Relationship Id="rId714" Type="http://schemas.openxmlformats.org/officeDocument/2006/relationships/hyperlink" Target="consultantplus://offline/ref=56728894F7790BDF1D21FD8867B9A3260C8265AB424D546420F2F64A9BA00068343BB6AC652403B3FD68C1D6D60E539561A983F58C22A04BAA74D9A7OBB6D" TargetMode = "External"/>
	<Relationship Id="rId715" Type="http://schemas.openxmlformats.org/officeDocument/2006/relationships/hyperlink" Target="consultantplus://offline/ref=56728894F7790BDF1D21FD8867B9A3260C8265AB424D546420F2F64A9BA00068343BB6AC652403B3FD68C1D7DF0E539561A983F58C22A04BAA74D9A7OBB6D" TargetMode = "External"/>
	<Relationship Id="rId716" Type="http://schemas.openxmlformats.org/officeDocument/2006/relationships/hyperlink" Target="consultantplus://offline/ref=56728894F7790BDF1D21FD8867B9A3260C8265AB424D546420F2F64A9BA00068343BB6AC652403B3FD68C1D7DE0E539561A983F58C22A04BAA74D9A7OBB6D" TargetMode = "External"/>
	<Relationship Id="rId717" Type="http://schemas.openxmlformats.org/officeDocument/2006/relationships/hyperlink" Target="consultantplus://offline/ref=56728894F7790BDF1D21FD8867B9A3260C8265AB424D546420F2F64A9BA00068343BB6AC652403B3FD68C1D7DD0E539561A983F58C22A04BAA74D9A7OBB6D" TargetMode = "External"/>
	<Relationship Id="rId718" Type="http://schemas.openxmlformats.org/officeDocument/2006/relationships/hyperlink" Target="consultantplus://offline/ref=56728894F7790BDF1D21FD8867B9A3260C8265AB424D546420F2F64A9BA00068343BB6AC652403B3FD68C1D7DB0E539561A983F58C22A04BAA74D9A7OBB6D" TargetMode = "External"/>
	<Relationship Id="rId719" Type="http://schemas.openxmlformats.org/officeDocument/2006/relationships/hyperlink" Target="consultantplus://offline/ref=56728894F7790BDF1D21FD8867B9A3260C8265AB424D546420F2F64A9BA00068343BB6AC652403B3FD68C1D7DA0E539561A983F58C22A04BAA74D9A7OBB6D" TargetMode = "External"/>
	<Relationship Id="rId720" Type="http://schemas.openxmlformats.org/officeDocument/2006/relationships/hyperlink" Target="consultantplus://offline/ref=56728894F7790BDF1D21FD8867B9A3260C8265AB4248576227F4F64A9BA00068343BB6AC652403B3FD68C0DCD70E539561A983F58C22A04BAA74D9A7OBB6D" TargetMode = "External"/>
	<Relationship Id="rId721" Type="http://schemas.openxmlformats.org/officeDocument/2006/relationships/hyperlink" Target="consultantplus://offline/ref=56728894F7790BDF1D21FD8867B9A3260C8265AB424D5F6420FEF64A9BA00068343BB6AC652403B3FD68C1DCDD0E539561A983F58C22A04BAA74D9A7OBB6D" TargetMode = "External"/>
	<Relationship Id="rId722" Type="http://schemas.openxmlformats.org/officeDocument/2006/relationships/hyperlink" Target="consultantplus://offline/ref=56728894F7790BDF1D21FD8867B9A3260C8265AB424A5F6C27F6F64A9BA00068343BB6AC652403B3FD68C1D5DA0E539561A983F58C22A04BAA74D9A7OBB6D" TargetMode = "External"/>
	<Relationship Id="rId723" Type="http://schemas.openxmlformats.org/officeDocument/2006/relationships/hyperlink" Target="consultantplus://offline/ref=56728894F7790BDF1D21FD8867B9A3260C8265AB424B576523F6F64A9BA00068343BB6AC652403B3FD68C0D0DD0E539561A983F58C22A04BAA74D9A7OBB6D" TargetMode = "External"/>
	<Relationship Id="rId724" Type="http://schemas.openxmlformats.org/officeDocument/2006/relationships/hyperlink" Target="consultantplus://offline/ref=56728894F7790BDF1D21FD8867B9A3260C8265AB424B546521F6F64A9BA00068343BB6AC652403B3FD68C0D4D90E539561A983F58C22A04BAA74D9A7OBB6D" TargetMode = "External"/>
	<Relationship Id="rId725" Type="http://schemas.openxmlformats.org/officeDocument/2006/relationships/hyperlink" Target="consultantplus://offline/ref=56728894F7790BDF1D21FD8867B9A3260C8265AB424B5F652CF6F64A9BA00068343BB6AC652403B3FD68C2DDDF0E539561A983F58C22A04BAA74D9A7OBB6D" TargetMode = "External"/>
	<Relationship Id="rId726" Type="http://schemas.openxmlformats.org/officeDocument/2006/relationships/hyperlink" Target="consultantplus://offline/ref=56728894F7790BDF1D21FD8867B9A3260C8265AB4248576227F4F64A9BA00068343BB6AC652403B3FD68C0DCD60E539561A983F58C22A04BAA74D9A7OBB6D" TargetMode = "External"/>
	<Relationship Id="rId727" Type="http://schemas.openxmlformats.org/officeDocument/2006/relationships/hyperlink" Target="consultantplus://offline/ref=56728894F7790BDF1D21FD8867B9A3260C8265AB424A5F6C27F6F64A9BA00068343BB6AC652403B3FD68C1D5D80E539561A983F58C22A04BAA74D9A7OBB6D" TargetMode = "External"/>
	<Relationship Id="rId728" Type="http://schemas.openxmlformats.org/officeDocument/2006/relationships/hyperlink" Target="consultantplus://offline/ref=56728894F7790BDF1D21FD8867B9A3260C8265AB424B5F652CF6F64A9BA00068343BB6AC652403B3FD68C2DDDD0E539561A983F58C22A04BAA74D9A7OBB6D" TargetMode = "External"/>
	<Relationship Id="rId729" Type="http://schemas.openxmlformats.org/officeDocument/2006/relationships/hyperlink" Target="consultantplus://offline/ref=56728894F7790BDF1D21FD8867B9A3260C8265AB424B5F652CF6F64A9BA00068343BB6AC652403B3FD68C2DDDC0E539561A983F58C22A04BAA74D9A7OBB6D" TargetMode = "External"/>
	<Relationship Id="rId730" Type="http://schemas.openxmlformats.org/officeDocument/2006/relationships/hyperlink" Target="consultantplus://offline/ref=56728894F7790BDF1D21FD8867B9A3260C8265AB4248576227F4F64A9BA00068343BB6AC652403B3FD68C0DDDF0E539561A983F58C22A04BAA74D9A7OBB6D" TargetMode = "External"/>
	<Relationship Id="rId731" Type="http://schemas.openxmlformats.org/officeDocument/2006/relationships/hyperlink" Target="consultantplus://offline/ref=56728894F7790BDF1D21FD8867B9A3260C8265AB424A5F6C27F6F64A9BA00068343BB6AC652403B3FD68C1D6DC0E539561A983F58C22A04BAA74D9A7OBB6D" TargetMode = "External"/>
	<Relationship Id="rId732" Type="http://schemas.openxmlformats.org/officeDocument/2006/relationships/hyperlink" Target="consultantplus://offline/ref=56728894F7790BDF1D21FD8867B9A3260C8265AB424B5F652CF6F64A9BA00068343BB6AC652403B3FD68C3D5DC0E539561A983F58C22A04BAA74D9A7OBB6D" TargetMode = "External"/>
	<Relationship Id="rId733" Type="http://schemas.openxmlformats.org/officeDocument/2006/relationships/hyperlink" Target="consultantplus://offline/ref=56728894F7790BDF1D21FD8867B9A3260C8265AB4248576227F4F64A9BA00068343BB6AC652403B3FD68C0DDDA0E539561A983F58C22A04BAA74D9A7OBB6D" TargetMode = "External"/>
	<Relationship Id="rId734" Type="http://schemas.openxmlformats.org/officeDocument/2006/relationships/hyperlink" Target="consultantplus://offline/ref=56728894F7790BDF1D21FD8867B9A3260C8265AB4248576227F4F64A9BA00068343BB6AC652403B3FD68C0DDDA0E539561A983F58C22A04BAA74D9A7OBB6D" TargetMode = "External"/>
	<Relationship Id="rId735" Type="http://schemas.openxmlformats.org/officeDocument/2006/relationships/hyperlink" Target="consultantplus://offline/ref=56728894F7790BDF1D21E38571D5FD2F018B39A543475C3279A3F01DC4F0063D747BB0FC266B5AE3B93DCDD6DA1B07C03BFE8EF5O8BAD" TargetMode = "External"/>
	<Relationship Id="rId736" Type="http://schemas.openxmlformats.org/officeDocument/2006/relationships/hyperlink" Target="consultantplus://offline/ref=56728894F7790BDF1D21FD8867B9A3260C8265AB424B576523F6F64A9BA00068343BB6AC652403B3FD68C0D0DD0E539561A983F58C22A04BAA74D9A7OBB6D" TargetMode = "External"/>
	<Relationship Id="rId737" Type="http://schemas.openxmlformats.org/officeDocument/2006/relationships/hyperlink" Target="consultantplus://offline/ref=56728894F7790BDF1D21FD8867B9A3260C8265AB424B546521F6F64A9BA00068343BB6AC652403B3FD68C0D4D90E539561A983F58C22A04BAA74D9A7OBB6D" TargetMode = "External"/>
	<Relationship Id="rId738" Type="http://schemas.openxmlformats.org/officeDocument/2006/relationships/hyperlink" Target="consultantplus://offline/ref=56728894F7790BDF1D21FD8867B9A3260C8265AB4248576227F4F64A9BA00068343BB6AC652403B3FD68C0DDDA0E539561A983F58C22A04BAA74D9A7OBB6D" TargetMode = "External"/>
	<Relationship Id="rId739" Type="http://schemas.openxmlformats.org/officeDocument/2006/relationships/hyperlink" Target="consultantplus://offline/ref=56728894F7790BDF1D21FD8867B9A3260C8265AB4B4E5F6622FCAB4093F90C6A3334E9BB626D0FB2FD69C1D3D451568070F18CF2973CA451B676DBOAB6D" TargetMode = "External"/>
	<Relationship Id="rId740" Type="http://schemas.openxmlformats.org/officeDocument/2006/relationships/hyperlink" Target="consultantplus://offline/ref=56728894F7790BDF1D21FD8867B9A3260C8265AB4B49546320FCAB4093F90C6A3334E9BB626D0FB2FD68C9D1D451568070F18CF2973CA451B676DBOAB6D" TargetMode = "External"/>
	<Relationship Id="rId741" Type="http://schemas.openxmlformats.org/officeDocument/2006/relationships/hyperlink" Target="consultantplus://offline/ref=56728894F7790BDF1D21FD8867B9A3260C8265AB4A49576125FCAB4093F90C6A3334E9BB626D0FB2FD69C3D7D451568070F18CF2973CA451B676DBOAB6D" TargetMode = "External"/>
	<Relationship Id="rId742" Type="http://schemas.openxmlformats.org/officeDocument/2006/relationships/hyperlink" Target="consultantplus://offline/ref=56728894F7790BDF1D21FD8867B9A3260C8265AB424F57632DF7F64A9BA00068343BB6AC652403B3FD68C3D6DF0E539561A983F58C22A04BAA74D9A7OBB6D" TargetMode = "External"/>
	<Relationship Id="rId743" Type="http://schemas.openxmlformats.org/officeDocument/2006/relationships/hyperlink" Target="consultantplus://offline/ref=56728894F7790BDF1D21FD8867B9A3260C8265AB424F50632DF7F64A9BA00068343BB6AC652403B3FD68C2D1D90E539561A983F58C22A04BAA74D9A7OBB6D" TargetMode = "External"/>
	<Relationship Id="rId744" Type="http://schemas.openxmlformats.org/officeDocument/2006/relationships/hyperlink" Target="consultantplus://offline/ref=56728894F7790BDF1D21FD8867B9A3260C8265AB424F50632DF7F64A9BA00068343BB6AC652403B3FD68C2D1D60E539561A983F58C22A04BAA74D9A7OBB6D" TargetMode = "External"/>
	<Relationship Id="rId745" Type="http://schemas.openxmlformats.org/officeDocument/2006/relationships/hyperlink" Target="consultantplus://offline/ref=56728894F7790BDF1D21FD8867B9A3260C8265AB424F57632DF7F64A9BA00068343BB6AC652403B3FD68C3D6DD0E539561A983F58C22A04BAA74D9A7OBB6D" TargetMode = "External"/>
	<Relationship Id="rId746" Type="http://schemas.openxmlformats.org/officeDocument/2006/relationships/hyperlink" Target="consultantplus://offline/ref=56728894F7790BDF1D21FD8867B9A3260C8265AB424F57632DF7F64A9BA00068343BB6AC652403B3FD68C3D6DC0E539561A983F58C22A04BAA74D9A7OBB6D" TargetMode = "External"/>
	<Relationship Id="rId747" Type="http://schemas.openxmlformats.org/officeDocument/2006/relationships/hyperlink" Target="consultantplus://offline/ref=56728894F7790BDF1D21FD8867B9A3260C8265AB424F57632DF7F64A9BA00068343BB6AC652403B3FD68C3D6DB0E539561A983F58C22A04BAA74D9A7OBB6D" TargetMode = "External"/>
	<Relationship Id="rId748" Type="http://schemas.openxmlformats.org/officeDocument/2006/relationships/hyperlink" Target="consultantplus://offline/ref=56728894F7790BDF1D21FD8867B9A3260C8265AB424F57632DF7F64A9BA00068343BB6AC652403B3FD68C3D6D60E539561A983F58C22A04BAA74D9A7OBB6D" TargetMode = "External"/>
	<Relationship Id="rId749" Type="http://schemas.openxmlformats.org/officeDocument/2006/relationships/hyperlink" Target="consultantplus://offline/ref=56728894F7790BDF1D21FD8867B9A3260C8265AB424F57632DF7F64A9BA00068343BB6AC652403B3FD68C3D7DF0E539561A983F58C22A04BAA74D9A7OBB6D" TargetMode = "External"/>
	<Relationship Id="rId750" Type="http://schemas.openxmlformats.org/officeDocument/2006/relationships/hyperlink" Target="consultantplus://offline/ref=56728894F7790BDF1D21FD8867B9A3260C8265AB4B49546320FCAB4093F90C6A3334E9BB626D0FB2FD69C0D6D451568070F18CF2973CA451B676DBOAB6D" TargetMode = "External"/>
	<Relationship Id="rId751" Type="http://schemas.openxmlformats.org/officeDocument/2006/relationships/hyperlink" Target="consultantplus://offline/ref=56728894F7790BDF1D21FD8867B9A3260C8265AB4A49576125FCAB4093F90C6A3334E9BB626D0FB2FD69C4D5D451568070F18CF2973CA451B676DBOAB6D" TargetMode = "External"/>
	<Relationship Id="rId752" Type="http://schemas.openxmlformats.org/officeDocument/2006/relationships/hyperlink" Target="consultantplus://offline/ref=56728894F7790BDF1D21FD8867B9A3260C8265AB424F57632DF7F64A9BA00068343BB6AC652403B3FD68C3D7DA0E539561A983F58C22A04BAA74D9A7OBB6D" TargetMode = "External"/>
	<Relationship Id="rId753" Type="http://schemas.openxmlformats.org/officeDocument/2006/relationships/hyperlink" Target="consultantplus://offline/ref=56728894F7790BDF1D21FD8867B9A3260C8265AB4A49576125FCAB4093F90C6A3334E9BB626D0FB2FD69C4D6D451568070F18CF2973CA451B676DBOAB6D" TargetMode = "External"/>
	<Relationship Id="rId754" Type="http://schemas.openxmlformats.org/officeDocument/2006/relationships/hyperlink" Target="consultantplus://offline/ref=56728894F7790BDF1D21FD8867B9A3260C8265AB424F526022F4F64A9BA00068343BB6AC77245BBFFF6DDED4DB1B05C427OFBFD" TargetMode = "External"/>
	<Relationship Id="rId755" Type="http://schemas.openxmlformats.org/officeDocument/2006/relationships/hyperlink" Target="consultantplus://offline/ref=56728894F7790BDF1D21FD8867B9A3260C8265AB4A49576125FCAB4093F90C6A3334E9BB626D0FB2FD69C4D0D451568070F18CF2973CA451B676DBOAB6D" TargetMode = "External"/>
	<Relationship Id="rId756" Type="http://schemas.openxmlformats.org/officeDocument/2006/relationships/hyperlink" Target="consultantplus://offline/ref=56728894F7790BDF1D21FD8867B9A3260C8265AB424F57632DF7F64A9BA00068343BB6AC652403B3FD68C3D7D70E539561A983F58C22A04BAA74D9A7OBB6D" TargetMode = "External"/>
	<Relationship Id="rId757" Type="http://schemas.openxmlformats.org/officeDocument/2006/relationships/hyperlink" Target="consultantplus://offline/ref=56728894F7790BDF1D21FD8867B9A3260C8265AB424F526022F4F64A9BA00068343BB6AC77245BBFFF6DDED4DB1B05C427OFBFD" TargetMode = "External"/>
	<Relationship Id="rId758" Type="http://schemas.openxmlformats.org/officeDocument/2006/relationships/hyperlink" Target="consultantplus://offline/ref=56728894F7790BDF1D21FD8867B9A3260C8265AB4A49576125FCAB4093F90C6A3334E9BB626D0FB2FD69C4D2D451568070F18CF2973CA451B676DBOAB6D" TargetMode = "External"/>
	<Relationship Id="rId759" Type="http://schemas.openxmlformats.org/officeDocument/2006/relationships/hyperlink" Target="consultantplus://offline/ref=56728894F7790BDF1D21FD8867B9A3260C8265AB4B4E5F6622FCAB4093F90C6A3334E9BB626D0FB2FD69C2D4D451568070F18CF2973CA451B676DBOAB6D" TargetMode = "External"/>
	<Relationship Id="rId760" Type="http://schemas.openxmlformats.org/officeDocument/2006/relationships/hyperlink" Target="consultantplus://offline/ref=56728894F7790BDF1D21FD8867B9A3260C8265AB4B4E5F6622FCAB4093F90C6A3334E9BB626D0FB2FD69C2D5D451568070F18CF2973CA451B676DBOAB6D" TargetMode = "External"/>
	<Relationship Id="rId761" Type="http://schemas.openxmlformats.org/officeDocument/2006/relationships/hyperlink" Target="consultantplus://offline/ref=56728894F7790BDF1D21FD8867B9A3260C8265AB424F57632DF7F64A9BA00068343BB6AC652403B3FD68C3D0DF0E539561A983F58C22A04BAA74D9A7OBB6D" TargetMode = "External"/>
	<Relationship Id="rId762" Type="http://schemas.openxmlformats.org/officeDocument/2006/relationships/hyperlink" Target="consultantplus://offline/ref=56728894F7790BDF1D21FD8867B9A3260C8265AB4B49546320FCAB4093F90C6A3334E9BB626D0FB2FD69C0D7D451568070F18CF2973CA451B676DBOAB6D" TargetMode = "External"/>
	<Relationship Id="rId763" Type="http://schemas.openxmlformats.org/officeDocument/2006/relationships/hyperlink" Target="consultantplus://offline/ref=56728894F7790BDF1D21FD8867B9A3260C8265AB4A49576125FCAB4093F90C6A3334E9BB626D0FB2FD69C4D3D451568070F18CF2973CA451B676DBOAB6D" TargetMode = "External"/>
	<Relationship Id="rId764" Type="http://schemas.openxmlformats.org/officeDocument/2006/relationships/hyperlink" Target="consultantplus://offline/ref=56728894F7790BDF1D21FD8867B9A3260C8265AB424F57632DF7F64A9BA00068343BB6AC652403B3FD68C3D0DD0E539561A983F58C22A04BAA74D9A7OBB6D" TargetMode = "External"/>
	<Relationship Id="rId765" Type="http://schemas.openxmlformats.org/officeDocument/2006/relationships/hyperlink" Target="consultantplus://offline/ref=56728894F7790BDF1D21FD8867B9A3260C8265AB4B4E5F6622FCAB4093F90C6A3334E9BB626D0FB2FD69C2D6D451568070F18CF2973CA451B676DBOAB6D" TargetMode = "External"/>
	<Relationship Id="rId766" Type="http://schemas.openxmlformats.org/officeDocument/2006/relationships/hyperlink" Target="consultantplus://offline/ref=56728894F7790BDF1D21FD8867B9A3260C8265AB4B49546320FCAB4093F90C6A3334E9BB626D0FB2FD69C0D0D451568070F18CF2973CA451B676DBOAB6D" TargetMode = "External"/>
	<Relationship Id="rId767" Type="http://schemas.openxmlformats.org/officeDocument/2006/relationships/hyperlink" Target="consultantplus://offline/ref=56728894F7790BDF1D21FD8867B9A3260C8265AB4A49576125FCAB4093F90C6A3334E9BB626D0FB2FD69C4DCD451568070F18CF2973CA451B676DBOAB6D" TargetMode = "External"/>
	<Relationship Id="rId768" Type="http://schemas.openxmlformats.org/officeDocument/2006/relationships/hyperlink" Target="consultantplus://offline/ref=56728894F7790BDF1D21FD8867B9A3260C8265AB424F57632DF7F64A9BA00068343BB6AC652403B3FD68C3D0DC0E539561A983F58C22A04BAA74D9A7OBB6D" TargetMode = "External"/>
	<Relationship Id="rId769" Type="http://schemas.openxmlformats.org/officeDocument/2006/relationships/hyperlink" Target="consultantplus://offline/ref=56728894F7790BDF1D21FD8867B9A3260C8265AB424F50632DF7F64A9BA00068343BB6AC652403B3FD68C2D2DF0E539561A983F58C22A04BAA74D9A7OBB6D" TargetMode = "External"/>
	<Relationship Id="rId770" Type="http://schemas.openxmlformats.org/officeDocument/2006/relationships/hyperlink" Target="consultantplus://offline/ref=56728894F7790BDF1D21FD8867B9A3260C8265AB424F50632DF7F64A9BA00068343BB6AC652403B3FD68C2D2DC0E539561A983F58C22A04BAA74D9A7OBB6D" TargetMode = "External"/>
	<Relationship Id="rId771" Type="http://schemas.openxmlformats.org/officeDocument/2006/relationships/hyperlink" Target="consultantplus://offline/ref=56728894F7790BDF1D21FD8867B9A3260C8265AB424F57632DF7F64A9BA00068343BB6AC652403B3FD68C3D0DA0E539561A983F58C22A04BAA74D9A7OBB6D" TargetMode = "External"/>
	<Relationship Id="rId772" Type="http://schemas.openxmlformats.org/officeDocument/2006/relationships/hyperlink" Target="consultantplus://offline/ref=56728894F7790BDF1D21FD8867B9A3260C8265AB424F57632DF7F64A9BA00068343BB6AC652403B3FD68C3D0D90E539561A983F58C22A04BAA74D9A7OBB6D" TargetMode = "External"/>
	<Relationship Id="rId773" Type="http://schemas.openxmlformats.org/officeDocument/2006/relationships/hyperlink" Target="consultantplus://offline/ref=56728894F7790BDF1D21FD8867B9A3260C8265AB4A49576125FCAB4093F90C6A3334E9BB626D0FB2FD69C5D4D451568070F18CF2973CA451B676DBOAB6D" TargetMode = "External"/>
	<Relationship Id="rId774" Type="http://schemas.openxmlformats.org/officeDocument/2006/relationships/hyperlink" Target="consultantplus://offline/ref=56728894F7790BDF1D21FD8867B9A3260C8265AB4A49576125FCAB4093F90C6A3334E9BB626D0FB2FD69C5D5D451568070F18CF2973CA451B676DBOAB6D" TargetMode = "External"/>
	<Relationship Id="rId775" Type="http://schemas.openxmlformats.org/officeDocument/2006/relationships/hyperlink" Target="consultantplus://offline/ref=56728894F7790BDF1D21FD8867B9A3260C8265AB4A49576125FCAB4093F90C6A3334E9BB626D0FB2FD69C5D2D451568070F18CF2973CA451B676DBOAB6D" TargetMode = "External"/>
	<Relationship Id="rId776" Type="http://schemas.openxmlformats.org/officeDocument/2006/relationships/hyperlink" Target="consultantplus://offline/ref=56728894F7790BDF1D21FD8867B9A3260C8265AB4A49576125FCAB4093F90C6A3334E9BB626D0FB2FD69C6D5D451568070F18CF2973CA451B676DBOAB6D" TargetMode = "External"/>
	<Relationship Id="rId777" Type="http://schemas.openxmlformats.org/officeDocument/2006/relationships/hyperlink" Target="consultantplus://offline/ref=56728894F7790BDF1D21FD8867B9A3260C8265AB4A4B526C26FCAB4093F90C6A3334E9A9623503B0F876C0D0C10707C6O2B6D" TargetMode = "External"/>
	<Relationship Id="rId778" Type="http://schemas.openxmlformats.org/officeDocument/2006/relationships/hyperlink" Target="consultantplus://offline/ref=56728894F7790BDF1D21FD8867B9A3260C8265AB424F546C22F7F64A9BA00068343BB6AC77245BBFFF6DDED4DB1B05C427OFBFD" TargetMode = "External"/>
	<Relationship Id="rId779" Type="http://schemas.openxmlformats.org/officeDocument/2006/relationships/hyperlink" Target="consultantplus://offline/ref=56728894F7790BDF1D21FD8867B9A3260C8265AB424F57632DF7F64A9BA00068343BB6AC652403B3FD68C3D0D70E539561A983F58C22A04BAA74D9A7OBB6D" TargetMode = "External"/>
	<Relationship Id="rId780" Type="http://schemas.openxmlformats.org/officeDocument/2006/relationships/hyperlink" Target="consultantplus://offline/ref=56728894F7790BDF1D21FD8867B9A3260C8265AB4A49576125FCAB4093F90C6A3334E9BB626D0FB2FD69C6D2D451568070F18CF2973CA451B676DBOAB6D" TargetMode = "External"/>
	<Relationship Id="rId781" Type="http://schemas.openxmlformats.org/officeDocument/2006/relationships/hyperlink" Target="consultantplus://offline/ref=56728894F7790BDF1D21FD8867B9A3260C8265AB4A49576125FCAB4093F90C6A3334E9BB626D0FB2FD69C6DDD451568070F18CF2973CA451B676DBOAB6D" TargetMode = "External"/>
	<Relationship Id="rId782" Type="http://schemas.openxmlformats.org/officeDocument/2006/relationships/hyperlink" Target="consultantplus://offline/ref=56728894F7790BDF1D21FD8867B9A3260C8265AB424F57632DF7F64A9BA00068343BB6AC652403B3FD68C3D1DF0E539561A983F58C22A04BAA74D9A7OBB6D" TargetMode = "External"/>
	<Relationship Id="rId783" Type="http://schemas.openxmlformats.org/officeDocument/2006/relationships/hyperlink" Target="consultantplus://offline/ref=56728894F7790BDF1D21FD8867B9A3260C8265AB424F536624F6F64A9BA00068343BB6AC652403B3FD68C1DDD70E539561A983F58C22A04BAA74D9A7OBB6D" TargetMode = "External"/>
	<Relationship Id="rId784" Type="http://schemas.openxmlformats.org/officeDocument/2006/relationships/hyperlink" Target="consultantplus://offline/ref=56728894F7790BDF1D21FD8867B9A3260C8265AB424F51662CF7F64A9BA00068343BB6AC652403B3FD68C1D2DA0E539561A983F58C22A04BAA74D9A7OBB6D" TargetMode = "External"/>
	<Relationship Id="rId785" Type="http://schemas.openxmlformats.org/officeDocument/2006/relationships/hyperlink" Target="consultantplus://offline/ref=56728894F7790BDF1D21FD8867B9A3260C8265AB424F50632DF7F64A9BA00068343BB6AC652403B3FD68C2D2DB0E539561A983F58C22A04BAA74D9A7OBB6D" TargetMode = "External"/>
	<Relationship Id="rId786" Type="http://schemas.openxmlformats.org/officeDocument/2006/relationships/hyperlink" Target="consultantplus://offline/ref=56728894F7790BDF1D21FD8867B9A3260C8265AB424C5E6227FEF64A9BA00068343BB6AC652403B3FD68C1D7D60E539561A983F58C22A04BAA74D9A7OBB6D" TargetMode = "External"/>
	<Relationship Id="rId787" Type="http://schemas.openxmlformats.org/officeDocument/2006/relationships/hyperlink" Target="consultantplus://offline/ref=56728894F7790BDF1D21FD8867B9A3260C8265AB424D546420F2F64A9BA00068343BB6AC652403B3FD68C1D7D70E539561A983F58C22A04BAA74D9A7OBB6D" TargetMode = "External"/>
	<Relationship Id="rId788" Type="http://schemas.openxmlformats.org/officeDocument/2006/relationships/hyperlink" Target="consultantplus://offline/ref=56728894F7790BDF1D21FD8867B9A3260C8265AB424D5F6420FEF64A9BA00068343BB6AC652403B3FD68C1DCDC0E539561A983F58C22A04BAA74D9A7OBB6D" TargetMode = "External"/>
	<Relationship Id="rId789" Type="http://schemas.openxmlformats.org/officeDocument/2006/relationships/hyperlink" Target="consultantplus://offline/ref=56728894F7790BDF1D21FD8867B9A3260C8265AB424A5F6C27F6F64A9BA00068343BB6AC652403B3FD68C1D6DA0E539561A983F58C22A04BAA74D9A7OBB6D" TargetMode = "External"/>
	<Relationship Id="rId790" Type="http://schemas.openxmlformats.org/officeDocument/2006/relationships/hyperlink" Target="consultantplus://offline/ref=56728894F7790BDF1D21FD8867B9A3260C8265AB424B5F652CF6F64A9BA00068343BB6AC652403B3FD68C3D5DA0E539561A983F58C22A04BAA74D9A7OBB6D" TargetMode = "External"/>
	<Relationship Id="rId791" Type="http://schemas.openxmlformats.org/officeDocument/2006/relationships/hyperlink" Target="consultantplus://offline/ref=56728894F7790BDF1D21FD8867B9A3260C8265AB4248576227F4F64A9BA00068343BB6AC652403B3FD68C0DDD90E539561A983F58C22A04BAA74D9A7OBB6D" TargetMode = "External"/>
	<Relationship Id="rId792" Type="http://schemas.openxmlformats.org/officeDocument/2006/relationships/hyperlink" Target="consultantplus://offline/ref=56728894F7790BDF1D21FD8867B9A3260C8265AB424F50632DF7F64A9BA00068343BB6AC652403B3FD68C2D2D70E539561A983F58C22A04BAA74D9A7OBB6D" TargetMode = "External"/>
	<Relationship Id="rId793" Type="http://schemas.openxmlformats.org/officeDocument/2006/relationships/hyperlink" Target="consultantplus://offline/ref=56728894F7790BDF1D21FD8867B9A3260C8265AB424F57632DF7F64A9BA00068343BB6AC652403B3FD68C3D1DD0E539561A983F58C22A04BAA74D9A7OBB6D" TargetMode = "External"/>
	<Relationship Id="rId794" Type="http://schemas.openxmlformats.org/officeDocument/2006/relationships/hyperlink" Target="consultantplus://offline/ref=56728894F7790BDF1D21FD8867B9A3260C8265AB424F536624F6F64A9BA00068343BB6AC652403B3FD68C2D4DF0E539561A983F58C22A04BAA74D9A7OBB6D" TargetMode = "External"/>
	<Relationship Id="rId795" Type="http://schemas.openxmlformats.org/officeDocument/2006/relationships/hyperlink" Target="consultantplus://offline/ref=56728894F7790BDF1D21FD8867B9A3260C8265AB424F57632DF7F64A9BA00068343BB6AC652403B3FD68C3D1DC0E539561A983F58C22A04BAA74D9A7OBB6D" TargetMode = "External"/>
	<Relationship Id="rId796" Type="http://schemas.openxmlformats.org/officeDocument/2006/relationships/hyperlink" Target="consultantplus://offline/ref=56728894F7790BDF1D21FD8867B9A3260C8265AB424F536624F6F64A9BA00068343BB6AC652403B3FD68C2D4DE0E539561A983F58C22A04BAA74D9A7OBB6D" TargetMode = "External"/>
	<Relationship Id="rId797" Type="http://schemas.openxmlformats.org/officeDocument/2006/relationships/hyperlink" Target="consultantplus://offline/ref=56728894F7790BDF1D21FD8867B9A3260C8265AB424F57632DF7F64A9BA00068343BB6AC652403B3FD68C3D1DB0E539561A983F58C22A04BAA74D9A7OBB6D" TargetMode = "External"/>
	<Relationship Id="rId798" Type="http://schemas.openxmlformats.org/officeDocument/2006/relationships/hyperlink" Target="consultantplus://offline/ref=56728894F7790BDF1D21FD8867B9A3260C8265AB424F536624F6F64A9BA00068343BB6AC652403B3FD68C2D4DD0E539561A983F58C22A04BAA74D9A7OBB6D" TargetMode = "External"/>
	<Relationship Id="rId799" Type="http://schemas.openxmlformats.org/officeDocument/2006/relationships/hyperlink" Target="consultantplus://offline/ref=56728894F7790BDF1D21FD8867B9A3260C8265AB424A5F6C27F6F64A9BA00068343BB6AC652403B3FD68C1D6D90E539561A983F58C22A04BAA74D9A7OBB6D" TargetMode = "External"/>
	<Relationship Id="rId800" Type="http://schemas.openxmlformats.org/officeDocument/2006/relationships/hyperlink" Target="consultantplus://offline/ref=56728894F7790BDF1D21FD8867B9A3260C8265AB424B5F652CF6F64A9BA00068343BB6AC652403B3FD68C3D5D90E539561A983F58C22A04BAA74D9A7OBB6D" TargetMode = "External"/>
	<Relationship Id="rId801" Type="http://schemas.openxmlformats.org/officeDocument/2006/relationships/hyperlink" Target="consultantplus://offline/ref=56728894F7790BDF1D21FD8867B9A3260C8265AB424F50632DF7F64A9BA00068343BB6AC652403B3FD68C2D2D60E539561A983F58C22A04BAA74D9A7OBB6D" TargetMode = "External"/>
	<Relationship Id="rId802" Type="http://schemas.openxmlformats.org/officeDocument/2006/relationships/hyperlink" Target="consultantplus://offline/ref=56728894F7790BDF1D21FD8867B9A3260C8265AB424C5E6227FEF64A9BA00068343BB6AC652403B3FD68C1D0DE0E539561A983F58C22A04BAA74D9A7OBB6D" TargetMode = "External"/>
	<Relationship Id="rId803" Type="http://schemas.openxmlformats.org/officeDocument/2006/relationships/hyperlink" Target="consultantplus://offline/ref=56728894F7790BDF1D21FD8867B9A3260C8265AB424B5F652CF6F64A9BA00068343BB6AC652403B3FD68C3D5D80E539561A983F58C22A04BAA74D9A7OBB6D" TargetMode = "External"/>
	<Relationship Id="rId804" Type="http://schemas.openxmlformats.org/officeDocument/2006/relationships/hyperlink" Target="consultantplus://offline/ref=56728894F7790BDF1D21FD8867B9A3260C8265AB4248576227F4F64A9BA00068343BB6AC652403B3FD68C0DDD80E539561A983F58C22A04BAA74D9A7OBB6D" TargetMode = "External"/>
	<Relationship Id="rId805" Type="http://schemas.openxmlformats.org/officeDocument/2006/relationships/hyperlink" Target="consultantplus://offline/ref=56728894F7790BDF1D21FD8867B9A3260C8265AB424C5E6227FEF64A9BA00068343BB6AC652403B3FD68C1D0D80E539561A983F58C22A04BAA74D9A7OBB6D" TargetMode = "External"/>
	<Relationship Id="rId806" Type="http://schemas.openxmlformats.org/officeDocument/2006/relationships/hyperlink" Target="consultantplus://offline/ref=56728894F7790BDF1D21FD8867B9A3260C8265AB424C5E6227FEF64A9BA00068343BB6AC652403B3FD68C1D1DD0E539561A983F58C22A04BAA74D9A7OBB6D" TargetMode = "External"/>
	<Relationship Id="rId807" Type="http://schemas.openxmlformats.org/officeDocument/2006/relationships/hyperlink" Target="consultantplus://offline/ref=56728894F7790BDF1D21FD8867B9A3260C8265AB4248576227F4F64A9BA00068343BB6AC652403B3FD68C1D4DD0E539561A983F58C22A04BAA74D9A7OBB6D" TargetMode = "External"/>
	<Relationship Id="rId808" Type="http://schemas.openxmlformats.org/officeDocument/2006/relationships/hyperlink" Target="consultantplus://offline/ref=56728894F7790BDF1D21FD8867B9A3260C8265AB4248576227F4F64A9BA00068343BB6AC652403B3FD68C1D4DD0E539561A983F58C22A04BAA74D9A7OBB6D" TargetMode = "External"/>
	<Relationship Id="rId809" Type="http://schemas.openxmlformats.org/officeDocument/2006/relationships/hyperlink" Target="consultantplus://offline/ref=56728894F7790BDF1D21FD8867B9A3260C8265AB424F50632DF7F64A9BA00068343BB6AC652403B3FD68C2D3D80E539561A983F58C22A04BAA74D9A7OBB6D" TargetMode = "External"/>
	<Relationship Id="rId810" Type="http://schemas.openxmlformats.org/officeDocument/2006/relationships/hyperlink" Target="consultantplus://offline/ref=56728894F7790BDF1D21FD8867B9A3260C8265AB424F50632DF7F64A9BA00068343BB6AC652403B3FD68C2D3D70E539561A983F58C22A04BAA74D9A7OBB6D" TargetMode = "External"/>
	<Relationship Id="rId811" Type="http://schemas.openxmlformats.org/officeDocument/2006/relationships/hyperlink" Target="consultantplus://offline/ref=56728894F7790BDF1D21FD8867B9A3260C8265AB424F50632DF7F64A9BA00068343BB6AC652403B3FD68C2D3D60E539561A983F58C22A04BAA74D9A7OBB6D" TargetMode = "External"/>
	<Relationship Id="rId812" Type="http://schemas.openxmlformats.org/officeDocument/2006/relationships/hyperlink" Target="consultantplus://offline/ref=56728894F7790BDF1D21FD8867B9A3260C8265AB424F50632DF7F64A9BA00068343BB6AC652403B3FD68C2DCDF0E539561A983F58C22A04BAA74D9A7OBB6D" TargetMode = "External"/>
	<Relationship Id="rId813" Type="http://schemas.openxmlformats.org/officeDocument/2006/relationships/hyperlink" Target="consultantplus://offline/ref=56728894F7790BDF1D21FD8867B9A3260C8265AB424B5F6422F5F64A9BA00068343BB6AC77245BBFFF6DDED4DB1B05C427OFBFD" TargetMode = "External"/>
	<Relationship Id="rId814" Type="http://schemas.openxmlformats.org/officeDocument/2006/relationships/hyperlink" Target="consultantplus://offline/ref=56728894F7790BDF1D21FD8867B9A3260C8265AB424B5F6422F5F64A9BA00068343BB6AC77245BBFFF6DDED4DB1B05C427OFBFD" TargetMode = "External"/>
	<Relationship Id="rId815" Type="http://schemas.openxmlformats.org/officeDocument/2006/relationships/hyperlink" Target="consultantplus://offline/ref=56728894F7790BDF1D21FD8867B9A3260C8265AB4B4A556124FCAB4093F90C6A3334E9A9623503B0F876C0D0C10707C6O2B6D" TargetMode = "External"/>
	<Relationship Id="rId816" Type="http://schemas.openxmlformats.org/officeDocument/2006/relationships/hyperlink" Target="consultantplus://offline/ref=56728894F7790BDF1D21FD8867B9A3260C8265AB4A4E516426FCAB4093F90C6A3334E9A9623503B0F876C0D0C10707C6O2B6D" TargetMode = "External"/>
	<Relationship Id="rId817" Type="http://schemas.openxmlformats.org/officeDocument/2006/relationships/hyperlink" Target="consultantplus://offline/ref=56728894F7790BDF1D21FD8867B9A3260C8265AB424D52672CF1F64A9BA00068343BB6AC77245BBFFF6DDED4DB1B05C427OFBFD" TargetMode = "External"/>
	<Relationship Id="rId818" Type="http://schemas.openxmlformats.org/officeDocument/2006/relationships/hyperlink" Target="consultantplus://offline/ref=56728894F7790BDF1D21FD8867B9A3260C8265AB4A4B526C26FCAB4093F90C6A3334E9A9623503B0F876C0D0C10707C6O2B6D" TargetMode = "External"/>
	<Relationship Id="rId819" Type="http://schemas.openxmlformats.org/officeDocument/2006/relationships/hyperlink" Target="consultantplus://offline/ref=56728894F7790BDF1D21FD8867B9A3260C8265AB424F546C22F7F64A9BA00068343BB6AC77245BBFFF6DDED4DB1B05C427OFBFD" TargetMode = "External"/>
	<Relationship Id="rId820" Type="http://schemas.openxmlformats.org/officeDocument/2006/relationships/hyperlink" Target="consultantplus://offline/ref=56728894F7790BDF1D21FD8867B9A3260C8265AB4248576227F4F64A9BA00068343BB6AC652403B3FD68C1D4DD0E539561A983F58C22A04BAA74D9A7OBB6D" TargetMode = "External"/>
	<Relationship Id="rId821" Type="http://schemas.openxmlformats.org/officeDocument/2006/relationships/hyperlink" Target="consultantplus://offline/ref=56728894F7790BDF1D21FD8867B9A3260C8265AB424D546420F2F64A9BA00068343BB6AC652403B3FD68C1D0DC0E539561A983F58C22A04BAA74D9A7OBB6D" TargetMode = "External"/>
	<Relationship Id="rId822" Type="http://schemas.openxmlformats.org/officeDocument/2006/relationships/hyperlink" Target="consultantplus://offline/ref=56728894F7790BDF1D21FD8867B9A3260C8265AB424A5F6C27F6F64A9BA00068343BB6AC652403B3FD68C1D7DD0E539561A983F58C22A04BAA74D9A7OBB6D" TargetMode = "External"/>
	<Relationship Id="rId823" Type="http://schemas.openxmlformats.org/officeDocument/2006/relationships/hyperlink" Target="consultantplus://offline/ref=56728894F7790BDF1D21FD8867B9A3260C8265AB424B5F652CF6F64A9BA00068343BB6AC652403B3FD68C3D7DE0E539561A983F58C22A04BAA74D9A7OBB6D" TargetMode = "External"/>
	<Relationship Id="rId824" Type="http://schemas.openxmlformats.org/officeDocument/2006/relationships/hyperlink" Target="consultantplus://offline/ref=56728894F7790BDF1D21FD8867B9A3260C8265AB424B5F652CF6F64A9BA00068343BB6AC652403B3FD68C3D7DD0E539561A983F58C22A04BAA74D9A7OBB6D" TargetMode = "External"/>
	<Relationship Id="rId825" Type="http://schemas.openxmlformats.org/officeDocument/2006/relationships/hyperlink" Target="consultantplus://offline/ref=56728894F7790BDF1D21FD8867B9A3260C8265AB424B5F652CF6F64A9BA00068343BB6AC652403B3FD68C3D7DC0E539561A983F58C22A04BAA74D9A7OBB6D" TargetMode = "External"/>
	<Relationship Id="rId826" Type="http://schemas.openxmlformats.org/officeDocument/2006/relationships/hyperlink" Target="consultantplus://offline/ref=56728894F7790BDF1D21FD8867B9A3260C8265AB424B5F652CF6F64A9BA00068343BB6AC652403B3FD68C3D7DB0E539561A983F58C22A04BAA74D9A7OBB6D" TargetMode = "External"/>
	<Relationship Id="rId827" Type="http://schemas.openxmlformats.org/officeDocument/2006/relationships/hyperlink" Target="consultantplus://offline/ref=56728894F7790BDF1D21FD8867B9A3260C8265AB424B5F652CF6F64A9BA00068343BB6AC652403B3FD68C3D7DA0E539561A983F58C22A04BAA74D9A7OBB6D" TargetMode = "External"/>
	<Relationship Id="rId828" Type="http://schemas.openxmlformats.org/officeDocument/2006/relationships/hyperlink" Target="consultantplus://offline/ref=56728894F7790BDF1D21FD8867B9A3260C8265AB424B5F652CF6F64A9BA00068343BB6AC652403B3FD68C3D7D90E539561A983F58C22A04BAA74D9A7OBB6D" TargetMode = "External"/>
	<Relationship Id="rId829" Type="http://schemas.openxmlformats.org/officeDocument/2006/relationships/hyperlink" Target="consultantplus://offline/ref=56728894F7790BDF1D21FD8867B9A3260C8265AB424B5F652CF6F64A9BA00068343BB6AC652403B3FD68C3D7D80E539561A983F58C22A04BAA74D9A7OBB6D" TargetMode = "External"/>
	<Relationship Id="rId830" Type="http://schemas.openxmlformats.org/officeDocument/2006/relationships/hyperlink" Target="consultantplus://offline/ref=56728894F7790BDF1D21FD8867B9A3260C8265AB4248576227F4F64A9BA00068343BB6AC652403B3FD68C1D4DC0E539561A983F58C22A04BAA74D9A7OBB6D" TargetMode = "External"/>
	<Relationship Id="rId831" Type="http://schemas.openxmlformats.org/officeDocument/2006/relationships/hyperlink" Target="consultantplus://offline/ref=56728894F7790BDF1D21FD8867B9A3260C8265AB4248576227F4F64A9BA00068343BB6AC652403B3FD68C1D4DC0E539561A983F58C22A04BAA74D9A7OBB6D" TargetMode = "External"/>
	<Relationship Id="rId832" Type="http://schemas.openxmlformats.org/officeDocument/2006/relationships/hyperlink" Target="consultantplus://offline/ref=56728894F7790BDF1D21FD8867B9A3260C8265AB4248576227F4F64A9BA00068343BB6AC652403B3FD68C1D6DD0E539561A983F58C22A04BAA74D9A7OBB6D" TargetMode = "External"/>
	<Relationship Id="rId833" Type="http://schemas.openxmlformats.org/officeDocument/2006/relationships/hyperlink" Target="consultantplus://offline/ref=56728894F7790BDF1D21FD8867B9A3260C8265AB424D546420F2F64A9BA00068343BB6AC652403B3FD68C1D0D90E539561A983F58C22A04BAA74D9A7OBB6D" TargetMode = "External"/>
	<Relationship Id="rId834" Type="http://schemas.openxmlformats.org/officeDocument/2006/relationships/hyperlink" Target="consultantplus://offline/ref=56728894F7790BDF1D21FD8867B9A3260C8265AB424D5F6420FEF64A9BA00068343BB6AC652403B3FD68C1DDDA0E539561A983F58C22A04BAA74D9A7OBB6D" TargetMode = "External"/>
	<Relationship Id="rId835" Type="http://schemas.openxmlformats.org/officeDocument/2006/relationships/hyperlink" Target="consultantplus://offline/ref=56728894F7790BDF1D21FD8867B9A3260C8265AB424A5F6C27F6F64A9BA00068343BB6AC652403B3FD68C1D7DB0E539561A983F58C22A04BAA74D9A7OBB6D" TargetMode = "External"/>
	<Relationship Id="rId836" Type="http://schemas.openxmlformats.org/officeDocument/2006/relationships/hyperlink" Target="consultantplus://offline/ref=56728894F7790BDF1D21FD8867B9A3260C8265AB424B576523F6F64A9BA00068343BB6AC652403B3FD68C0D0DC0E539561A983F58C22A04BAA74D9A7OBB6D" TargetMode = "External"/>
	<Relationship Id="rId837" Type="http://schemas.openxmlformats.org/officeDocument/2006/relationships/hyperlink" Target="consultantplus://offline/ref=56728894F7790BDF1D21FD8867B9A3260C8265AB424B5F652CF6F64A9BA00068343BB6AC652403B3FD68C3D7D70E539561A983F58C22A04BAA74D9A7OBB6D" TargetMode = "External"/>
	<Relationship Id="rId838" Type="http://schemas.openxmlformats.org/officeDocument/2006/relationships/hyperlink" Target="consultantplus://offline/ref=56728894F7790BDF1D21FD8867B9A3260C8265AB424B576523F6F64A9BA00068343BB6AC652403B3FD68C0D0DB0E539561A983F58C22A04BAA74D9A7OBB6D" TargetMode = "External"/>
	<Relationship Id="rId839" Type="http://schemas.openxmlformats.org/officeDocument/2006/relationships/hyperlink" Target="consultantplus://offline/ref=56728894F7790BDF1D21FD8867B9A3260C8265AB424D5F6420FEF64A9BA00068343BB6AC652403B3FD68C1DDD90E539561A983F58C22A04BAA74D9A7OBB6D" TargetMode = "External"/>
	<Relationship Id="rId840" Type="http://schemas.openxmlformats.org/officeDocument/2006/relationships/hyperlink" Target="consultantplus://offline/ref=56728894F7790BDF1D21FD8867B9A3260C8265AB424B576523F6F64A9BA00068343BB6AC652403B3FD68C0D0D90E539561A983F58C22A04BAA74D9A7OBB6D" TargetMode = "External"/>
	<Relationship Id="rId841" Type="http://schemas.openxmlformats.org/officeDocument/2006/relationships/hyperlink" Target="consultantplus://offline/ref=56728894F7790BDF1D21FD8867B9A3260C8265AB424B576523F6F64A9BA00068343BB6AC652403B3FD68C0D1DE0E539561A983F58C22A04BAA74D9A7OBB6D" TargetMode = "External"/>
	<Relationship Id="rId842" Type="http://schemas.openxmlformats.org/officeDocument/2006/relationships/hyperlink" Target="consultantplus://offline/ref=56728894F7790BDF1D21FD8867B9A3260C8265AB424B576523F6F64A9BA00068343BB6AC652403B3FD68C0D1DD0E539561A983F58C22A04BAA74D9A7OBB6D" TargetMode = "External"/>
	<Relationship Id="rId843" Type="http://schemas.openxmlformats.org/officeDocument/2006/relationships/hyperlink" Target="consultantplus://offline/ref=56728894F7790BDF1D21FD8867B9A3260C8265AB424B576523F6F64A9BA00068343BB6AC652403B3FD68C0D1DB0E539561A983F58C22A04BAA74D9A7OBB6D" TargetMode = "External"/>
	<Relationship Id="rId844" Type="http://schemas.openxmlformats.org/officeDocument/2006/relationships/hyperlink" Target="consultantplus://offline/ref=56728894F7790BDF1D21FD8867B9A3260C8265AB4248576622F4F64A9BA00068343BB6AC652403B3FD68C2D4DD0E539561A983F58C22A04BAA74D9A7OBB6D" TargetMode = "External"/>
	<Relationship Id="rId845" Type="http://schemas.openxmlformats.org/officeDocument/2006/relationships/hyperlink" Target="consultantplus://offline/ref=56728894F7790BDF1D21E38571D5FD2F01883EA54A4F5C3279A3F01DC4F0063D667BE8F5246510B2F976C2D4DDO0B6D" TargetMode = "External"/>
	<Relationship Id="rId846" Type="http://schemas.openxmlformats.org/officeDocument/2006/relationships/hyperlink" Target="consultantplus://offline/ref=56728894F7790BDF1D21FD8867B9A3260C8265AB424B5E6D2CF6F64A9BA00068343BB6AC652403B3FD68C0D5D90E539561A983F58C22A04BAA74D9A7OBB6D" TargetMode = "External"/>
	<Relationship Id="rId847" Type="http://schemas.openxmlformats.org/officeDocument/2006/relationships/hyperlink" Target="consultantplus://offline/ref=56728894F7790BDF1D21FD8867B9A3260C8265AB424B5E6D2CF6F64A9BA00068343BB6AC77245BBFFF6DDED4DB1B05C427OFBFD" TargetMode = "External"/>
	<Relationship Id="rId848" Type="http://schemas.openxmlformats.org/officeDocument/2006/relationships/hyperlink" Target="consultantplus://offline/ref=56728894F7790BDF1D21FD8867B9A3260C8265AB424B5F652CF6F64A9BA00068343BB6AC652403B3FD68C3D7D60E539561A983F58C22A04BAA74D9A7OBB6D" TargetMode = "External"/>
	<Relationship Id="rId849" Type="http://schemas.openxmlformats.org/officeDocument/2006/relationships/hyperlink" Target="consultantplus://offline/ref=56728894F7790BDF1D21E38571D5FD2F018A3DA2424F5C3279A3F01DC4F0063D667BE8F5246510B2F976C2D4DDO0B6D" TargetMode = "External"/>
	<Relationship Id="rId850" Type="http://schemas.openxmlformats.org/officeDocument/2006/relationships/hyperlink" Target="consultantplus://offline/ref=56728894F7790BDF1D21FD8867B9A3260C8265AB424A5F6C27F6F64A9BA00068343BB6AC652403B3FD68C1D7DA0E539561A983F58C22A04BAA74D9A7OBB6D" TargetMode = "External"/>
	<Relationship Id="rId851" Type="http://schemas.openxmlformats.org/officeDocument/2006/relationships/hyperlink" Target="consultantplus://offline/ref=56728894F7790BDF1D21FD8867B9A3260C8265AB424A5F6C27F6F64A9BA00068343BB6AC652403B3FD68C1D7D80E539561A983F58C22A04BAA74D9A7OBB6D" TargetMode = "External"/>
	<Relationship Id="rId852" Type="http://schemas.openxmlformats.org/officeDocument/2006/relationships/hyperlink" Target="consultantplus://offline/ref=56728894F7790BDF1D21FD8867B9A3260C8265AB424A516423F6F64A9BA00068343BB6AC652403B3FD68C1D2DF0E539561A983F58C22A04BAA74D9A7OBB6D" TargetMode = "External"/>
	<Relationship Id="rId853" Type="http://schemas.openxmlformats.org/officeDocument/2006/relationships/hyperlink" Target="consultantplus://offline/ref=56728894F7790BDF1D21FD8867B9A3260C8265AB424A5F6C27F6F64A9BA00068343BB6AC652403B3FD68C1D7D60E539561A983F58C22A04BAA74D9A7OBB6D" TargetMode = "External"/>
	<Relationship Id="rId854" Type="http://schemas.openxmlformats.org/officeDocument/2006/relationships/hyperlink" Target="consultantplus://offline/ref=56728894F7790BDF1D21FD8867B9A3260C8265AB424A5F6C27F6F64A9BA00068343BB6AC652403B3FD68C1D0DE0E539561A983F58C22A04BAA74D9A7OBB6D" TargetMode = "External"/>
	<Relationship Id="rId855" Type="http://schemas.openxmlformats.org/officeDocument/2006/relationships/hyperlink" Target="consultantplus://offline/ref=56728894F7790BDF1D21E38571D5FD2F018D38A145475C3279A3F01DC4F0063D747BB0FC206805E6AC2C95D9DD0019C421E28CF78BO3BFD" TargetMode = "External"/>
	<Relationship Id="rId856" Type="http://schemas.openxmlformats.org/officeDocument/2006/relationships/hyperlink" Target="consultantplus://offline/ref=56728894F7790BDF1D21E38571D5FD2F018D38A145475C3279A3F01DC4F0063D747BB0FC216005E6AC2C95D9DD0019C421E28CF78BO3BFD" TargetMode = "External"/>
	<Relationship Id="rId857" Type="http://schemas.openxmlformats.org/officeDocument/2006/relationships/hyperlink" Target="consultantplus://offline/ref=56728894F7790BDF1D21FD8867B9A3260C8265AB424A516423F6F64A9BA00068343BB6AC77245BBFFF6DDED4DB1B05C427OFBFD" TargetMode = "External"/>
	<Relationship Id="rId858" Type="http://schemas.openxmlformats.org/officeDocument/2006/relationships/hyperlink" Target="consultantplus://offline/ref=56728894F7790BDF1D21FD8867B9A3260C8265AB424F576624F0F64A9BA00068343BB6AC77245BBFFF6DDED4DB1B05C427OFBFD" TargetMode = "External"/>
	<Relationship Id="rId859" Type="http://schemas.openxmlformats.org/officeDocument/2006/relationships/hyperlink" Target="consultantplus://offline/ref=56728894F7790BDF1D21FD8867B9A3260C8265AB424B5E6D2CF6F64A9BA00068343BB6AC77245BBFFF6DDED4DB1B05C427OFBFD" TargetMode = "External"/>
	<Relationship Id="rId860" Type="http://schemas.openxmlformats.org/officeDocument/2006/relationships/hyperlink" Target="consultantplus://offline/ref=56728894F7790BDF1D21FD8867B9A3260C8265AB424B5F652CF6F64A9BA00068343BB6AC652403B3FD68C3D0DE0E539561A983F58C22A04BAA74D9A7OBB6D" TargetMode = "External"/>
	<Relationship Id="rId861" Type="http://schemas.openxmlformats.org/officeDocument/2006/relationships/hyperlink" Target="consultantplus://offline/ref=56728894F7790BDF1D21FD8867B9A3260C8265AB424F576624F0F64A9BA00068343BB6AC652403B3FD68C1D5D70E539561A983F58C22A04BAA74D9A7OBB6D" TargetMode = "External"/>
	<Relationship Id="rId862" Type="http://schemas.openxmlformats.org/officeDocument/2006/relationships/hyperlink" Target="consultantplus://offline/ref=56728894F7790BDF1D21FD8867B9A3260C8265AB424F576624F0F64A9BA00068343BB6AC652403B3FD68C1D3DF0E539561A983F58C22A04BAA74D9A7OBB6D" TargetMode = "External"/>
	<Relationship Id="rId863" Type="http://schemas.openxmlformats.org/officeDocument/2006/relationships/hyperlink" Target="consultantplus://offline/ref=56728894F7790BDF1D21FD8867B9A3260C8265AB424F576624F0F64A9BA00068343BB6AC77245BBFFF6DDED4DB1B05C427OFBFD" TargetMode = "External"/>
	<Relationship Id="rId864" Type="http://schemas.openxmlformats.org/officeDocument/2006/relationships/hyperlink" Target="consultantplus://offline/ref=56728894F7790BDF1D21FD8867B9A3260C8265AB424B5E6D2CF6F64A9BA00068343BB6AC77245BBFFF6DDED4DB1B05C427OFBFD" TargetMode = "External"/>
	<Relationship Id="rId865" Type="http://schemas.openxmlformats.org/officeDocument/2006/relationships/hyperlink" Target="consultantplus://offline/ref=56728894F7790BDF1D21FD8867B9A3260C8265AB424B5F652CF6F64A9BA00068343BB6AC652403B3FD68C3D0DC0E539561A983F58C22A04BAA74D9A7OBB6D" TargetMode = "External"/>
	<Relationship Id="rId866" Type="http://schemas.openxmlformats.org/officeDocument/2006/relationships/hyperlink" Target="consultantplus://offline/ref=56728894F7790BDF1D21FD8867B9A3260C8265AB424B556721F4F64A9BA00068343BB6AC652403B3FD68C4D1DF0E539561A983F58C22A04BAA74D9A7OBB6D" TargetMode = "External"/>
	<Relationship Id="rId867" Type="http://schemas.openxmlformats.org/officeDocument/2006/relationships/hyperlink" Target="consultantplus://offline/ref=56728894F7790BDF1D21FD8867B9A3260C8265AB424B576523F6F64A9BA00068343BB6AC652403B3FD68C0D1DA0E539561A983F58C22A04BAA74D9A7OBB6D" TargetMode = "External"/>
	<Relationship Id="rId868" Type="http://schemas.openxmlformats.org/officeDocument/2006/relationships/hyperlink" Target="consultantplus://offline/ref=56728894F7790BDF1D21E38571D5FD2F078939A4434A5C3279A3F01DC4F0063D747BB0F926600EB3F96394859B500AC620E28EF3973EA04DOBB7D" TargetMode = "External"/>
	<Relationship Id="rId869" Type="http://schemas.openxmlformats.org/officeDocument/2006/relationships/hyperlink" Target="consultantplus://offline/ref=49D24CB8E806E3C2B959AC12F215DE15CDB3E4CCAAC867E6C915BA81BA90F21A8BA3A5CAFF92188451E3AEAECE50A6D52A5D8CA8A6C8317EA78854PBBED" TargetMode = "External"/>
	<Relationship Id="rId870" Type="http://schemas.openxmlformats.org/officeDocument/2006/relationships/hyperlink" Target="consultantplus://offline/ref=49D24CB8E806E3C2B959AC12F215DE15CDB3E4CCA2CA6CE2CD17E78BB2C9FE188CACFADDF8DB148551E3AEA0CD0FA3C03B0583AFBDD63564BB8A56BFP0B2D" TargetMode = "External"/>
	<Relationship Id="rId871" Type="http://schemas.openxmlformats.org/officeDocument/2006/relationships/hyperlink" Target="consultantplus://offline/ref=49D24CB8E806E3C2B959B21FE479801CC0BAB8C2A3C06FB4944AE1DCED99F84DCCECFC8DBB944DD515B6A2ABC01AF79561528EAFPBBBD" TargetMode = "External"/>
	<Relationship Id="rId872" Type="http://schemas.openxmlformats.org/officeDocument/2006/relationships/hyperlink" Target="consultantplus://offline/ref=49D24CB8E806E3C2B959AC12F215DE15CDB3E4CCA2CC64E3CE1FE78BB2C9FE188CACFADDF8DB148551E3AFACC30FA3C03B0583AFBDD63564BB8A56BFP0B2D" TargetMode = "External"/>
	<Relationship Id="rId873" Type="http://schemas.openxmlformats.org/officeDocument/2006/relationships/hyperlink" Target="consultantplus://offline/ref=49D24CB8E806E3C2B959B21FE479801CC6B8B8C3A3CD6FB4944AE1DCED99F84DCCECFC88BB9F198555E8FBF88151FA937A4E8EA9A6CA3562PAB6D" TargetMode = "External"/>
	<Relationship Id="rId874" Type="http://schemas.openxmlformats.org/officeDocument/2006/relationships/hyperlink" Target="consultantplus://offline/ref=49D24CB8E806E3C2B959AC12F215DE15CDB3E4CCA2CC64E3CE1FE78BB2C9FE188CACFADDF8DB148551E3AFACC20FA3C03B0583AFBDD63564BB8A56BFP0B2D" TargetMode = "External"/>
	<Relationship Id="rId875" Type="http://schemas.openxmlformats.org/officeDocument/2006/relationships/hyperlink" Target="consultantplus://offline/ref=49D24CB8E806E3C2B959B21FE479801CC0BCB8C9A4CE6FB4944AE1DCED99F84DCCECFC88BB9F198558E8FBF88151FA937A4E8EA9A6CA3562PAB6D" TargetMode = "External"/>
	<Relationship Id="rId876" Type="http://schemas.openxmlformats.org/officeDocument/2006/relationships/hyperlink" Target="consultantplus://offline/ref=49D24CB8E806E3C2B959B21FE479801CC0BCB9C3AAC86FB4944AE1DCED99F84DCCECFC88BE9812D000A7FAA4C701E9917B4E8CADBAPCBBD" TargetMode = "External"/>
	<Relationship Id="rId877" Type="http://schemas.openxmlformats.org/officeDocument/2006/relationships/hyperlink" Target="consultantplus://offline/ref=49D24CB8E806E3C2B959AC12F215DE15CDB3E4CCA2CA67EBCA19E78BB2C9FE188CACFADDF8DB148551E3AFABC60FA3C03B0583AFBDD63564BB8A56BFP0B2D" TargetMode = "External"/>
	<Relationship Id="rId878" Type="http://schemas.openxmlformats.org/officeDocument/2006/relationships/hyperlink" Target="consultantplus://offline/ref=49D24CB8E806E3C2B959AC12F215DE15CDB3E4CCA2CC65E2CB1DE78BB2C9FE188CACFADDEADB4C8953E6B1A9C11AF5917DP5B3D" TargetMode = "External"/>
	<Relationship Id="rId879" Type="http://schemas.openxmlformats.org/officeDocument/2006/relationships/hyperlink" Target="consultantplus://offline/ref=49D24CB8E806E3C2B959B21FE479801CC0B9BFC2AAC86FB4944AE1DCED99F84DDEECA484B99A078455FDADA9C7P0B7D" TargetMode = "External"/>
	<Relationship Id="rId880" Type="http://schemas.openxmlformats.org/officeDocument/2006/relationships/hyperlink" Target="consultantplus://offline/ref=49D24CB8E806E3C2B959AC12F215DE15CDB3E4CCA2CD6CEACA1FE78BB2C9FE188CACFADDF8DB148551E3AEADC70FA3C03B0583AFBDD63564BB8A56BFP0B2D" TargetMode = "External"/>
	<Relationship Id="rId881" Type="http://schemas.openxmlformats.org/officeDocument/2006/relationships/hyperlink" Target="consultantplus://offline/ref=49D24CB8E806E3C2B959AC12F215DE15CDB3E4CCA2CC64E3CE1FE78BB2C9FE188CACFADDF8DB148551E3AFAFC10FA3C03B0583AFBDD63564BB8A56BFP0B2D" TargetMode = "External"/>
	<Relationship Id="rId882" Type="http://schemas.openxmlformats.org/officeDocument/2006/relationships/hyperlink" Target="consultantplus://offline/ref=49D24CB8E806E3C2B959AC12F215DE15CDB3E4CCA2CC6CE3C11FE78BB2C9FE188CACFADDF8DB148551E3ACADC00FA3C03B0583AFBDD63564BB8A56BFP0B2D" TargetMode = "External"/>
	<Relationship Id="rId883" Type="http://schemas.openxmlformats.org/officeDocument/2006/relationships/hyperlink" Target="consultantplus://offline/ref=49D24CB8E806E3C2B959AC12F215DE15CDB3E4CCA2CF64E4CA1DE78BB2C9FE188CACFADDF8DB148551E3AEAFC70FA3C03B0583AFBDD63564BB8A56BFP0B2D" TargetMode = "External"/>
	<Relationship Id="rId884" Type="http://schemas.openxmlformats.org/officeDocument/2006/relationships/hyperlink" Target="consultantplus://offline/ref=49D24CB8E806E3C2B959AC12F215DE15CDB3E4CCA2CF65E7CE1BE78BB2C9FE188CACFADDF8DB148551E3AFA9C20FA3C03B0583AFBDD63564BB8A56BFP0B2D" TargetMode = "External"/>
	<Relationship Id="rId885" Type="http://schemas.openxmlformats.org/officeDocument/2006/relationships/hyperlink" Target="consultantplus://offline/ref=49D24CB8E806E3C2B959B21FE479801CC0BBBEC0AAC16FB4944AE1DCED99F84DDEECA484B99A078455FDADA9C7P0B7D" TargetMode = "External"/>
	<Relationship Id="rId886" Type="http://schemas.openxmlformats.org/officeDocument/2006/relationships/hyperlink" Target="consultantplus://offline/ref=49D24CB8E806E3C2B959AC12F215DE15CDB3E4CCA2CF65E7CE1BE78BB2C9FE188CACFADDF8DB148551E3AFA9CD0FA3C03B0583AFBDD63564BB8A56BFP0B2D" TargetMode = "External"/>
	<Relationship Id="rId887" Type="http://schemas.openxmlformats.org/officeDocument/2006/relationships/hyperlink" Target="consultantplus://offline/ref=49D24CB8E806E3C2B959AC12F215DE15CDB3E4CCA2CC6CE3C11FE78BB2C9FE188CACFADDF8DB148551E3ACADC20FA3C03B0583AFBDD63564BB8A56BFP0B2D" TargetMode = "External"/>
	<Relationship Id="rId888" Type="http://schemas.openxmlformats.org/officeDocument/2006/relationships/hyperlink" Target="consultantplus://offline/ref=49D24CB8E806E3C2B959AC12F215DE15CDB3E4CCA2CC6CE3C11FE78BB2C9FE188CACFADDF8DB148551E3ACACC60FA3C03B0583AFBDD63564BB8A56BFP0B2D" TargetMode = "External"/>
	<Relationship Id="rId889" Type="http://schemas.openxmlformats.org/officeDocument/2006/relationships/hyperlink" Target="consultantplus://offline/ref=49D24CB8E806E3C2B959AC12F215DE15CDB3E4CCA2CF65E3C81CE78BB2C9FE188CACFADDEADB4C8953E6B1A9C11AF5917DP5B3D" TargetMode = "External"/>
	<Relationship Id="rId890" Type="http://schemas.openxmlformats.org/officeDocument/2006/relationships/hyperlink" Target="consultantplus://offline/ref=49D24CB8E806E3C2B959B21FE479801CC0BCBEC6ABC86FB4944AE1DCED99F84DCCECFC8FB39F118F05B2EBFCC806F28F7F5490AFB8CAP3B6D" TargetMode = "External"/>
	<Relationship Id="rId891" Type="http://schemas.openxmlformats.org/officeDocument/2006/relationships/hyperlink" Target="consultantplus://offline/ref=49D24CB8E806E3C2B959AC12F215DE15CDB3E4CCA2CC6CE3C11FE78BB2C9FE188CACFADDF8DB148551E3ACACC30FA3C03B0583AFBDD63564BB8A56BFP0B2D" TargetMode = "External"/>
	<Relationship Id="rId892" Type="http://schemas.openxmlformats.org/officeDocument/2006/relationships/hyperlink" Target="consultantplus://offline/ref=49D24CB8E806E3C2B959AC12F215DE15CDB3E4CCA2CF65E7CE1BE78BB2C9FE188CACFADDF8DB148551E3AFA9CC0FA3C03B0583AFBDD63564BB8A56BFP0B2D" TargetMode = "External"/>
	<Relationship Id="rId893" Type="http://schemas.openxmlformats.org/officeDocument/2006/relationships/hyperlink" Target="consultantplus://offline/ref=49D24CB8E806E3C2B959AC12F215DE15CDB3E4CCA2CC64E3CE1FE78BB2C9FE188CACFADDF8DB148551E3AFAFC30FA3C03B0583AFBDD63564BB8A56BFP0B2D" TargetMode = "External"/>
	<Relationship Id="rId894" Type="http://schemas.openxmlformats.org/officeDocument/2006/relationships/hyperlink" Target="consultantplus://offline/ref=49D24CB8E806E3C2B959AC12F215DE15CDB3E4CCA2CC6CE3C11FE78BB2C9FE188CACFADDF8DB148551E3ACACCD0FA3C03B0583AFBDD63564BB8A56BFP0B2D" TargetMode = "External"/>
	<Relationship Id="rId895" Type="http://schemas.openxmlformats.org/officeDocument/2006/relationships/hyperlink" Target="consultantplus://offline/ref=49D24CB8E806E3C2B959AC12F215DE15CDB3E4CCA2CF64E4CA1DE78BB2C9FE188CACFADDF8DB148551E3AEAFC60FA3C03B0583AFBDD63564BB8A56BFP0B2D" TargetMode = "External"/>
	<Relationship Id="rId896" Type="http://schemas.openxmlformats.org/officeDocument/2006/relationships/hyperlink" Target="consultantplus://offline/ref=49D24CB8E806E3C2B959AC12F215DE15CDB3E4CCA2CC64E3CE1FE78BB2C9FE188CACFADDF8DB148551E3AFAFCD0FA3C03B0583AFBDD63564BB8A56BFP0B2D" TargetMode = "External"/>
	<Relationship Id="rId897" Type="http://schemas.openxmlformats.org/officeDocument/2006/relationships/hyperlink" Target="consultantplus://offline/ref=49D24CB8E806E3C2B959AC12F215DE15CDB3E4CCA2CC6CE3C11FE78BB2C9FE188CACFADDF8DB148551E3ACACCC0FA3C03B0583AFBDD63564BB8A56BFP0B2D" TargetMode = "External"/>
	<Relationship Id="rId898" Type="http://schemas.openxmlformats.org/officeDocument/2006/relationships/hyperlink" Target="consultantplus://offline/ref=49D24CB8E806E3C2B959AC12F215DE15CDB3E4CCA2CC6CE3C11FE78BB2C9FE188CACFADDF8DB148551E3ACAFC50FA3C03B0583AFBDD63564BB8A56BFP0B2D" TargetMode = "External"/>
	<Relationship Id="rId899" Type="http://schemas.openxmlformats.org/officeDocument/2006/relationships/hyperlink" Target="consultantplus://offline/ref=49D24CB8E806E3C2B959B21FE479801CC0BCBEC6ABC86FB4944AE1DCED99F84DCCECFC8FB39F118F05B2EBFCC806F28F7F5490AFB8CAP3B6D" TargetMode = "External"/>
	<Relationship Id="rId900" Type="http://schemas.openxmlformats.org/officeDocument/2006/relationships/hyperlink" Target="consultantplus://offline/ref=49D24CB8E806E3C2B959AC12F215DE15CDB3E4CCA2CC6CE3C11FE78BB2C9FE188CACFADDF8DB148551E3ACAFC70FA3C03B0583AFBDD63564BB8A56BFP0B2D" TargetMode = "External"/>
	<Relationship Id="rId901" Type="http://schemas.openxmlformats.org/officeDocument/2006/relationships/hyperlink" Target="consultantplus://offline/ref=49D24CB8E806E3C2B959AC12F215DE15CDB3E4CCA2CF65E7CE1BE78BB2C9FE188CACFADDF8DB148551E3AFA8C70FA3C03B0583AFBDD63564BB8A56BFP0B2D" TargetMode = "External"/>
	<Relationship Id="rId902" Type="http://schemas.openxmlformats.org/officeDocument/2006/relationships/hyperlink" Target="consultantplus://offline/ref=49D24CB8E806E3C2B959AC12F215DE15CDB3E4CCA2CF65E7CE1BE78BB2C9FE188CACFADDF8DB148551E3AFA8C60FA3C03B0583AFBDD63564BB8A56BFP0B2D" TargetMode = "External"/>
	<Relationship Id="rId903" Type="http://schemas.openxmlformats.org/officeDocument/2006/relationships/hyperlink" Target="consultantplus://offline/ref=49D24CB8E806E3C2B959AC12F215DE15CDB3E4CCA2CF65E7CE1BE78BB2C9FE188CACFADDF8DB148551E3AFA8C00FA3C03B0583AFBDD63564BB8A56BFP0B2D" TargetMode = "External"/>
	<Relationship Id="rId904" Type="http://schemas.openxmlformats.org/officeDocument/2006/relationships/hyperlink" Target="consultantplus://offline/ref=49D24CB8E806E3C2B959AC12F215DE15CDB3E4CCA2CF65E3C81CE78BB2C9FE188CACFADDEADB4C8953E6B1A9C11AF5917DP5B3D" TargetMode = "External"/>
	<Relationship Id="rId905" Type="http://schemas.openxmlformats.org/officeDocument/2006/relationships/hyperlink" Target="consultantplus://offline/ref=49D24CB8E806E3C2B959AC12F215DE15CDB3E4CCA2CC64E3CE1FE78BB2C9FE188CACFADDF8DB148551E3AFAEC40FA3C03B0583AFBDD63564BB8A56BFP0B2D" TargetMode = "External"/>
	<Relationship Id="rId906" Type="http://schemas.openxmlformats.org/officeDocument/2006/relationships/hyperlink" Target="consultantplus://offline/ref=49D24CB8E806E3C2B959AC12F215DE15CDB3E4CCA2CC6CE3C11FE78BB2C9FE188CACFADDF8DB148551E3ACAFC10FA3C03B0583AFBDD63564BB8A56BFP0B2D" TargetMode = "External"/>
	<Relationship Id="rId907" Type="http://schemas.openxmlformats.org/officeDocument/2006/relationships/hyperlink" Target="consultantplus://offline/ref=49D24CB8E806E3C2B959B21FE479801CC0BCBEC6ABC86FB4944AE1DCED99F84DCCECFC8ABC9F1D8F05B2EBFCC806F28F7F5490AFB8CAP3B6D" TargetMode = "External"/>
	<Relationship Id="rId908" Type="http://schemas.openxmlformats.org/officeDocument/2006/relationships/hyperlink" Target="consultantplus://offline/ref=49D24CB8E806E3C2B959B21FE479801CC0BCBEC6ABC86FB4944AE1DCED99F84DCCECFC8ABC9D1B8F05B2EBFCC806F28F7F5490AFB8CAP3B6D" TargetMode = "External"/>
	<Relationship Id="rId909" Type="http://schemas.openxmlformats.org/officeDocument/2006/relationships/hyperlink" Target="consultantplus://offline/ref=49D24CB8E806E3C2B959AC12F215DE15CDB3E4CCA2CF65E7CE1BE78BB2C9FE188CACFADDF8DB148551E3AFA8C20FA3C03B0583AFBDD63564BB8A56BFP0B2D" TargetMode = "External"/>
	<Relationship Id="rId910" Type="http://schemas.openxmlformats.org/officeDocument/2006/relationships/hyperlink" Target="consultantplus://offline/ref=49D24CB8E806E3C2B959AC12F215DE15CDB3E4CCA2CF65E7CE1BE78BB2C9FE188CACFADDF8DB148551E3AFABC50FA3C03B0583AFBDD63564BB8A56BFP0B2D" TargetMode = "External"/>
	<Relationship Id="rId911" Type="http://schemas.openxmlformats.org/officeDocument/2006/relationships/hyperlink" Target="consultantplus://offline/ref=49D24CB8E806E3C2B959AC12F215DE15CDB3E4CCA2CD66E1CD1CE78BB2C9FE188CACFADDEADB4C8953E6B1A9C11AF5917DP5B3D" TargetMode = "External"/>
	<Relationship Id="rId912" Type="http://schemas.openxmlformats.org/officeDocument/2006/relationships/hyperlink" Target="consultantplus://offline/ref=49D24CB8E806E3C2B959AC12F215DE15CDB3E4CCA2CF64E4CA1DE78BB2C9FE188CACFADDF8DB148551E3AEAFC10FA3C03B0583AFBDD63564BB8A56BFP0B2D" TargetMode = "External"/>
	<Relationship Id="rId913" Type="http://schemas.openxmlformats.org/officeDocument/2006/relationships/hyperlink" Target="consultantplus://offline/ref=49D24CB8E806E3C2B959B21FE479801CC0BCBEC6ABC86FB4944AE1DCED99F84DDEECA484B99A078455FDADA9C7P0B7D" TargetMode = "External"/>
	<Relationship Id="rId914" Type="http://schemas.openxmlformats.org/officeDocument/2006/relationships/hyperlink" Target="consultantplus://offline/ref=49D24CB8E806E3C2B959AC12F215DE15CDB3E4CCA2CC6CE3C11FE78BB2C9FE188CACFADDF8DB148551E3ACAFC30FA3C03B0583AFBDD63564BB8A56BFP0B2D" TargetMode = "External"/>
	<Relationship Id="rId915" Type="http://schemas.openxmlformats.org/officeDocument/2006/relationships/hyperlink" Target="consultantplus://offline/ref=49D24CB8E806E3C2B959AC12F215DE15CDB3E4CCA2CF64E4CA1DE78BB2C9FE188CACFADDF8DB148551E3AEAFC20FA3C03B0583AFBDD63564BB8A56BFP0B2D" TargetMode = "External"/>
	<Relationship Id="rId916" Type="http://schemas.openxmlformats.org/officeDocument/2006/relationships/hyperlink" Target="consultantplus://offline/ref=49D24CB8E806E3C2B959AC12F215DE15CDB3E4CCA2CF64E4CA1DE78BB2C9FE188CACFADDF8DB148551E3AEAFCD0FA3C03B0583AFBDD63564BB8A56BFP0B2D" TargetMode = "External"/>
	<Relationship Id="rId917" Type="http://schemas.openxmlformats.org/officeDocument/2006/relationships/hyperlink" Target="consultantplus://offline/ref=49D24CB8E806E3C2B959AC12F215DE15CDB3E4CCA2CF64E4CA1DE78BB2C9FE188CACFADDF8DB148551E3AEAEC50FA3C03B0583AFBDD63564BB8A56BFP0B2D" TargetMode = "External"/>
	<Relationship Id="rId918" Type="http://schemas.openxmlformats.org/officeDocument/2006/relationships/hyperlink" Target="consultantplus://offline/ref=49D24CB8E806E3C2B959AC12F215DE15CDB3E4CCA2CC65E2CB1DE78BB2C9FE188CACFADDEADB4C8953E6B1A9C11AF5917DP5B3D" TargetMode = "External"/>
	<Relationship Id="rId919" Type="http://schemas.openxmlformats.org/officeDocument/2006/relationships/hyperlink" Target="consultantplus://offline/ref=49D24CB8E806E3C2B959AC12F215DE15CDB3E4CCA2CF64E4CA1DE78BB2C9FE188CACFADDF8DB148551E3AEAEC40FA3C03B0583AFBDD63564BB8A56BFP0B2D" TargetMode = "External"/>
	<Relationship Id="rId920" Type="http://schemas.openxmlformats.org/officeDocument/2006/relationships/hyperlink" Target="consultantplus://offline/ref=49D24CB8E806E3C2B959AC12F215DE15CDB3E4CCA2CF64E4CA1DE78BB2C9FE188CACFADDF8DB148551E3AEAEC70FA3C03B0583AFBDD63564BB8A56BFP0B2D" TargetMode = "External"/>
	<Relationship Id="rId921" Type="http://schemas.openxmlformats.org/officeDocument/2006/relationships/hyperlink" Target="consultantplus://offline/ref=49D24CB8E806E3C2B959AC12F215DE15CDB3E4CCA2CF64E4CA1DE78BB2C9FE188CACFADDF8DB148551E3AEAEC10FA3C03B0583AFBDD63564BB8A56BFP0B2D" TargetMode = "External"/>
	<Relationship Id="rId922" Type="http://schemas.openxmlformats.org/officeDocument/2006/relationships/hyperlink" Target="consultantplus://offline/ref=49D24CB8E806E3C2B959B21FE479801CC0BBBEC0AAC16FB4944AE1DCED99F84DDEECA484B99A078455FDADA9C7P0B7D" TargetMode = "External"/>
	<Relationship Id="rId923" Type="http://schemas.openxmlformats.org/officeDocument/2006/relationships/hyperlink" Target="consultantplus://offline/ref=49D24CB8E806E3C2B959B21FE479801CC0BBBDC6A1CC6FB4944AE1DCED99F84DDEECA484B99A078455FDADA9C7P0B7D" TargetMode = "External"/>
	<Relationship Id="rId924" Type="http://schemas.openxmlformats.org/officeDocument/2006/relationships/hyperlink" Target="consultantplus://offline/ref=49D24CB8E806E3C2B959AC12F215DE15CDB3E4CCA2CD63E1CB1CE78BB2C9FE188CACFADDEADB4C8953E6B1A9C11AF5917DP5B3D" TargetMode = "External"/>
	<Relationship Id="rId925" Type="http://schemas.openxmlformats.org/officeDocument/2006/relationships/hyperlink" Target="consultantplus://offline/ref=49D24CB8E806E3C2B959B21FE479801CC0B9BFC2AAC86FB4944AE1DCED99F84DDEECA484B99A078455FDADA9C7P0B7D" TargetMode = "External"/>
	<Relationship Id="rId926" Type="http://schemas.openxmlformats.org/officeDocument/2006/relationships/hyperlink" Target="consultantplus://offline/ref=49D24CB8E806E3C2B959B21FE479801CC0BBBCC5A2C86FB4944AE1DCED99F84DDEECA484B99A078455FDADA9C7P0B7D" TargetMode = "External"/>
	<Relationship Id="rId927" Type="http://schemas.openxmlformats.org/officeDocument/2006/relationships/hyperlink" Target="consultantplus://offline/ref=49D24CB8E806E3C2B959B21FE479801CC0B9BFC2AAC86FB4944AE1DCED99F84DDEECA484B99A078455FDADA9C7P0B7D" TargetMode = "External"/>
	<Relationship Id="rId928" Type="http://schemas.openxmlformats.org/officeDocument/2006/relationships/hyperlink" Target="consultantplus://offline/ref=49D24CB8E806E3C2B959B21FE479801CC0BCBEC6ABC86FB4944AE1DCED99F84DCCECFC88BB9C1A8D54E8FBF88151FA937A4E8EA9A6CA3562PAB6D" TargetMode = "External"/>
	<Relationship Id="rId929" Type="http://schemas.openxmlformats.org/officeDocument/2006/relationships/hyperlink" Target="consultantplus://offline/ref=49D24CB8E806E3C2B959B21FE479801CC0BBBEC0AAC16FB4944AE1DCED99F84DDEECA484B99A078455FDADA9C7P0B7D" TargetMode = "External"/>
	<Relationship Id="rId930" Type="http://schemas.openxmlformats.org/officeDocument/2006/relationships/hyperlink" Target="consultantplus://offline/ref=49D24CB8E806E3C2B959B21FE479801CC0BBB2C4A4CF6FB4944AE1DCED99F84DDEECA484B99A078455FDADA9C7P0B7D" TargetMode = "External"/>
	<Relationship Id="rId931" Type="http://schemas.openxmlformats.org/officeDocument/2006/relationships/hyperlink" Target="consultantplus://offline/ref=49D24CB8E806E3C2B959AC12F215DE15CDB3E4CCA2CF64E4CA1DE78BB2C9FE188CACFADDF8DB148551E3AEAEC00FA3C03B0583AFBDD63564BB8A56BFP0B2D" TargetMode = "External"/>
	<Relationship Id="rId932" Type="http://schemas.openxmlformats.org/officeDocument/2006/relationships/hyperlink" Target="consultantplus://offline/ref=49D24CB8E806E3C2B959AC12F215DE15CDB3E4CCABCE67E5CD15BA81BA90F21A8BA3A5CAFF92188451E2ADAECE50A6D52A5D8CA8A6C8317EA78854PBBED" TargetMode = "External"/>
	<Relationship Id="rId933" Type="http://schemas.openxmlformats.org/officeDocument/2006/relationships/hyperlink" Target="consultantplus://offline/ref=49D24CB8E806E3C2B959AC12F215DE15CDB3E4CCAACE64E7C815BA81BA90F21A8BA3A5CAFF92188451E2A8AFCE50A6D52A5D8CA8A6C8317EA78854PBBED" TargetMode = "External"/>
	<Relationship Id="rId934" Type="http://schemas.openxmlformats.org/officeDocument/2006/relationships/hyperlink" Target="consultantplus://offline/ref=49D24CB8E806E3C2B959AC12F215DE15CDB3E4CCA2C967E4C11CE78BB2C9FE188CACFADDF8DB148551E3ADA8C20FA3C03B0583AFBDD63564BB8A56BFP0B2D" TargetMode = "External"/>
	<Relationship Id="rId935" Type="http://schemas.openxmlformats.org/officeDocument/2006/relationships/hyperlink" Target="consultantplus://offline/ref=49D24CB8E806E3C2B959AC12F215DE15CDB3E4CCA2C864E5C01EE78BB2C9FE188CACFADDF8DB148551E3ACA1C60FA3C03B0583AFBDD63564BB8A56BFP0B2D" TargetMode = "External"/>
	<Relationship Id="rId936" Type="http://schemas.openxmlformats.org/officeDocument/2006/relationships/hyperlink" Target="consultantplus://offline/ref=49D24CB8E806E3C2B959AC12F215DE15CDB3E4CCA2C863E5C01EE78BB2C9FE188CACFADDF8DB148551E3ADA0C60FA3C03B0583AFBDD63564BB8A56BFP0B2D" TargetMode = "External"/>
	<Relationship Id="rId937" Type="http://schemas.openxmlformats.org/officeDocument/2006/relationships/hyperlink" Target="consultantplus://offline/ref=49D24CB8E806E3C2B959AC12F215DE15CDB3E4CCA2CB6DE4CA17E78BB2C9FE188CACFADDF8DB148551E3AEAFC60FA3C03B0583AFBDD63564BB8A56BFP0B2D" TargetMode = "External"/>
	<Relationship Id="rId938" Type="http://schemas.openxmlformats.org/officeDocument/2006/relationships/hyperlink" Target="consultantplus://offline/ref=49D24CB8E806E3C2B959AC12F215DE15CDB3E4CCA2CA6CE2CD17E78BB2C9FE188CACFADDF8DB148551E3ADA8C70FA3C03B0583AFBDD63564BB8A56BFP0B2D" TargetMode = "External"/>
	<Relationship Id="rId939" Type="http://schemas.openxmlformats.org/officeDocument/2006/relationships/hyperlink" Target="consultantplus://offline/ref=49D24CB8E806E3C2B959AC12F215DE15CDB3E4CCA2CC64E3CE1FE78BB2C9FE188CACFADDF8DB148551E3AFAEC60FA3C03B0583AFBDD63564BB8A56BFP0B2D" TargetMode = "External"/>
	<Relationship Id="rId940" Type="http://schemas.openxmlformats.org/officeDocument/2006/relationships/hyperlink" Target="consultantplus://offline/ref=49D24CB8E806E3C2B959AC12F215DE15CDB3E4CCA2C863E5C01EE78BB2C9FE188CACFADDF8DB148551E3ADA0C00FA3C03B0583AFBDD63564BB8A56BFP0B2D" TargetMode = "External"/>
	<Relationship Id="rId941" Type="http://schemas.openxmlformats.org/officeDocument/2006/relationships/hyperlink" Target="consultantplus://offline/ref=49D24CB8E806E3C2B959AC12F215DE15CDB3E4CCAACE64E7C815BA81BA90F21A8BA3A5CAFF92188451E2A8A1CE50A6D52A5D8CA8A6C8317EA78854PBBED" TargetMode = "External"/>
	<Relationship Id="rId942" Type="http://schemas.openxmlformats.org/officeDocument/2006/relationships/hyperlink" Target="consultantplus://offline/ref=49D24CB8E806E3C2B959AC12F215DE15CDB3E4CCA2C864E5C01EE78BB2C9FE188CACFADDF8DB148551E3ACA1C00FA3C03B0583AFBDD63564BB8A56BFP0B2D" TargetMode = "External"/>
	<Relationship Id="rId943" Type="http://schemas.openxmlformats.org/officeDocument/2006/relationships/hyperlink" Target="consultantplus://offline/ref=49D24CB8E806E3C2B959AC12F215DE15CDB3E4CCAACE64E7C815BA81BA90F21A8BA3A5CAFF92188451E2A7A9CE50A6D52A5D8CA8A6C8317EA78854PBBED" TargetMode = "External"/>
	<Relationship Id="rId944" Type="http://schemas.openxmlformats.org/officeDocument/2006/relationships/hyperlink" Target="consultantplus://offline/ref=49D24CB8E806E3C2B959AC12F215DE15CDB3E4CCA2C864E5C01EE78BB2C9FE188CACFADDF8DB148551E3ACA1C20FA3C03B0583AFBDD63564BB8A56BFP0B2D" TargetMode = "External"/>
	<Relationship Id="rId945" Type="http://schemas.openxmlformats.org/officeDocument/2006/relationships/hyperlink" Target="consultantplus://offline/ref=49D24CB8E806E3C2B959AC12F215DE15CDB3E4CCA2C864E5C01EE78BB2C9FE188CACFADDF8DB148551E3ACA1CC0FA3C03B0583AFBDD63564BB8A56BFP0B2D" TargetMode = "External"/>
	<Relationship Id="rId946" Type="http://schemas.openxmlformats.org/officeDocument/2006/relationships/hyperlink" Target="consultantplus://offline/ref=49D24CB8E806E3C2B959AC12F215DE15CDB3E4CCA2CB6DE4CA17E78BB2C9FE188CACFADDF8DB148551E3AEAFC10FA3C03B0583AFBDD63564BB8A56BFP0B2D" TargetMode = "External"/>
	<Relationship Id="rId947" Type="http://schemas.openxmlformats.org/officeDocument/2006/relationships/hyperlink" Target="consultantplus://offline/ref=49D24CB8E806E3C2B959AC12F215DE15CDB3E4CCA2CA6CE2CD17E78BB2C9FE188CACFADDF8DB148551E3ADA8C60FA3C03B0583AFBDD63564BB8A56BFP0B2D" TargetMode = "External"/>
	<Relationship Id="rId948" Type="http://schemas.openxmlformats.org/officeDocument/2006/relationships/hyperlink" Target="consultantplus://offline/ref=49D24CB8E806E3C2B959AC12F215DE15CDB3E4CCA2CC64E3CE1FE78BB2C9FE188CACFADDF8DB148551E3AFAEC10FA3C03B0583AFBDD63564BB8A56BFP0B2D" TargetMode = "External"/>
	<Relationship Id="rId949" Type="http://schemas.openxmlformats.org/officeDocument/2006/relationships/hyperlink" Target="consultantplus://offline/ref=49D24CB8E806E3C2B959B21FE479801CC0B9BFC2AAC86FB4944AE1DCED99F84DDEECA484B99A078455FDADA9C7P0B7D" TargetMode = "External"/>
	<Relationship Id="rId950" Type="http://schemas.openxmlformats.org/officeDocument/2006/relationships/hyperlink" Target="consultantplus://offline/ref=49D24CB8E806E3C2B959AC12F215DE15CDB3E4CCAACE64E7C815BA81BA90F21A8BA3A5CAFF92188451E2A7ABCE50A6D52A5D8CA8A6C8317EA78854PBBED" TargetMode = "External"/>
	<Relationship Id="rId951" Type="http://schemas.openxmlformats.org/officeDocument/2006/relationships/hyperlink" Target="consultantplus://offline/ref=49D24CB8E806E3C2B959AC12F215DE15CDB3E4CCA2CB6DE4CA17E78BB2C9FE188CACFADDF8DB148551E3AEAFC30FA3C03B0583AFBDD63564BB8A56BFP0B2D" TargetMode = "External"/>
	<Relationship Id="rId952" Type="http://schemas.openxmlformats.org/officeDocument/2006/relationships/hyperlink" Target="consultantplus://offline/ref=49D24CB8E806E3C2B959AC12F215DE15CDB3E4CCA2CC64E3CE1FE78BB2C9FE188CACFADDF8DB148551E3AFAECD0FA3C03B0583AFBDD63564BB8A56BFP0B2D" TargetMode = "External"/>
	<Relationship Id="rId953" Type="http://schemas.openxmlformats.org/officeDocument/2006/relationships/hyperlink" Target="consultantplus://offline/ref=49D24CB8E806E3C2B959AC12F215DE15CDB3E4CCA2C864E5C01EE78BB2C9FE188CACFADDF8DB148551E3ACA0C50FA3C03B0583AFBDD63564BB8A56BFP0B2D" TargetMode = "External"/>
	<Relationship Id="rId954" Type="http://schemas.openxmlformats.org/officeDocument/2006/relationships/hyperlink" Target="consultantplus://offline/ref=49D24CB8E806E3C2B959AC12F215DE15CDB3E4CCA2CB6DE4CA17E78BB2C9FE188CACFADDF8DB148551E3AEAFC20FA3C03B0583AFBDD63564BB8A56BFP0B2D" TargetMode = "External"/>
	<Relationship Id="rId955" Type="http://schemas.openxmlformats.org/officeDocument/2006/relationships/hyperlink" Target="consultantplus://offline/ref=49D24CB8E806E3C2B959AC12F215DE15CDB3E4CCA2CC64E3CE1FE78BB2C9FE188CACFADDF8DB148551E3AFAECC0FA3C03B0583AFBDD63564BB8A56BFP0B2D" TargetMode = "External"/>
	<Relationship Id="rId956" Type="http://schemas.openxmlformats.org/officeDocument/2006/relationships/hyperlink" Target="consultantplus://offline/ref=49D24CB8E806E3C2B959AC12F215DE15CDB3E4CCA2CC64E3CE1FE78BB2C9FE188CACFADDF8DB148551E3AFA1C40FA3C03B0583AFBDD63564BB8A56BFP0B2D" TargetMode = "External"/>
	<Relationship Id="rId957" Type="http://schemas.openxmlformats.org/officeDocument/2006/relationships/hyperlink" Target="consultantplus://offline/ref=49D24CB8E806E3C2B959AC12F215DE15CDB3E4CCA2CC64E3CE1FE78BB2C9FE188CACFADDF8DB148551E3AFA1C60FA3C03B0583AFBDD63564BB8A56BFP0B2D" TargetMode = "External"/>
	<Relationship Id="rId958" Type="http://schemas.openxmlformats.org/officeDocument/2006/relationships/hyperlink" Target="consultantplus://offline/ref=49D24CB8E806E3C2B959AC12F215DE15CDB3E4CCA2CC64E3CE1FE78BB2C9FE188CACFADDF8DB148551E3AFA1C00FA3C03B0583AFBDD63564BB8A56BFP0B2D" TargetMode = "External"/>
	<Relationship Id="rId959" Type="http://schemas.openxmlformats.org/officeDocument/2006/relationships/hyperlink" Target="consultantplus://offline/ref=49D24CB8E806E3C2B959AC12F215DE15CDB3E4CCABCE67E5CD15BA81BA90F21A8BA3A5CAFF92188451E2ADA1CE50A6D52A5D8CA8A6C8317EA78854PBBED" TargetMode = "External"/>
	<Relationship Id="rId960" Type="http://schemas.openxmlformats.org/officeDocument/2006/relationships/hyperlink" Target="consultantplus://offline/ref=49D24CB8E806E3C2B959AC12F215DE15CDB3E4CCA2CB6DE4CA17E78BB2C9FE188CACFADDF8DB148551E3AEAFCD0FA3C03B0583AFBDD63564BB8A56BFP0B2D" TargetMode = "External"/>
	<Relationship Id="rId961" Type="http://schemas.openxmlformats.org/officeDocument/2006/relationships/hyperlink" Target="consultantplus://offline/ref=49D24CB8E806E3C2B959AC12F215DE15CDB3E4CCAACE64E7C815BA81BA90F21A8BA3A5CAFF92188451E2A7AACE50A6D52A5D8CA8A6C8317EA78854PBBED" TargetMode = "External"/>
	<Relationship Id="rId962" Type="http://schemas.openxmlformats.org/officeDocument/2006/relationships/hyperlink" Target="consultantplus://offline/ref=49D24CB8E806E3C2B959AC12F215DE15CDB3E4CCA2C967E4C11CE78BB2C9FE188CACFADDF8DB148551E3ADA8C20FA3C03B0583AFBDD63564BB8A56BFP0B2D" TargetMode = "External"/>
	<Relationship Id="rId963" Type="http://schemas.openxmlformats.org/officeDocument/2006/relationships/hyperlink" Target="consultantplus://offline/ref=49D24CB8E806E3C2B959AC12F215DE15CDB3E4CCA2C863E5C01EE78BB2C9FE188CACFADDF8DB148551E3ADA0C20FA3C03B0583AFBDD63564BB8A56BFP0B2D" TargetMode = "External"/>
	<Relationship Id="rId964" Type="http://schemas.openxmlformats.org/officeDocument/2006/relationships/hyperlink" Target="consultantplus://offline/ref=49D24CB8E806E3C2B959AC12F215DE15CDB3E4CCA2C864E5C01EE78BB2C9FE188CACFADDF8DB148551E3ACA0C40FA3C03B0583AFBDD63564BB8A56BFP0B2D" TargetMode = "External"/>
	<Relationship Id="rId965" Type="http://schemas.openxmlformats.org/officeDocument/2006/relationships/hyperlink" Target="consultantplus://offline/ref=49D24CB8E806E3C2B959AC12F215DE15CDB3E4CCABCE67E5CD15BA81BA90F21A8BA3A5CAFF92188451E2ADA0CE50A6D52A5D8CA8A6C8317EA78854PBBED" TargetMode = "External"/>
	<Relationship Id="rId966" Type="http://schemas.openxmlformats.org/officeDocument/2006/relationships/hyperlink" Target="consultantplus://offline/ref=49D24CB8E806E3C2B959AC12F215DE15CDB3E4CCA2C863E5C01EE78BB2C9FE188CACFADDF8DB148551E3ADA0CD0FA3C03B0583AFBDD63564BB8A56BFP0B2D" TargetMode = "External"/>
	<Relationship Id="rId967" Type="http://schemas.openxmlformats.org/officeDocument/2006/relationships/hyperlink" Target="consultantplus://offline/ref=49D24CB8E806E3C2B959AC12F215DE15CDB3E4CCA2CC64E3CE1FE78BB2C9FE188CACFADDF8DB148551E3AFA1C30FA3C03B0583AFBDD63564BB8A56BFP0B2D" TargetMode = "External"/>
	<Relationship Id="rId968" Type="http://schemas.openxmlformats.org/officeDocument/2006/relationships/hyperlink" Target="consultantplus://offline/ref=49D24CB8E806E3C2B959AC12F215DE15CDB3E4CCA2CC64E3CE1FE78BB2C9FE188CACFADDF8DB148551E3AFA1C20FA3C03B0583AFBDD63564BB8A56BFP0B2D" TargetMode = "External"/>
	<Relationship Id="rId969" Type="http://schemas.openxmlformats.org/officeDocument/2006/relationships/hyperlink" Target="consultantplus://offline/ref=49D24CB8E806E3C2B959AC12F215DE15CDB3E4CCA2CC64E3CE1FE78BB2C9FE188CACFADDF8DB148551E3AFA1CD0FA3C03B0583AFBDD63564BB8A56BFP0B2D" TargetMode = "External"/>
	<Relationship Id="rId970" Type="http://schemas.openxmlformats.org/officeDocument/2006/relationships/hyperlink" Target="consultantplus://offline/ref=49D24CB8E806E3C2B959AC12F215DE15CDB3E4CCA2CC64E3CE1FE78BB2C9FE188CACFADDF8DB148551E3AFA1CC0FA3C03B0583AFBDD63564BB8A56BFP0B2D" TargetMode = "External"/>
	<Relationship Id="rId971" Type="http://schemas.openxmlformats.org/officeDocument/2006/relationships/hyperlink" Target="consultantplus://offline/ref=49D24CB8E806E3C2B959AC12F215DE15CDB3E4CCA2CC64E3CE1FE78BB2C9FE188CACFADDF8DB148551E3AFA0C50FA3C03B0583AFBDD63564BB8A56BFP0B2D" TargetMode = "External"/>
	<Relationship Id="rId972" Type="http://schemas.openxmlformats.org/officeDocument/2006/relationships/hyperlink" Target="consultantplus://offline/ref=49D24CB8E806E3C2B959AC12F215DE15CDB3E4CCA2C864E5C01EE78BB2C9FE188CACFADDF8DB148551E3ACA0C70FA3C03B0583AFBDD63564BB8A56BFP0B2D" TargetMode = "External"/>
	<Relationship Id="rId973" Type="http://schemas.openxmlformats.org/officeDocument/2006/relationships/hyperlink" Target="consultantplus://offline/ref=49D24CB8E806E3C2B959B21FE479801CC0BCBEC6ABC86FB4944AE1DCED99F84DDEECA484B99A078455FDADA9C7P0B7D" TargetMode = "External"/>
	<Relationship Id="rId974" Type="http://schemas.openxmlformats.org/officeDocument/2006/relationships/hyperlink" Target="consultantplus://offline/ref=49D24CB8E806E3C2B959AC12F215DE15CDB3E4CCA2CC64E3CE1FE78BB2C9FE188CACFADDF8DB148551E3AFA0C40FA3C03B0583AFBDD63564BB8A56BFP0B2D" TargetMode = "External"/>
	<Relationship Id="rId975" Type="http://schemas.openxmlformats.org/officeDocument/2006/relationships/hyperlink" Target="consultantplus://offline/ref=49D24CB8E806E3C2B959AC12F215DE15CDB3E4CCA2CC64E3CE1FE78BB2C9FE188CACFADDF8DB148551E3AFA0C60FA3C03B0583AFBDD63564BB8A56BFP0B2D" TargetMode = "External"/>
	<Relationship Id="rId976" Type="http://schemas.openxmlformats.org/officeDocument/2006/relationships/hyperlink" Target="consultantplus://offline/ref=49D24CB8E806E3C2B959AC12F215DE15CDB3E4CCA2CC64E3CE1FE78BB2C9FE188CACFADDF8DB148551E3AFA0C00FA3C03B0583AFBDD63564BB8A56BFP0B2D" TargetMode = "External"/>
	<Relationship Id="rId977" Type="http://schemas.openxmlformats.org/officeDocument/2006/relationships/hyperlink" Target="consultantplus://offline/ref=49D24CB8E806E3C2B959AC12F215DE15CDB3E4CCA2CA67E2CD1BE78BB2C9FE188CACFADDF8DB148551E3AEADC20FA3C03B0583AFBDD63564BB8A56BFP0B2D" TargetMode = "External"/>
	<Relationship Id="rId978" Type="http://schemas.openxmlformats.org/officeDocument/2006/relationships/hyperlink" Target="consultantplus://offline/ref=49D24CB8E806E3C2B959AC12F215DE15CDB3E4CCA2C86CE2CC1CE78BB2C9FE188CACFADDF8DB148551E3AFA8C40FA3C03B0583AFBDD63564BB8A56BFP0B2D" TargetMode = "External"/>
	<Relationship Id="rId979" Type="http://schemas.openxmlformats.org/officeDocument/2006/relationships/hyperlink" Target="consultantplus://offline/ref=49D24CB8E806E3C2B959AC12F215DE15CDB3E4CCA2CD66EBCA16E78BB2C9FE188CACFADDF8DB148551E3AFA9C30FA3C03B0583AFBDD63564BB8A56BFP0B2D" TargetMode = "External"/>
	<Relationship Id="rId980" Type="http://schemas.openxmlformats.org/officeDocument/2006/relationships/hyperlink" Target="consultantplus://offline/ref=49D24CB8E806E3C2B959AC12F215DE15CDB3E4CCA2CC61E7CD1FE78BB2C9FE188CACFADDF8DB148551E3AFA9C30FA3C03B0583AFBDD63564BB8A56BFP0B2D" TargetMode = "External"/>
	<Relationship Id="rId981" Type="http://schemas.openxmlformats.org/officeDocument/2006/relationships/hyperlink" Target="consultantplus://offline/ref=49D24CB8E806E3C2B959AC12F215DE15CDB3E4CCA2CC64E5CC17E78BB2C9FE188CACFADDF8DB148551E3AFAAC50FA3C03B0583AFBDD63564BB8A56BFP0B2D" TargetMode = "External"/>
	<Relationship Id="rId982" Type="http://schemas.openxmlformats.org/officeDocument/2006/relationships/hyperlink" Target="consultantplus://offline/ref=49D24CB8E806E3C2B959AC12F215DE15CDB3E4CCA2CD66EBCA16E78BB2C9FE188CACFADDF8DB148551E3AFA9C20FA3C03B0583AFBDD63564BB8A56BFP0B2D" TargetMode = "External"/>
	<Relationship Id="rId983" Type="http://schemas.openxmlformats.org/officeDocument/2006/relationships/hyperlink" Target="consultantplus://offline/ref=49D24CB8E806E3C2B959AC12F215DE15CDB3E4CCA2CD66EBCA16E78BB2C9FE188CACFADDF8DB148551E3AFA9CC0FA3C03B0583AFBDD63564BB8A56BFP0B2D" TargetMode = "External"/>
	<Relationship Id="rId984" Type="http://schemas.openxmlformats.org/officeDocument/2006/relationships/hyperlink" Target="consultantplus://offline/ref=49D24CB8E806E3C2B959AC12F215DE15CDB3E4CCA2CD66EBCA16E78BB2C9FE188CACFADDF8DB148551E3AFA8C40FA3C03B0583AFBDD63564BB8A56BFP0B2D" TargetMode = "External"/>
	<Relationship Id="rId985" Type="http://schemas.openxmlformats.org/officeDocument/2006/relationships/hyperlink" Target="consultantplus://offline/ref=49D24CB8E806E3C2B959AC12F215DE15CDB3E4CCA2CD66EBCA16E78BB2C9FE188CACFADDF8DB148551E3AFA8C60FA3C03B0583AFBDD63564BB8A56BFP0B2D" TargetMode = "External"/>
	<Relationship Id="rId986" Type="http://schemas.openxmlformats.org/officeDocument/2006/relationships/hyperlink" Target="consultantplus://offline/ref=49D24CB8E806E3C2B959AC12F215DE15CDB3E4CCA2CD66EBCA16E78BB2C9FE188CACFADDF8DB148551E3AFABCD0FA3C03B0583AFBDD63564BB8A56BFP0B2D" TargetMode = "External"/>
	<Relationship Id="rId987" Type="http://schemas.openxmlformats.org/officeDocument/2006/relationships/hyperlink" Target="consultantplus://offline/ref=49D24CB8E806E3C2B959B21FE479801CC0BCBEC6ABC86FB4944AE1DCED99F84DCCECFC8ABC9F1D8F05B2EBFCC806F28F7F5490AFB8CAP3B6D" TargetMode = "External"/>
	<Relationship Id="rId988" Type="http://schemas.openxmlformats.org/officeDocument/2006/relationships/hyperlink" Target="consultantplus://offline/ref=49D24CB8E806E3C2B959B21FE479801CC0BCBEC6ABC86FB4944AE1DCED99F84DCCECFC8ABC9D1B8F05B2EBFCC806F28F7F5490AFB8CAP3B6D" TargetMode = "External"/>
	<Relationship Id="rId989" Type="http://schemas.openxmlformats.org/officeDocument/2006/relationships/hyperlink" Target="consultantplus://offline/ref=49D24CB8E806E3C2B959AC12F215DE15CDB3E4CCA2CC61E7CD1FE78BB2C9FE188CACFADDF8DB148551E3AFA9C20FA3C03B0583AFBDD63564BB8A56BFP0B2D" TargetMode = "External"/>
	<Relationship Id="rId990" Type="http://schemas.openxmlformats.org/officeDocument/2006/relationships/hyperlink" Target="consultantplus://offline/ref=49D24CB8E806E3C2B959AC12F215DE15CDB3E4CCA2CD66EBCA16E78BB2C9FE188CACFADDF8DB148551E3AFAAC50FA3C03B0583AFBDD63564BB8A56BFP0B2D" TargetMode = "External"/>
	<Relationship Id="rId991" Type="http://schemas.openxmlformats.org/officeDocument/2006/relationships/hyperlink" Target="consultantplus://offline/ref=49D24CB8E806E3C2B959AC12F215DE15CDB3E4CCA2CD66EBCA16E78BB2C9FE188CACFADDF8DB148551E3AFAAC70FA3C03B0583AFBDD63564BB8A56BFP0B2D" TargetMode = "External"/>
	<Relationship Id="rId992" Type="http://schemas.openxmlformats.org/officeDocument/2006/relationships/hyperlink" Target="consultantplus://offline/ref=49D24CB8E806E3C2B959AC12F215DE15CDB3E4CCA2CD66EBCA16E78BB2C9FE188CACFADDF8DB148551E3AFAAC10FA3C03B0583AFBDD63564BB8A56BFP0B2D" TargetMode = "External"/>
	<Relationship Id="rId993" Type="http://schemas.openxmlformats.org/officeDocument/2006/relationships/hyperlink" Target="consultantplus://offline/ref=49D24CB8E806E3C2B959AC12F215DE15CDB3E4CCA2CD66EBCA16E78BB2C9FE188CACFADDF8DB148551E3AFAAC00FA3C03B0583AFBDD63564BB8A56BFP0B2D" TargetMode = "External"/>
	<Relationship Id="rId994" Type="http://schemas.openxmlformats.org/officeDocument/2006/relationships/hyperlink" Target="consultantplus://offline/ref=49D24CB8E806E3C2B959AC12F215DE15CDB3E4CCA2CD66EBCA16E78BB2C9FE188CACFADDF8DB148551E3AFAAC30FA3C03B0583AFBDD63564BB8A56BFP0B2D" TargetMode = "External"/>
	<Relationship Id="rId995" Type="http://schemas.openxmlformats.org/officeDocument/2006/relationships/hyperlink" Target="consultantplus://offline/ref=49D24CB8E806E3C2B959AC12F215DE15CDB3E4CCA2CD66EBCA16E78BB2C9FE188CACFADDF8DB148551E3AFAAC20FA3C03B0583AFBDD63564BB8A56BFP0B2D" TargetMode = "External"/>
	<Relationship Id="rId996" Type="http://schemas.openxmlformats.org/officeDocument/2006/relationships/hyperlink" Target="consultantplus://offline/ref=49D24CB8E806E3C2B959AC12F215DE15CDB3E4CCA2CF65E3C81CE78BB2C9FE188CACFADDF8DB148551E3AFA8C60FA3C03B0583AFBDD63564BB8A56BFP0B2D" TargetMode = "External"/>
	<Relationship Id="rId997" Type="http://schemas.openxmlformats.org/officeDocument/2006/relationships/hyperlink" Target="consultantplus://offline/ref=49D24CB8E806E3C2B959AC12F215DE15CDB3E4CCA2CD66EBCA16E78BB2C9FE188CACFADDF8DB148551E3AFAACD0FA3C03B0583AFBDD63564BB8A56BFP0B2D" TargetMode = "External"/>
	<Relationship Id="rId998" Type="http://schemas.openxmlformats.org/officeDocument/2006/relationships/hyperlink" Target="consultantplus://offline/ref=49D24CB8E806E3C2B959B21FE479801CC0BBB9C7A3C06FB4944AE1DCED99F84DDEECA484B99A078455FDADA9C7P0B7D" TargetMode = "External"/>
	<Relationship Id="rId999" Type="http://schemas.openxmlformats.org/officeDocument/2006/relationships/hyperlink" Target="consultantplus://offline/ref=49D24CB8E806E3C2B959B21FE479801CC0BBBCC7A2CA6FB4944AE1DCED99F84DCCECFC88BB9F198650E8FBF88151FA937A4E8EA9A6CA3562PAB6D" TargetMode = "External"/>
	<Relationship Id="rId1000" Type="http://schemas.openxmlformats.org/officeDocument/2006/relationships/hyperlink" Target="consultantplus://offline/ref=49D24CB8E806E3C2B959B21FE479801CC0BCBEC6ABC86FB4944AE1DCED99F84DCCECFC8ABC9F1D8F05B2EBFCC806F28F7F5490AFB8CAP3B6D" TargetMode = "External"/>
	<Relationship Id="rId1001" Type="http://schemas.openxmlformats.org/officeDocument/2006/relationships/hyperlink" Target="consultantplus://offline/ref=49D24CB8E806E3C2B959B21FE479801CC0BCBEC6ABC86FB4944AE1DCED99F84DCCECFC8ABC9D1B8F05B2EBFCC806F28F7F5490AFB8CAP3B6D" TargetMode = "External"/>
	<Relationship Id="rId1002" Type="http://schemas.openxmlformats.org/officeDocument/2006/relationships/hyperlink" Target="consultantplus://offline/ref=49D24CB8E806E3C2B959AC12F215DE15CDB3E4CCA2CC61E7CD1FE78BB2C9FE188CACFADDF8DB148551E3AFA9CC0FA3C03B0583AFBDD63564BB8A56BFP0B2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20.02.2015 N 68-п
(ред. от 17.04.2023)
"Об утверждении государственной программы Новосибирской области "Стимулирование развития жилищного строительства в Новосибирской области"</dc:title>
  <dcterms:created xsi:type="dcterms:W3CDTF">2023-04-25T03:01:02Z</dcterms:created>
</cp:coreProperties>
</file>