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A81E04" w:rsidRDefault="00C1583A" w:rsidP="00DA3ED7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A81E04">
        <w:t>Коченевского района</w:t>
      </w:r>
      <w:r w:rsidR="00A81E04" w:rsidRPr="008C6163">
        <w:t xml:space="preserve"> </w:t>
      </w:r>
      <w:r w:rsidR="00A81E04" w:rsidRPr="00413399">
        <w:t>«</w:t>
      </w:r>
      <w:r w:rsidR="00A050D7">
        <w:t>Об утверждении административного регламента предоставления муниципальной услуги по согласованию проведени</w:t>
      </w:r>
      <w:r w:rsidR="00273C54">
        <w:t>я ярмарок</w:t>
      </w:r>
      <w:r w:rsidR="00A81E04" w:rsidRPr="00413399">
        <w:t>»</w:t>
      </w:r>
      <w:r w:rsidR="00A81E04">
        <w:t>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>Управление экономического развития администрации Коченевского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Коченевского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>Управление экономического развития администрации Коченевского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A81E04">
        <w:rPr>
          <w:rFonts w:ascii="Times New Roman" w:hAnsi="Times New Roman"/>
          <w:sz w:val="28"/>
          <w:szCs w:val="28"/>
        </w:rPr>
        <w:t>Крылова Ирина Михайловна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 xml:space="preserve">8-383-51-23-716, </w:t>
      </w:r>
      <w:r w:rsidR="00A81E04">
        <w:rPr>
          <w:rFonts w:ascii="Times New Roman" w:hAnsi="Times New Roman"/>
          <w:sz w:val="28"/>
          <w:szCs w:val="28"/>
          <w:lang w:val="en-US"/>
        </w:rPr>
        <w:t>kochrai</w:t>
      </w:r>
      <w:r w:rsidR="00A81E04" w:rsidRPr="0054072E">
        <w:rPr>
          <w:rFonts w:ascii="Times New Roman" w:hAnsi="Times New Roman"/>
          <w:sz w:val="28"/>
          <w:szCs w:val="28"/>
        </w:rPr>
        <w:t>@</w:t>
      </w:r>
      <w:r w:rsidR="00A81E04">
        <w:rPr>
          <w:rFonts w:ascii="Times New Roman" w:hAnsi="Times New Roman"/>
          <w:sz w:val="28"/>
          <w:szCs w:val="28"/>
          <w:lang w:val="en-US"/>
        </w:rPr>
        <w:t>yandex</w:t>
      </w:r>
      <w:r w:rsidR="00A81E04" w:rsidRPr="0054072E">
        <w:rPr>
          <w:rFonts w:ascii="Times New Roman" w:hAnsi="Times New Roman"/>
          <w:sz w:val="28"/>
          <w:szCs w:val="28"/>
        </w:rPr>
        <w:t>.</w:t>
      </w:r>
      <w:r w:rsidR="00A81E04">
        <w:rPr>
          <w:rFonts w:ascii="Times New Roman" w:hAnsi="Times New Roman"/>
          <w:sz w:val="28"/>
          <w:szCs w:val="28"/>
          <w:lang w:val="en-US"/>
        </w:rPr>
        <w:t>ru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и  среднего предпринимательства </w:t>
      </w:r>
      <w:r w:rsidR="00A050D7">
        <w:rPr>
          <w:rFonts w:ascii="Times New Roman" w:hAnsi="Times New Roman"/>
          <w:sz w:val="28"/>
          <w:szCs w:val="28"/>
        </w:rPr>
        <w:t>по согласованию проведения ярмарок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tab/>
        <w:t xml:space="preserve"> </w:t>
      </w:r>
      <w:r w:rsidR="00FC7682" w:rsidRPr="00255DBF">
        <w:t xml:space="preserve">муниципальной услуги по </w:t>
      </w:r>
      <w:r w:rsidR="00A050D7">
        <w:t>согласованию проведения ярмарок</w:t>
      </w:r>
      <w:r w:rsidR="00FC7682" w:rsidRPr="00255DBF">
        <w:t>,</w:t>
      </w:r>
      <w:r w:rsidR="00FC7682">
        <w:t xml:space="preserve"> </w:t>
      </w:r>
      <w:r w:rsidR="00BA7600">
        <w:t>организатором которых</w:t>
      </w:r>
      <w:r w:rsidR="00FC7682" w:rsidRPr="00255DBF">
        <w:t xml:space="preserve"> является администрация Коченевского района Новосибирской области</w:t>
      </w:r>
      <w:r w:rsidR="00FC7682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lastRenderedPageBreak/>
        <w:t xml:space="preserve">Разработка НПА позволит устранить нарушения законодательства, регулирующего организацию  и  порядок  предоставления  муниципальной  услуги  </w:t>
      </w:r>
      <w:r w:rsidR="00372F4E">
        <w:t>по согласованию проведения ярмарок</w:t>
      </w:r>
      <w:r w:rsidR="0011439B" w:rsidRPr="00255DBF">
        <w:t>,</w:t>
      </w:r>
      <w:r w:rsidR="0011439B">
        <w:t xml:space="preserve"> </w:t>
      </w:r>
      <w:r w:rsidR="0011439B" w:rsidRPr="00255DBF">
        <w:t>организатором котор</w:t>
      </w:r>
      <w:r w:rsidR="00BA7600">
        <w:t>ых</w:t>
      </w:r>
      <w:r w:rsidR="0011439B" w:rsidRPr="00255DBF">
        <w:t xml:space="preserve"> является администрация Коченевского района Новосибирской области</w:t>
      </w:r>
      <w:r w:rsidR="0011439B"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3489"/>
        <w:gridCol w:w="2848"/>
        <w:gridCol w:w="2846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</w:t>
            </w:r>
            <w:proofErr w:type="gramEnd"/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BA760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>по согласованию проведения ярмарок</w:t>
            </w:r>
            <w:r w:rsidR="00BA760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организатором которых</w:t>
            </w: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является администрация Коченевского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</w:p>
    <w:p w:rsid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  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33"/>
        <w:gridCol w:w="3275"/>
        <w:gridCol w:w="3272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320"/>
        <w:gridCol w:w="3312"/>
        <w:gridCol w:w="3348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исполнительных органов администрации Коченевского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2208"/>
        <w:gridCol w:w="2226"/>
        <w:gridCol w:w="2619"/>
        <w:gridCol w:w="2927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gramStart"/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  <w:proofErr w:type="gramEnd"/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C1583A" w:rsidRDefault="00B0191C" w:rsidP="00164BC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3.4. Описание расходов консолидированного бюджета администрации Коченевского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322"/>
        <w:gridCol w:w="3294"/>
        <w:gridCol w:w="336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3.6. Оценка возможных поступлений консолидированного бюджета администрации Коченевского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98"/>
        <w:gridCol w:w="3319"/>
        <w:gridCol w:w="3363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Количественная оценка и периодичность 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>количественной оценки поступлений в консолидированный бюджет администрации Коченевского района Новосибирской области</w:t>
      </w:r>
    </w:p>
    <w:p w:rsidR="00C1583A" w:rsidRPr="00721F7D" w:rsidRDefault="00581CBE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lastRenderedPageBreak/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3"/>
        <w:gridCol w:w="4987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</w:p>
    <w:p w:rsidR="008249A4" w:rsidRPr="002D75A0" w:rsidRDefault="00BA7600" w:rsidP="00DA3ED7">
      <w:pPr>
        <w:adjustRightInd w:val="0"/>
        <w:ind w:firstLine="406"/>
        <w:jc w:val="both"/>
      </w:pPr>
      <w:proofErr w:type="gramStart"/>
      <w:r>
        <w:t>с</w:t>
      </w:r>
      <w:r w:rsidR="008249A4" w:rsidRPr="00721F7D">
        <w:t xml:space="preserve"> даты подписания</w:t>
      </w:r>
      <w:proofErr w:type="gramEnd"/>
      <w:r w:rsidR="008249A4" w:rsidRPr="00721F7D">
        <w:t xml:space="preserve"> постановления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8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0"/>
        <w:gridCol w:w="4623"/>
        <w:gridCol w:w="2951"/>
        <w:gridCol w:w="2816"/>
        <w:gridCol w:w="3589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Default="002A1B6C" w:rsidP="00BA7600">
            <w:pPr>
              <w:shd w:val="clear" w:color="auto" w:fill="FFFFFF"/>
              <w:spacing w:line="269" w:lineRule="exact"/>
              <w:ind w:righ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r w:rsidRPr="002A1B6C">
              <w:rPr>
                <w:spacing w:val="-1"/>
                <w:sz w:val="24"/>
                <w:szCs w:val="24"/>
              </w:rPr>
              <w:t>по</w:t>
            </w:r>
            <w:r w:rsidR="00372F4E">
              <w:rPr>
                <w:sz w:val="24"/>
                <w:szCs w:val="24"/>
              </w:rPr>
              <w:t xml:space="preserve"> </w:t>
            </w:r>
            <w:r w:rsidR="00372F4E" w:rsidRPr="00372F4E">
              <w:rPr>
                <w:sz w:val="24"/>
                <w:szCs w:val="24"/>
              </w:rPr>
              <w:t xml:space="preserve"> согласованию проведения ярмарок</w:t>
            </w:r>
            <w:r w:rsidR="00BA7600">
              <w:rPr>
                <w:spacing w:val="-1"/>
                <w:sz w:val="24"/>
                <w:szCs w:val="24"/>
              </w:rPr>
              <w:t>, организатором которых</w:t>
            </w:r>
            <w:r w:rsidRPr="002A1B6C">
              <w:rPr>
                <w:spacing w:val="-1"/>
                <w:sz w:val="24"/>
                <w:szCs w:val="24"/>
              </w:rPr>
              <w:t xml:space="preserve"> является администрация Коченевского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</w:p>
        </w:tc>
        <w:tc>
          <w:tcPr>
            <w:tcW w:w="3589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сроков  </w:t>
            </w:r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9"/>
        <w:gridCol w:w="2634"/>
        <w:gridCol w:w="2983"/>
        <w:gridCol w:w="2992"/>
        <w:gridCol w:w="2981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6"/>
        <w:gridCol w:w="2952"/>
        <w:gridCol w:w="5738"/>
        <w:gridCol w:w="289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950"/>
        <w:gridCol w:w="3502"/>
        <w:gridCol w:w="3731"/>
        <w:gridCol w:w="3726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9"/>
          <w:headerReference w:type="first" r:id="rId10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размещено </w:t>
      </w:r>
      <w:r w:rsidR="00977F52">
        <w:rPr>
          <w:rFonts w:ascii="Times New Roman" w:hAnsi="Times New Roman" w:cs="Times New Roman"/>
          <w:sz w:val="28"/>
          <w:szCs w:val="28"/>
        </w:rPr>
        <w:t>09.06.2018</w:t>
      </w:r>
      <w:r w:rsidRPr="00C1583A">
        <w:rPr>
          <w:rFonts w:ascii="Times New Roman" w:hAnsi="Times New Roman" w:cs="Times New Roman"/>
          <w:sz w:val="28"/>
          <w:szCs w:val="28"/>
        </w:rPr>
        <w:t xml:space="preserve"> и доступно в сети Интернет по следующему адресу: </w:t>
      </w:r>
      <w:r w:rsidR="00645B45" w:rsidRPr="00645B45">
        <w:rPr>
          <w:rFonts w:ascii="Times New Roman" w:hAnsi="Times New Roman" w:cs="Times New Roman"/>
          <w:sz w:val="28"/>
          <w:szCs w:val="28"/>
        </w:rPr>
        <w:t>http://kochenevo.nso.ru/page/4949</w:t>
      </w:r>
      <w:r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977F52">
        <w:rPr>
          <w:rFonts w:ascii="Times New Roman" w:hAnsi="Times New Roman" w:cs="Times New Roman"/>
          <w:sz w:val="28"/>
          <w:szCs w:val="28"/>
        </w:rPr>
        <w:t xml:space="preserve">09.06.2018 </w:t>
      </w:r>
      <w:r w:rsidRPr="00C1583A">
        <w:rPr>
          <w:rFonts w:ascii="Times New Roman" w:hAnsi="Times New Roman" w:cs="Times New Roman"/>
          <w:sz w:val="28"/>
          <w:szCs w:val="28"/>
        </w:rPr>
        <w:t xml:space="preserve">по </w:t>
      </w:r>
      <w:r w:rsidR="00977F52">
        <w:rPr>
          <w:rFonts w:ascii="Times New Roman" w:hAnsi="Times New Roman" w:cs="Times New Roman"/>
          <w:sz w:val="28"/>
          <w:szCs w:val="28"/>
        </w:rPr>
        <w:t>26.06.2018</w:t>
      </w:r>
      <w:r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645B45" w:rsidRDefault="00977F5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645B45">
        <w:rPr>
          <w:rFonts w:ascii="Times New Roman" w:hAnsi="Times New Roman" w:cs="Times New Roman"/>
          <w:sz w:val="28"/>
          <w:szCs w:val="28"/>
        </w:rPr>
        <w:t>предложения не поступали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9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  <w:r w:rsidR="00977F52">
        <w:rPr>
          <w:rFonts w:ascii="Times New Roman" w:hAnsi="Times New Roman" w:cs="Times New Roman"/>
          <w:sz w:val="28"/>
          <w:szCs w:val="28"/>
        </w:rPr>
        <w:t xml:space="preserve">09.06.2018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по </w:t>
      </w:r>
      <w:r w:rsidR="00977F52">
        <w:rPr>
          <w:rFonts w:ascii="Times New Roman" w:hAnsi="Times New Roman" w:cs="Times New Roman"/>
          <w:sz w:val="28"/>
          <w:szCs w:val="28"/>
        </w:rPr>
        <w:t>26.06.2018</w:t>
      </w:r>
      <w:r w:rsidR="00977F52"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1583A" w:rsidRPr="00C1583A" w:rsidRDefault="0061041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Коченевского района, ООО «Компания Русский двор», </w:t>
      </w:r>
      <w:r w:rsidR="004D3BF5">
        <w:rPr>
          <w:rFonts w:ascii="Times New Roman" w:hAnsi="Times New Roman" w:cs="Times New Roman"/>
          <w:sz w:val="28"/>
          <w:szCs w:val="28"/>
        </w:rPr>
        <w:t xml:space="preserve">ООО «Колос», Киреева М.К.- уполномоченная по правам предпринимателей. 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C1583A" w:rsidRPr="00C1583A" w:rsidRDefault="004D3BF5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не поступало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3"/>
        <w:gridCol w:w="2658"/>
        <w:gridCol w:w="3080"/>
        <w:gridCol w:w="3546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  <w:tc>
          <w:tcPr>
            <w:tcW w:w="4394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  <w:tc>
          <w:tcPr>
            <w:tcW w:w="5529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bookmarkStart w:id="10" w:name="_GoBack"/>
      <w:bookmarkEnd w:id="10"/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>
        <w:t>Крылова И.М.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CA5BD6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29</w:t>
      </w:r>
      <w:r w:rsidR="00DA3ED7">
        <w:t>.06.2018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E1" w:rsidRDefault="00583DE1" w:rsidP="00C1583A">
      <w:r>
        <w:separator/>
      </w:r>
    </w:p>
  </w:endnote>
  <w:endnote w:type="continuationSeparator" w:id="0">
    <w:p w:rsidR="00583DE1" w:rsidRDefault="00583DE1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D6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E1" w:rsidRDefault="00583DE1" w:rsidP="00C1583A">
      <w:r>
        <w:separator/>
      </w:r>
    </w:p>
  </w:footnote>
  <w:footnote w:type="continuationSeparator" w:id="0">
    <w:p w:rsidR="00583DE1" w:rsidRDefault="00583DE1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3A"/>
    <w:rsid w:val="0011439B"/>
    <w:rsid w:val="00164BC5"/>
    <w:rsid w:val="00273C54"/>
    <w:rsid w:val="002A1B6C"/>
    <w:rsid w:val="00372F4E"/>
    <w:rsid w:val="004309B7"/>
    <w:rsid w:val="004309CA"/>
    <w:rsid w:val="004D3BF5"/>
    <w:rsid w:val="005540A5"/>
    <w:rsid w:val="00581CBE"/>
    <w:rsid w:val="00583DE1"/>
    <w:rsid w:val="0061041A"/>
    <w:rsid w:val="006403FC"/>
    <w:rsid w:val="00645B45"/>
    <w:rsid w:val="006D7D6C"/>
    <w:rsid w:val="00721F7D"/>
    <w:rsid w:val="008249A4"/>
    <w:rsid w:val="008942A8"/>
    <w:rsid w:val="00977F52"/>
    <w:rsid w:val="00A050D7"/>
    <w:rsid w:val="00A81E04"/>
    <w:rsid w:val="00AD2FB8"/>
    <w:rsid w:val="00B0191C"/>
    <w:rsid w:val="00B1478D"/>
    <w:rsid w:val="00B82A95"/>
    <w:rsid w:val="00BA7600"/>
    <w:rsid w:val="00C1583A"/>
    <w:rsid w:val="00CA5BD6"/>
    <w:rsid w:val="00D259D1"/>
    <w:rsid w:val="00D62BEF"/>
    <w:rsid w:val="00D85821"/>
    <w:rsid w:val="00DA14B1"/>
    <w:rsid w:val="00DA3ED7"/>
    <w:rsid w:val="00DE157E"/>
    <w:rsid w:val="00E830BC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5</cp:revision>
  <dcterms:created xsi:type="dcterms:W3CDTF">2018-06-28T04:11:00Z</dcterms:created>
  <dcterms:modified xsi:type="dcterms:W3CDTF">2018-07-20T07:40:00Z</dcterms:modified>
</cp:coreProperties>
</file>