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057AB9" w:rsidRDefault="00791515" w:rsidP="00975481">
      <w:pPr>
        <w:pStyle w:val="a8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057AB9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057AB9" w:rsidRDefault="00FA202F" w:rsidP="00975481">
      <w:pPr>
        <w:pStyle w:val="a8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057AB9" w:rsidRDefault="009A785B" w:rsidP="00975481">
      <w:pPr>
        <w:pStyle w:val="a8"/>
        <w:widowControl w:val="0"/>
        <w:jc w:val="center"/>
        <w:rPr>
          <w:b/>
          <w:bCs/>
        </w:rPr>
      </w:pPr>
      <w:r w:rsidRPr="00057AB9">
        <w:rPr>
          <w:b/>
          <w:bCs/>
        </w:rPr>
        <w:t>ПРАВИТЕЛЬСТВО</w:t>
      </w:r>
      <w:r w:rsidR="00680B0B" w:rsidRPr="00057AB9">
        <w:rPr>
          <w:b/>
          <w:bCs/>
        </w:rPr>
        <w:t xml:space="preserve"> </w:t>
      </w:r>
      <w:r w:rsidR="00FA202F" w:rsidRPr="00057AB9">
        <w:rPr>
          <w:b/>
          <w:bCs/>
        </w:rPr>
        <w:t>НОВОСИБИРСКОЙ ОБЛАСТИ</w:t>
      </w:r>
    </w:p>
    <w:p w:rsidR="00333721" w:rsidRPr="00057AB9" w:rsidRDefault="00333721" w:rsidP="00975481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057AB9" w:rsidRDefault="001A1DD7" w:rsidP="00975481">
      <w:pPr>
        <w:pStyle w:val="11"/>
        <w:keepNext w:val="0"/>
        <w:widowControl w:val="0"/>
        <w:rPr>
          <w:sz w:val="36"/>
          <w:szCs w:val="36"/>
        </w:rPr>
      </w:pPr>
      <w:r w:rsidRPr="00057AB9">
        <w:rPr>
          <w:sz w:val="36"/>
          <w:szCs w:val="36"/>
        </w:rPr>
        <w:t>ПОСТАНОВЛ</w:t>
      </w:r>
      <w:r w:rsidR="005E5230" w:rsidRPr="00057AB9">
        <w:rPr>
          <w:sz w:val="36"/>
          <w:szCs w:val="36"/>
        </w:rPr>
        <w:t>ЕНИЕ</w:t>
      </w:r>
    </w:p>
    <w:p w:rsidR="00FA202F" w:rsidRPr="00057AB9" w:rsidRDefault="00FA202F" w:rsidP="00975481">
      <w:pPr>
        <w:widowControl w:val="0"/>
        <w:jc w:val="both"/>
        <w:rPr>
          <w:sz w:val="28"/>
          <w:szCs w:val="28"/>
        </w:rPr>
      </w:pPr>
    </w:p>
    <w:p w:rsidR="009C65E4" w:rsidRPr="00057AB9" w:rsidRDefault="009C65E4" w:rsidP="00975481">
      <w:pPr>
        <w:widowControl w:val="0"/>
        <w:jc w:val="both"/>
        <w:rPr>
          <w:sz w:val="28"/>
          <w:szCs w:val="28"/>
        </w:rPr>
      </w:pPr>
    </w:p>
    <w:p w:rsidR="002F699B" w:rsidRPr="00057AB9" w:rsidRDefault="00F41A47" w:rsidP="00975481">
      <w:pPr>
        <w:widowControl w:val="0"/>
        <w:jc w:val="center"/>
        <w:rPr>
          <w:sz w:val="28"/>
          <w:szCs w:val="28"/>
        </w:rPr>
      </w:pPr>
      <w:r w:rsidRPr="00F41A47">
        <w:rPr>
          <w:sz w:val="28"/>
          <w:szCs w:val="28"/>
        </w:rPr>
        <w:t>от 28.06.2022  № 292-п</w:t>
      </w:r>
    </w:p>
    <w:p w:rsidR="006B71F2" w:rsidRPr="00057AB9" w:rsidRDefault="006B71F2" w:rsidP="00975481">
      <w:pPr>
        <w:widowControl w:val="0"/>
        <w:jc w:val="both"/>
        <w:rPr>
          <w:sz w:val="28"/>
          <w:szCs w:val="28"/>
        </w:rPr>
      </w:pPr>
    </w:p>
    <w:p w:rsidR="0020595F" w:rsidRPr="00057AB9" w:rsidRDefault="006179C5" w:rsidP="00975481">
      <w:pPr>
        <w:widowControl w:val="0"/>
        <w:jc w:val="center"/>
        <w:rPr>
          <w:sz w:val="24"/>
          <w:szCs w:val="24"/>
        </w:rPr>
      </w:pPr>
      <w:r w:rsidRPr="00057AB9">
        <w:rPr>
          <w:sz w:val="24"/>
          <w:szCs w:val="24"/>
        </w:rPr>
        <w:t>г. Новосибирск</w:t>
      </w:r>
    </w:p>
    <w:p w:rsidR="00B87CE2" w:rsidRDefault="00B87CE2" w:rsidP="00975481">
      <w:pPr>
        <w:widowControl w:val="0"/>
        <w:jc w:val="center"/>
        <w:rPr>
          <w:sz w:val="28"/>
          <w:szCs w:val="28"/>
        </w:rPr>
      </w:pPr>
    </w:p>
    <w:p w:rsidR="001F7B63" w:rsidRPr="001F7B63" w:rsidRDefault="001F7B63" w:rsidP="001F7B63">
      <w:pPr>
        <w:jc w:val="center"/>
        <w:rPr>
          <w:sz w:val="28"/>
          <w:szCs w:val="28"/>
        </w:rPr>
      </w:pPr>
      <w:r w:rsidRPr="001F7B63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 w:rsidRPr="001F7B63">
        <w:rPr>
          <w:color w:val="000000"/>
          <w:sz w:val="28"/>
          <w:szCs w:val="28"/>
        </w:rPr>
        <w:t>от 30.12.2021 № 576-п</w:t>
      </w:r>
    </w:p>
    <w:p w:rsidR="001F7B63" w:rsidRPr="001F7B63" w:rsidRDefault="001F7B63" w:rsidP="001F7B63">
      <w:pPr>
        <w:autoSpaceDE/>
        <w:jc w:val="center"/>
        <w:rPr>
          <w:sz w:val="28"/>
          <w:szCs w:val="28"/>
        </w:rPr>
      </w:pPr>
    </w:p>
    <w:p w:rsidR="001F7B63" w:rsidRPr="001F7B63" w:rsidRDefault="001F7B63" w:rsidP="001F7B63">
      <w:pPr>
        <w:autoSpaceDE/>
        <w:jc w:val="center"/>
        <w:rPr>
          <w:sz w:val="28"/>
          <w:szCs w:val="28"/>
        </w:rPr>
      </w:pP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 xml:space="preserve">Правительство Новосибирской области </w:t>
      </w:r>
      <w:r w:rsidR="004636DF" w:rsidRPr="004636DF">
        <w:rPr>
          <w:sz w:val="28"/>
          <w:szCs w:val="28"/>
        </w:rPr>
        <w:t xml:space="preserve"> </w:t>
      </w:r>
      <w:r w:rsidRPr="001F7B63">
        <w:rPr>
          <w:b/>
          <w:sz w:val="28"/>
          <w:szCs w:val="28"/>
        </w:rPr>
        <w:t>п о с т а н о в л я е т</w:t>
      </w:r>
      <w:r w:rsidRPr="001F7B63">
        <w:rPr>
          <w:sz w:val="28"/>
          <w:szCs w:val="28"/>
        </w:rPr>
        <w:t>: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 xml:space="preserve">Внести в постановление Правительства Новосибирской области </w:t>
      </w:r>
      <w:r w:rsidRPr="001F7B63">
        <w:rPr>
          <w:color w:val="000000"/>
          <w:sz w:val="28"/>
          <w:szCs w:val="28"/>
        </w:rPr>
        <w:t>от 30.12.2021 № 576-п «</w:t>
      </w:r>
      <w:r w:rsidRPr="001F7B63">
        <w:rPr>
          <w:sz w:val="28"/>
          <w:szCs w:val="28"/>
        </w:rPr>
        <w:t>Об утверждении государственной программы Новосибирской области «Развитие туризма в Новосибирской области» (далее – постановление) следующие изменения: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color w:val="000000"/>
          <w:sz w:val="28"/>
          <w:szCs w:val="28"/>
        </w:rPr>
        <w:t>1.</w:t>
      </w:r>
      <w:r w:rsidR="004636DF">
        <w:rPr>
          <w:sz w:val="28"/>
          <w:szCs w:val="28"/>
        </w:rPr>
        <w:t> В приложении № </w:t>
      </w:r>
      <w:r w:rsidRPr="001F7B63">
        <w:rPr>
          <w:sz w:val="28"/>
          <w:szCs w:val="28"/>
        </w:rPr>
        <w:t>4 «Порядок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на реализацию мероприятий по созданию условий для развития сферы туризма, инфраструктуры досуга и отдыха на</w:t>
      </w:r>
      <w:r w:rsidR="004636DF">
        <w:rPr>
          <w:sz w:val="28"/>
          <w:szCs w:val="28"/>
        </w:rPr>
        <w:t> </w:t>
      </w:r>
      <w:r w:rsidRPr="001F7B63">
        <w:rPr>
          <w:sz w:val="28"/>
          <w:szCs w:val="28"/>
        </w:rPr>
        <w:t>территориях муниципальных образований Новосибирской области в рамках государственной программы Новосибирской области «Развитие туризма в</w:t>
      </w:r>
      <w:r w:rsidR="004636DF">
        <w:rPr>
          <w:sz w:val="28"/>
          <w:szCs w:val="28"/>
        </w:rPr>
        <w:t> </w:t>
      </w:r>
      <w:r w:rsidRPr="001F7B63">
        <w:rPr>
          <w:sz w:val="28"/>
          <w:szCs w:val="28"/>
        </w:rPr>
        <w:t>Новосибирской области» к государственной программе Новосибирской области «Развитие туризма в Новосибирской области»:</w:t>
      </w:r>
    </w:p>
    <w:p w:rsidR="001F7B63" w:rsidRPr="001F7B63" w:rsidRDefault="001F7B63" w:rsidP="001F7B63">
      <w:pPr>
        <w:autoSpaceDE/>
        <w:ind w:firstLine="709"/>
        <w:jc w:val="both"/>
        <w:rPr>
          <w:rFonts w:eastAsia="Arial"/>
          <w:sz w:val="28"/>
          <w:szCs w:val="28"/>
        </w:rPr>
      </w:pPr>
      <w:r w:rsidRPr="001F7B63">
        <w:rPr>
          <w:rFonts w:eastAsia="Arial"/>
          <w:sz w:val="28"/>
          <w:szCs w:val="28"/>
        </w:rPr>
        <w:t xml:space="preserve">1) пункт 4 дополнить </w:t>
      </w:r>
      <w:r w:rsidRPr="001F7B63">
        <w:rPr>
          <w:sz w:val="28"/>
          <w:szCs w:val="28"/>
        </w:rPr>
        <w:t>абзацем следующего содержания: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rFonts w:eastAsia="Arial"/>
          <w:sz w:val="28"/>
          <w:szCs w:val="28"/>
        </w:rPr>
        <w:t>«Органы местного самоуправления вправе передавать субсидии в бюджеты поселений, расположенных в границах соответствующих муниципальных районов, в соответствии с порядком определения объема и условиями предоставления указанных субсидий, установленным администрацией муниципального образования, на цели, определенные настоящим Порядком.»;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2) в пункте 5: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а) в абзацах третьем – шестом слова «муниципального района» исключить;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б) в абзаце седьмом после слов «благоустройство объектов,» дополнить словами «находящихся в муниципальной собственности,»;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в) в абзацах девятом и десятом слова «муниципального района» исключить;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г) в абзаце одиннадцатом после слов «благоустройство объектов,» дополнить словами «находящихся в муниципальной собственности,»;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3) абзац первый пункта 8 признать утратившим силу;</w:t>
      </w:r>
    </w:p>
    <w:p w:rsidR="001F7B63" w:rsidRPr="001F7B63" w:rsidRDefault="004636DF" w:rsidP="001F7B63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1F7B63" w:rsidRPr="001F7B63">
        <w:rPr>
          <w:sz w:val="28"/>
          <w:szCs w:val="28"/>
        </w:rPr>
        <w:t>пункт 9 изложить в следующей редакции: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lastRenderedPageBreak/>
        <w:t>«9. Объявление о проведении конкурсного отбора с указанием сроков его проведения (даты и времени начала (окончания) подачи (приема) заявок) размещается в информационно-телекоммуникационной сети «Интернет» на</w:t>
      </w:r>
      <w:r w:rsidR="004636DF">
        <w:rPr>
          <w:sz w:val="28"/>
          <w:szCs w:val="28"/>
        </w:rPr>
        <w:t> </w:t>
      </w:r>
      <w:r w:rsidRPr="001F7B63">
        <w:rPr>
          <w:sz w:val="28"/>
          <w:szCs w:val="28"/>
        </w:rPr>
        <w:t>официальном сайте МЭР НСО (http://econom.nso.ru).»;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5) в пункте 10: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а) абзац се</w:t>
      </w:r>
      <w:r w:rsidR="004636DF">
        <w:rPr>
          <w:sz w:val="28"/>
          <w:szCs w:val="28"/>
        </w:rPr>
        <w:t>дьмой признать утратившим силу;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б) после абзаца седьмого дополнить абзацем следующего содержания: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«7) документ, подтверждающий право собственности на земельный участок, на котором предполагается реализация проекта. При наличии зарегистрированного права собственности у муниципального образования Новосибирской области на</w:t>
      </w:r>
      <w:r w:rsidR="004636DF">
        <w:rPr>
          <w:sz w:val="28"/>
          <w:szCs w:val="28"/>
        </w:rPr>
        <w:t> </w:t>
      </w:r>
      <w:r w:rsidRPr="001F7B63">
        <w:rPr>
          <w:sz w:val="28"/>
          <w:szCs w:val="28"/>
        </w:rPr>
        <w:t>такой земельный участок муниципальное образование Новосибирской области вправе предоставить его кадастровый номер, на основании которого МЭР НСО запрашивает полную информацию относительно земельного участка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взаимодействия.»;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6) в пункте 13 слова «сопроводительного письма» заменить словами «заявки с сопроводительным письмом»;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7) пункт 15 изложить в следующей редакции: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«15. Конкурсная комиссия осуществляет оценку допущенных к отбору заявок в течение десяти рабочих дней со дня поступления заявок от МЭР НСО в</w:t>
      </w:r>
      <w:r w:rsidR="004636DF">
        <w:rPr>
          <w:sz w:val="28"/>
          <w:szCs w:val="28"/>
        </w:rPr>
        <w:t> </w:t>
      </w:r>
      <w:r w:rsidRPr="001F7B63">
        <w:rPr>
          <w:sz w:val="28"/>
          <w:szCs w:val="28"/>
        </w:rPr>
        <w:t>соответствии с критериями оценки (согласно таблице)</w:t>
      </w:r>
      <w:r w:rsidR="009F26BF" w:rsidRPr="009F26BF">
        <w:rPr>
          <w:sz w:val="28"/>
          <w:szCs w:val="28"/>
        </w:rPr>
        <w:t>,</w:t>
      </w:r>
      <w:r w:rsidRPr="001F7B63">
        <w:rPr>
          <w:sz w:val="28"/>
          <w:szCs w:val="28"/>
        </w:rPr>
        <w:t xml:space="preserve"> присуждает рейтинг и</w:t>
      </w:r>
      <w:r w:rsidR="004636DF">
        <w:rPr>
          <w:sz w:val="28"/>
          <w:szCs w:val="28"/>
        </w:rPr>
        <w:t> </w:t>
      </w:r>
      <w:r w:rsidRPr="001F7B63">
        <w:rPr>
          <w:sz w:val="28"/>
          <w:szCs w:val="28"/>
        </w:rPr>
        <w:t>составляет рекомендации по определению победителей отбора.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Подсчет рейтинга для каждой заявки осуществляется членами конкурсной комиссии по каждому из критериев по 3-балльной шкале с занесением данных в оценочную ведомость.</w:t>
      </w:r>
    </w:p>
    <w:p w:rsidR="001F7B63" w:rsidRPr="001F7B63" w:rsidRDefault="001F7B63" w:rsidP="00386EBD">
      <w:pPr>
        <w:jc w:val="right"/>
        <w:rPr>
          <w:sz w:val="28"/>
          <w:szCs w:val="28"/>
        </w:rPr>
      </w:pPr>
    </w:p>
    <w:p w:rsidR="001F7B63" w:rsidRPr="001F7B63" w:rsidRDefault="001F7B63" w:rsidP="001F7B63">
      <w:pPr>
        <w:ind w:firstLine="709"/>
        <w:jc w:val="right"/>
        <w:rPr>
          <w:sz w:val="28"/>
          <w:szCs w:val="28"/>
        </w:rPr>
      </w:pPr>
      <w:r w:rsidRPr="001F7B63">
        <w:rPr>
          <w:sz w:val="28"/>
          <w:szCs w:val="28"/>
        </w:rPr>
        <w:t>Таблица</w:t>
      </w:r>
    </w:p>
    <w:p w:rsidR="001F7B63" w:rsidRPr="001F7B63" w:rsidRDefault="001F7B63" w:rsidP="001F7B63">
      <w:pPr>
        <w:ind w:firstLine="709"/>
        <w:jc w:val="right"/>
        <w:rPr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037"/>
        <w:gridCol w:w="4179"/>
      </w:tblGrid>
      <w:tr w:rsidR="001F7B63" w:rsidRPr="001F7B63" w:rsidTr="00D2089C">
        <w:tc>
          <w:tcPr>
            <w:tcW w:w="707" w:type="dxa"/>
            <w:hideMark/>
          </w:tcPr>
          <w:p w:rsidR="001F7B63" w:rsidRPr="001F7B63" w:rsidRDefault="001F7B63" w:rsidP="001F7B63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5037" w:type="dxa"/>
            <w:hideMark/>
          </w:tcPr>
          <w:p w:rsidR="001F7B63" w:rsidRPr="001F7B63" w:rsidRDefault="001F7B63" w:rsidP="001F7B63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4179" w:type="dxa"/>
            <w:hideMark/>
          </w:tcPr>
          <w:p w:rsidR="001F7B63" w:rsidRPr="001F7B63" w:rsidRDefault="001F7B63" w:rsidP="001F7B63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Количество баллов</w:t>
            </w:r>
          </w:p>
        </w:tc>
      </w:tr>
      <w:tr w:rsidR="001F7B63" w:rsidRPr="001F7B63" w:rsidTr="00D2089C">
        <w:tc>
          <w:tcPr>
            <w:tcW w:w="707" w:type="dxa"/>
            <w:vMerge w:val="restart"/>
            <w:hideMark/>
          </w:tcPr>
          <w:p w:rsidR="001F7B63" w:rsidRPr="001F7B63" w:rsidRDefault="001F7B63" w:rsidP="001F7B63">
            <w:pPr>
              <w:jc w:val="center"/>
              <w:rPr>
                <w:sz w:val="28"/>
                <w:szCs w:val="28"/>
                <w:lang w:val="en-US"/>
              </w:rPr>
            </w:pPr>
            <w:r w:rsidRPr="001F7B6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216" w:type="dxa"/>
            <w:gridSpan w:val="2"/>
            <w:hideMark/>
          </w:tcPr>
          <w:p w:rsidR="001F7B63" w:rsidRPr="001F7B63" w:rsidRDefault="001F7B63" w:rsidP="001F7B63">
            <w:pPr>
              <w:jc w:val="both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Наличие туристических объектов, расположенных вблизи проекта</w:t>
            </w:r>
          </w:p>
        </w:tc>
      </w:tr>
      <w:tr w:rsidR="001F7B63" w:rsidRPr="001F7B63" w:rsidTr="00D2089C">
        <w:tc>
          <w:tcPr>
            <w:tcW w:w="0" w:type="auto"/>
            <w:vMerge/>
            <w:vAlign w:val="center"/>
            <w:hideMark/>
          </w:tcPr>
          <w:p w:rsidR="001F7B63" w:rsidRPr="001F7B63" w:rsidRDefault="001F7B63" w:rsidP="001F7B63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5037" w:type="dxa"/>
            <w:hideMark/>
          </w:tcPr>
          <w:p w:rsidR="001F7B63" w:rsidRPr="001F7B63" w:rsidRDefault="001F7B63" w:rsidP="001F7B63">
            <w:pPr>
              <w:jc w:val="both"/>
              <w:rPr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0</w:t>
            </w:r>
          </w:p>
        </w:tc>
        <w:tc>
          <w:tcPr>
            <w:tcW w:w="4179" w:type="dxa"/>
            <w:hideMark/>
          </w:tcPr>
          <w:p w:rsidR="001F7B63" w:rsidRPr="001F7B63" w:rsidRDefault="001F7B63" w:rsidP="001F7B63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0</w:t>
            </w:r>
          </w:p>
        </w:tc>
      </w:tr>
      <w:tr w:rsidR="001F7B63" w:rsidRPr="001F7B63" w:rsidTr="00D2089C">
        <w:tc>
          <w:tcPr>
            <w:tcW w:w="0" w:type="auto"/>
            <w:vMerge/>
            <w:vAlign w:val="center"/>
            <w:hideMark/>
          </w:tcPr>
          <w:p w:rsidR="001F7B63" w:rsidRPr="001F7B63" w:rsidRDefault="001F7B63" w:rsidP="001F7B63">
            <w:pPr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5037" w:type="dxa"/>
            <w:hideMark/>
          </w:tcPr>
          <w:p w:rsidR="001F7B63" w:rsidRPr="001F7B63" w:rsidRDefault="001F7B63" w:rsidP="001F7B63">
            <w:pPr>
              <w:jc w:val="both"/>
              <w:rPr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1</w:t>
            </w:r>
          </w:p>
        </w:tc>
        <w:tc>
          <w:tcPr>
            <w:tcW w:w="4179" w:type="dxa"/>
            <w:hideMark/>
          </w:tcPr>
          <w:p w:rsidR="001F7B63" w:rsidRPr="001F7B63" w:rsidRDefault="001F7B63" w:rsidP="001F7B63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1</w:t>
            </w:r>
          </w:p>
        </w:tc>
      </w:tr>
      <w:tr w:rsidR="001F7B63" w:rsidRPr="001F7B63" w:rsidTr="00D2089C">
        <w:tc>
          <w:tcPr>
            <w:tcW w:w="0" w:type="auto"/>
            <w:vMerge/>
            <w:vAlign w:val="center"/>
            <w:hideMark/>
          </w:tcPr>
          <w:p w:rsidR="001F7B63" w:rsidRPr="001F7B63" w:rsidRDefault="001F7B63" w:rsidP="001F7B63">
            <w:pPr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5037" w:type="dxa"/>
            <w:hideMark/>
          </w:tcPr>
          <w:p w:rsidR="001F7B63" w:rsidRPr="001F7B63" w:rsidRDefault="001F7B63" w:rsidP="001F7B63">
            <w:pPr>
              <w:jc w:val="both"/>
              <w:rPr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2–3</w:t>
            </w:r>
          </w:p>
        </w:tc>
        <w:tc>
          <w:tcPr>
            <w:tcW w:w="4179" w:type="dxa"/>
            <w:hideMark/>
          </w:tcPr>
          <w:p w:rsidR="001F7B63" w:rsidRPr="001F7B63" w:rsidRDefault="001F7B63" w:rsidP="001F7B63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2</w:t>
            </w:r>
          </w:p>
        </w:tc>
      </w:tr>
      <w:tr w:rsidR="001F7B63" w:rsidRPr="001F7B63" w:rsidTr="00D2089C">
        <w:tc>
          <w:tcPr>
            <w:tcW w:w="0" w:type="auto"/>
            <w:vMerge/>
            <w:vAlign w:val="center"/>
            <w:hideMark/>
          </w:tcPr>
          <w:p w:rsidR="001F7B63" w:rsidRPr="001F7B63" w:rsidRDefault="001F7B63" w:rsidP="001F7B63">
            <w:pPr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5037" w:type="dxa"/>
            <w:hideMark/>
          </w:tcPr>
          <w:p w:rsidR="001F7B63" w:rsidRPr="001F7B63" w:rsidRDefault="001F7B63" w:rsidP="001F7B63">
            <w:pPr>
              <w:jc w:val="both"/>
              <w:rPr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более 3</w:t>
            </w:r>
          </w:p>
        </w:tc>
        <w:tc>
          <w:tcPr>
            <w:tcW w:w="4179" w:type="dxa"/>
            <w:hideMark/>
          </w:tcPr>
          <w:p w:rsidR="001F7B63" w:rsidRPr="001F7B63" w:rsidRDefault="001F7B63" w:rsidP="001F7B63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3</w:t>
            </w:r>
          </w:p>
        </w:tc>
      </w:tr>
      <w:tr w:rsidR="001F7B63" w:rsidRPr="001F7B63" w:rsidTr="00D2089C">
        <w:tc>
          <w:tcPr>
            <w:tcW w:w="707" w:type="dxa"/>
            <w:vMerge w:val="restart"/>
            <w:hideMark/>
          </w:tcPr>
          <w:p w:rsidR="001F7B63" w:rsidRPr="001F7B63" w:rsidRDefault="001F7B63" w:rsidP="001F7B63">
            <w:pPr>
              <w:jc w:val="center"/>
              <w:rPr>
                <w:sz w:val="28"/>
                <w:szCs w:val="28"/>
                <w:lang w:val="en-US"/>
              </w:rPr>
            </w:pPr>
            <w:r w:rsidRPr="001F7B6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216" w:type="dxa"/>
            <w:gridSpan w:val="2"/>
            <w:hideMark/>
          </w:tcPr>
          <w:p w:rsidR="001F7B63" w:rsidRPr="001F7B63" w:rsidRDefault="001F7B63" w:rsidP="00D2089C">
            <w:pPr>
              <w:jc w:val="both"/>
              <w:rPr>
                <w:spacing w:val="2"/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Увеличение числа созданных, отремонтированных, реконструированных или благоустроенных объектов в результате реализации проекта</w:t>
            </w:r>
          </w:p>
        </w:tc>
      </w:tr>
      <w:tr w:rsidR="001F7B63" w:rsidRPr="001F7B63" w:rsidTr="00D2089C">
        <w:tc>
          <w:tcPr>
            <w:tcW w:w="0" w:type="auto"/>
            <w:vMerge/>
            <w:vAlign w:val="center"/>
            <w:hideMark/>
          </w:tcPr>
          <w:p w:rsidR="001F7B63" w:rsidRPr="001F7B63" w:rsidRDefault="001F7B63" w:rsidP="001F7B63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5037" w:type="dxa"/>
            <w:hideMark/>
          </w:tcPr>
          <w:p w:rsidR="001F7B63" w:rsidRPr="001F7B63" w:rsidRDefault="001F7B63" w:rsidP="00114A8B">
            <w:pPr>
              <w:jc w:val="both"/>
              <w:rPr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0</w:t>
            </w:r>
          </w:p>
        </w:tc>
        <w:tc>
          <w:tcPr>
            <w:tcW w:w="4179" w:type="dxa"/>
            <w:hideMark/>
          </w:tcPr>
          <w:p w:rsidR="001F7B63" w:rsidRPr="001F7B63" w:rsidRDefault="001F7B63" w:rsidP="00114A8B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0</w:t>
            </w:r>
          </w:p>
        </w:tc>
      </w:tr>
      <w:tr w:rsidR="001F7B63" w:rsidRPr="001F7B63" w:rsidTr="00D2089C">
        <w:tc>
          <w:tcPr>
            <w:tcW w:w="0" w:type="auto"/>
            <w:vMerge/>
            <w:vAlign w:val="center"/>
            <w:hideMark/>
          </w:tcPr>
          <w:p w:rsidR="001F7B63" w:rsidRPr="001F7B63" w:rsidRDefault="001F7B63" w:rsidP="001F7B63">
            <w:pPr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5037" w:type="dxa"/>
            <w:hideMark/>
          </w:tcPr>
          <w:p w:rsidR="001F7B63" w:rsidRPr="001F7B63" w:rsidRDefault="001F7B63" w:rsidP="001F7B63">
            <w:pPr>
              <w:jc w:val="both"/>
              <w:rPr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1</w:t>
            </w:r>
          </w:p>
        </w:tc>
        <w:tc>
          <w:tcPr>
            <w:tcW w:w="4179" w:type="dxa"/>
            <w:hideMark/>
          </w:tcPr>
          <w:p w:rsidR="001F7B63" w:rsidRPr="001F7B63" w:rsidRDefault="001F7B63" w:rsidP="00114A8B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1</w:t>
            </w:r>
          </w:p>
        </w:tc>
      </w:tr>
      <w:tr w:rsidR="001F7B63" w:rsidRPr="001F7B63" w:rsidTr="00D2089C">
        <w:tc>
          <w:tcPr>
            <w:tcW w:w="0" w:type="auto"/>
            <w:vMerge/>
            <w:vAlign w:val="center"/>
            <w:hideMark/>
          </w:tcPr>
          <w:p w:rsidR="001F7B63" w:rsidRPr="001F7B63" w:rsidRDefault="001F7B63" w:rsidP="001F7B63">
            <w:pPr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5037" w:type="dxa"/>
            <w:hideMark/>
          </w:tcPr>
          <w:p w:rsidR="001F7B63" w:rsidRPr="001F7B63" w:rsidRDefault="001F7B63" w:rsidP="001F7B63">
            <w:pPr>
              <w:jc w:val="both"/>
              <w:rPr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2–3</w:t>
            </w:r>
          </w:p>
        </w:tc>
        <w:tc>
          <w:tcPr>
            <w:tcW w:w="4179" w:type="dxa"/>
            <w:hideMark/>
          </w:tcPr>
          <w:p w:rsidR="001F7B63" w:rsidRPr="001F7B63" w:rsidRDefault="001F7B63" w:rsidP="00114A8B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2</w:t>
            </w:r>
          </w:p>
        </w:tc>
      </w:tr>
      <w:tr w:rsidR="001F7B63" w:rsidRPr="001F7B63" w:rsidTr="00D2089C">
        <w:tc>
          <w:tcPr>
            <w:tcW w:w="0" w:type="auto"/>
            <w:vMerge/>
            <w:vAlign w:val="center"/>
            <w:hideMark/>
          </w:tcPr>
          <w:p w:rsidR="001F7B63" w:rsidRPr="001F7B63" w:rsidRDefault="001F7B63" w:rsidP="001F7B63">
            <w:pPr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5037" w:type="dxa"/>
            <w:hideMark/>
          </w:tcPr>
          <w:p w:rsidR="001F7B63" w:rsidRPr="001F7B63" w:rsidRDefault="001F7B63" w:rsidP="001F7B63">
            <w:pPr>
              <w:jc w:val="both"/>
              <w:rPr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более 3</w:t>
            </w:r>
          </w:p>
        </w:tc>
        <w:tc>
          <w:tcPr>
            <w:tcW w:w="4179" w:type="dxa"/>
            <w:hideMark/>
          </w:tcPr>
          <w:p w:rsidR="001F7B63" w:rsidRPr="001F7B63" w:rsidRDefault="001F7B63" w:rsidP="00114A8B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3</w:t>
            </w:r>
          </w:p>
        </w:tc>
      </w:tr>
      <w:tr w:rsidR="001F7B63" w:rsidRPr="001F7B63" w:rsidTr="00D2089C">
        <w:tc>
          <w:tcPr>
            <w:tcW w:w="707" w:type="dxa"/>
            <w:vMerge w:val="restart"/>
            <w:hideMark/>
          </w:tcPr>
          <w:p w:rsidR="001F7B63" w:rsidRPr="001F7B63" w:rsidRDefault="001F7B63" w:rsidP="00114A8B">
            <w:pPr>
              <w:jc w:val="center"/>
              <w:rPr>
                <w:sz w:val="28"/>
                <w:szCs w:val="28"/>
                <w:lang w:val="en-US"/>
              </w:rPr>
            </w:pPr>
            <w:r w:rsidRPr="001F7B6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216" w:type="dxa"/>
            <w:gridSpan w:val="2"/>
            <w:hideMark/>
          </w:tcPr>
          <w:p w:rsidR="001F7B63" w:rsidRPr="001F7B63" w:rsidRDefault="001F7B63" w:rsidP="001F7B63">
            <w:pPr>
              <w:jc w:val="both"/>
              <w:rPr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 xml:space="preserve">Соответствие проекта актуальным и перспективным видам туризма согласно Стратегии социально-экономического развития Новосибирской </w:t>
            </w:r>
            <w:r w:rsidRPr="001F7B63">
              <w:rPr>
                <w:sz w:val="28"/>
                <w:szCs w:val="28"/>
              </w:rPr>
              <w:lastRenderedPageBreak/>
              <w:t>области до 2030 года</w:t>
            </w:r>
          </w:p>
        </w:tc>
      </w:tr>
      <w:tr w:rsidR="001F7B63" w:rsidRPr="001F7B63" w:rsidTr="00D2089C">
        <w:tc>
          <w:tcPr>
            <w:tcW w:w="0" w:type="auto"/>
            <w:vMerge/>
            <w:vAlign w:val="center"/>
            <w:hideMark/>
          </w:tcPr>
          <w:p w:rsidR="001F7B63" w:rsidRPr="001F7B63" w:rsidRDefault="001F7B63" w:rsidP="001F7B63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5037" w:type="dxa"/>
            <w:hideMark/>
          </w:tcPr>
          <w:p w:rsidR="001F7B63" w:rsidRPr="001F7B63" w:rsidRDefault="001F7B63" w:rsidP="001F7B63">
            <w:pPr>
              <w:jc w:val="both"/>
              <w:rPr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не соответствует</w:t>
            </w:r>
          </w:p>
        </w:tc>
        <w:tc>
          <w:tcPr>
            <w:tcW w:w="4179" w:type="dxa"/>
            <w:hideMark/>
          </w:tcPr>
          <w:p w:rsidR="001F7B63" w:rsidRPr="001F7B63" w:rsidRDefault="001F7B63" w:rsidP="00114A8B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0</w:t>
            </w:r>
          </w:p>
        </w:tc>
      </w:tr>
      <w:tr w:rsidR="001F7B63" w:rsidRPr="001F7B63" w:rsidTr="00D2089C">
        <w:tc>
          <w:tcPr>
            <w:tcW w:w="0" w:type="auto"/>
            <w:vMerge/>
            <w:vAlign w:val="center"/>
            <w:hideMark/>
          </w:tcPr>
          <w:p w:rsidR="001F7B63" w:rsidRPr="001F7B63" w:rsidRDefault="001F7B63" w:rsidP="001F7B63">
            <w:pPr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5037" w:type="dxa"/>
            <w:hideMark/>
          </w:tcPr>
          <w:p w:rsidR="001F7B63" w:rsidRPr="001F7B63" w:rsidRDefault="001F7B63" w:rsidP="001F7B63">
            <w:pPr>
              <w:jc w:val="both"/>
              <w:rPr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соответствие одному виду</w:t>
            </w:r>
          </w:p>
        </w:tc>
        <w:tc>
          <w:tcPr>
            <w:tcW w:w="4179" w:type="dxa"/>
            <w:hideMark/>
          </w:tcPr>
          <w:p w:rsidR="001F7B63" w:rsidRPr="001F7B63" w:rsidRDefault="001F7B63" w:rsidP="00114A8B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1</w:t>
            </w:r>
          </w:p>
        </w:tc>
      </w:tr>
      <w:tr w:rsidR="001F7B63" w:rsidRPr="001F7B63" w:rsidTr="00D2089C">
        <w:tc>
          <w:tcPr>
            <w:tcW w:w="0" w:type="auto"/>
            <w:vMerge/>
            <w:vAlign w:val="center"/>
            <w:hideMark/>
          </w:tcPr>
          <w:p w:rsidR="001F7B63" w:rsidRPr="001F7B63" w:rsidRDefault="001F7B63" w:rsidP="001F7B63">
            <w:pPr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5037" w:type="dxa"/>
            <w:hideMark/>
          </w:tcPr>
          <w:p w:rsidR="001F7B63" w:rsidRPr="001F7B63" w:rsidRDefault="001F7B63" w:rsidP="001F7B63">
            <w:pPr>
              <w:jc w:val="both"/>
              <w:rPr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соответствие двум видам</w:t>
            </w:r>
          </w:p>
        </w:tc>
        <w:tc>
          <w:tcPr>
            <w:tcW w:w="4179" w:type="dxa"/>
            <w:hideMark/>
          </w:tcPr>
          <w:p w:rsidR="001F7B63" w:rsidRPr="001F7B63" w:rsidRDefault="001F7B63" w:rsidP="00114A8B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2</w:t>
            </w:r>
          </w:p>
        </w:tc>
      </w:tr>
      <w:tr w:rsidR="001F7B63" w:rsidRPr="001F7B63" w:rsidTr="00D2089C">
        <w:tc>
          <w:tcPr>
            <w:tcW w:w="0" w:type="auto"/>
            <w:vMerge/>
            <w:vAlign w:val="center"/>
            <w:hideMark/>
          </w:tcPr>
          <w:p w:rsidR="001F7B63" w:rsidRPr="001F7B63" w:rsidRDefault="001F7B63" w:rsidP="001F7B63">
            <w:pPr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5037" w:type="dxa"/>
            <w:hideMark/>
          </w:tcPr>
          <w:p w:rsidR="001F7B63" w:rsidRPr="001F7B63" w:rsidRDefault="001F7B63" w:rsidP="00D2089C">
            <w:pPr>
              <w:jc w:val="both"/>
              <w:rPr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соответствие более чем двум видам</w:t>
            </w:r>
          </w:p>
        </w:tc>
        <w:tc>
          <w:tcPr>
            <w:tcW w:w="4179" w:type="dxa"/>
            <w:hideMark/>
          </w:tcPr>
          <w:p w:rsidR="001F7B63" w:rsidRPr="001F7B63" w:rsidRDefault="001F7B63" w:rsidP="00114A8B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3</w:t>
            </w:r>
          </w:p>
        </w:tc>
      </w:tr>
      <w:tr w:rsidR="001F7B63" w:rsidRPr="001F7B63" w:rsidTr="00D2089C">
        <w:tc>
          <w:tcPr>
            <w:tcW w:w="707" w:type="dxa"/>
            <w:vMerge w:val="restart"/>
            <w:hideMark/>
          </w:tcPr>
          <w:p w:rsidR="001F7B63" w:rsidRPr="001F7B63" w:rsidRDefault="001F7B63" w:rsidP="00114A8B">
            <w:pPr>
              <w:jc w:val="center"/>
              <w:rPr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4</w:t>
            </w:r>
          </w:p>
        </w:tc>
        <w:tc>
          <w:tcPr>
            <w:tcW w:w="9216" w:type="dxa"/>
            <w:gridSpan w:val="2"/>
            <w:hideMark/>
          </w:tcPr>
          <w:p w:rsidR="001F7B63" w:rsidRPr="001F7B63" w:rsidRDefault="001F7B63" w:rsidP="00D2089C">
            <w:pPr>
              <w:jc w:val="both"/>
              <w:rPr>
                <w:spacing w:val="2"/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Наличие поручения или распоряжения Губернатора Новосибирской области</w:t>
            </w:r>
          </w:p>
        </w:tc>
      </w:tr>
      <w:tr w:rsidR="001F7B63" w:rsidRPr="001F7B63" w:rsidTr="00D2089C">
        <w:tc>
          <w:tcPr>
            <w:tcW w:w="0" w:type="auto"/>
            <w:vMerge/>
            <w:vAlign w:val="center"/>
            <w:hideMark/>
          </w:tcPr>
          <w:p w:rsidR="001F7B63" w:rsidRPr="001F7B63" w:rsidRDefault="001F7B63" w:rsidP="001F7B63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5037" w:type="dxa"/>
            <w:hideMark/>
          </w:tcPr>
          <w:p w:rsidR="001F7B63" w:rsidRPr="001F7B63" w:rsidRDefault="001F7B63" w:rsidP="001F7B63">
            <w:pPr>
              <w:jc w:val="both"/>
              <w:rPr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нет</w:t>
            </w:r>
          </w:p>
        </w:tc>
        <w:tc>
          <w:tcPr>
            <w:tcW w:w="4179" w:type="dxa"/>
            <w:hideMark/>
          </w:tcPr>
          <w:p w:rsidR="001F7B63" w:rsidRPr="001F7B63" w:rsidRDefault="001F7B63" w:rsidP="00114A8B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0</w:t>
            </w:r>
          </w:p>
        </w:tc>
      </w:tr>
      <w:tr w:rsidR="001F7B63" w:rsidRPr="001F7B63" w:rsidTr="00D2089C">
        <w:tc>
          <w:tcPr>
            <w:tcW w:w="0" w:type="auto"/>
            <w:vMerge/>
            <w:vAlign w:val="center"/>
            <w:hideMark/>
          </w:tcPr>
          <w:p w:rsidR="001F7B63" w:rsidRPr="001F7B63" w:rsidRDefault="001F7B63" w:rsidP="001F7B63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5037" w:type="dxa"/>
            <w:hideMark/>
          </w:tcPr>
          <w:p w:rsidR="001F7B63" w:rsidRPr="001F7B63" w:rsidRDefault="001F7B63" w:rsidP="001F7B63">
            <w:pPr>
              <w:jc w:val="both"/>
              <w:rPr>
                <w:sz w:val="28"/>
                <w:szCs w:val="28"/>
              </w:rPr>
            </w:pPr>
            <w:r w:rsidRPr="001F7B63">
              <w:rPr>
                <w:sz w:val="28"/>
                <w:szCs w:val="28"/>
              </w:rPr>
              <w:t>да</w:t>
            </w:r>
          </w:p>
        </w:tc>
        <w:tc>
          <w:tcPr>
            <w:tcW w:w="4179" w:type="dxa"/>
            <w:hideMark/>
          </w:tcPr>
          <w:p w:rsidR="001F7B63" w:rsidRPr="001F7B63" w:rsidRDefault="001F7B63" w:rsidP="00114A8B">
            <w:pPr>
              <w:jc w:val="center"/>
              <w:rPr>
                <w:spacing w:val="2"/>
                <w:sz w:val="28"/>
                <w:szCs w:val="28"/>
              </w:rPr>
            </w:pPr>
            <w:r w:rsidRPr="001F7B63">
              <w:rPr>
                <w:spacing w:val="2"/>
                <w:sz w:val="28"/>
                <w:szCs w:val="28"/>
              </w:rPr>
              <w:t>3</w:t>
            </w:r>
          </w:p>
        </w:tc>
      </w:tr>
    </w:tbl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В случае равенства голосов членов конкурсной комиссии более высокое место получает заявка, ранее зарегистрированная по дате и</w:t>
      </w:r>
      <w:r w:rsidR="00D2089C">
        <w:rPr>
          <w:sz w:val="28"/>
          <w:szCs w:val="28"/>
        </w:rPr>
        <w:t xml:space="preserve"> </w:t>
      </w:r>
      <w:r w:rsidRPr="001F7B63">
        <w:rPr>
          <w:sz w:val="28"/>
          <w:szCs w:val="28"/>
        </w:rPr>
        <w:t>времени.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При общей сумме поданных заявок, превышающей доведенные до МЭР НСО лимиты бюджетных обязательств, размер субсидии муниципальному образованию Новосибирской области на реализацию проекта устанавливается в следующем порядке: заявка с первым местом в рейтинге (с</w:t>
      </w:r>
      <w:r w:rsidR="00D2089C">
        <w:rPr>
          <w:sz w:val="28"/>
          <w:szCs w:val="28"/>
        </w:rPr>
        <w:t xml:space="preserve"> </w:t>
      </w:r>
      <w:r w:rsidRPr="001F7B63">
        <w:rPr>
          <w:sz w:val="28"/>
          <w:szCs w:val="28"/>
        </w:rPr>
        <w:t>наибольшим рейтингом) получает субсидию в запрашиваемых размерах; заявки, получившие второе и следующие места в рейтинге</w:t>
      </w:r>
      <w:r w:rsidR="00EA1858">
        <w:rPr>
          <w:sz w:val="28"/>
          <w:szCs w:val="28"/>
        </w:rPr>
        <w:t>,</w:t>
      </w:r>
      <w:r w:rsidRPr="001F7B63">
        <w:rPr>
          <w:sz w:val="28"/>
          <w:szCs w:val="28"/>
        </w:rPr>
        <w:t xml:space="preserve"> получают субсидию по</w:t>
      </w:r>
      <w:r w:rsidR="00D2089C">
        <w:rPr>
          <w:sz w:val="28"/>
          <w:szCs w:val="28"/>
        </w:rPr>
        <w:t xml:space="preserve"> </w:t>
      </w:r>
      <w:r w:rsidRPr="001F7B63">
        <w:rPr>
          <w:sz w:val="28"/>
          <w:szCs w:val="28"/>
        </w:rPr>
        <w:t>остаточному принципу, в соответствии с</w:t>
      </w:r>
      <w:r w:rsidR="00D2089C">
        <w:rPr>
          <w:sz w:val="28"/>
          <w:szCs w:val="28"/>
        </w:rPr>
        <w:t> </w:t>
      </w:r>
      <w:r w:rsidRPr="001F7B63">
        <w:rPr>
          <w:sz w:val="28"/>
          <w:szCs w:val="28"/>
        </w:rPr>
        <w:t>доведенными до МЭР</w:t>
      </w:r>
      <w:r w:rsidR="00D2089C">
        <w:rPr>
          <w:sz w:val="28"/>
          <w:szCs w:val="28"/>
        </w:rPr>
        <w:t xml:space="preserve"> </w:t>
      </w:r>
      <w:r w:rsidRPr="001F7B63">
        <w:rPr>
          <w:sz w:val="28"/>
          <w:szCs w:val="28"/>
        </w:rPr>
        <w:t>НСО лимитами бюджетных обязательств.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В случае если общая сумма поданных заявок не превышает доведенные до МЭР НСО лимиты бюджетных обязательств, размер субсидии устанавливается в запрашиваемых размерах.»;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8) абзац первый пункта 16 после слов «не прошедшим отбор» дополнить словами «(в случае если общая сумма баллов равна нулю)»;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9) в подпункте 2 пункта 20 слова «или с лицевых счетов муниципальных казенных учреждений, уполномоченных органами местного самоуправления» исключить;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10) абзац второй пункта 23 признать утратившим силу.</w:t>
      </w:r>
    </w:p>
    <w:p w:rsidR="001F7B63" w:rsidRPr="001F7B63" w:rsidRDefault="00D2089C" w:rsidP="001F7B63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приложении № </w:t>
      </w:r>
      <w:r w:rsidR="001F7B63" w:rsidRPr="001F7B63">
        <w:rPr>
          <w:sz w:val="28"/>
          <w:szCs w:val="28"/>
        </w:rPr>
        <w:t>2 к постановлению «Порядок предоставления грантов в</w:t>
      </w:r>
      <w:r>
        <w:rPr>
          <w:sz w:val="28"/>
          <w:szCs w:val="28"/>
        </w:rPr>
        <w:t> </w:t>
      </w:r>
      <w:r w:rsidR="001F7B63" w:rsidRPr="001F7B63">
        <w:rPr>
          <w:sz w:val="28"/>
          <w:szCs w:val="28"/>
        </w:rPr>
        <w:t>форме субсидий из областного бюджета Новосибирской области на</w:t>
      </w:r>
      <w:r>
        <w:rPr>
          <w:sz w:val="28"/>
          <w:szCs w:val="28"/>
        </w:rPr>
        <w:t> </w:t>
      </w:r>
      <w:r w:rsidR="001F7B63" w:rsidRPr="001F7B63">
        <w:rPr>
          <w:sz w:val="28"/>
          <w:szCs w:val="28"/>
        </w:rPr>
        <w:t>осуществление поддержки общественных и предпринимательских инициатив, направленных на развитие внутреннего и въездного туризма на территории региона» (далее – Порядок предоставления грантов в форме субсидий):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1) в пункте 12:</w:t>
      </w:r>
    </w:p>
    <w:p w:rsidR="001F7B63" w:rsidRPr="001F7B63" w:rsidRDefault="001F7B63" w:rsidP="001F7B63">
      <w:pPr>
        <w:autoSpaceDE/>
        <w:ind w:firstLine="709"/>
        <w:jc w:val="both"/>
        <w:rPr>
          <w:color w:val="392C69"/>
          <w:sz w:val="28"/>
          <w:szCs w:val="28"/>
        </w:rPr>
      </w:pPr>
      <w:r w:rsidRPr="001F7B63">
        <w:rPr>
          <w:sz w:val="28"/>
          <w:szCs w:val="28"/>
        </w:rPr>
        <w:t>а) действие абзаца третьего приостановить до 01.01.2023;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б) дополнить</w:t>
      </w:r>
      <w:r w:rsidR="00D2089C">
        <w:rPr>
          <w:sz w:val="28"/>
          <w:szCs w:val="28"/>
        </w:rPr>
        <w:t xml:space="preserve"> абзацем следующего содержания: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«не должен находиться в перечне организаций и физических лиц, в</w:t>
      </w:r>
      <w:r w:rsidR="00D2089C">
        <w:rPr>
          <w:sz w:val="28"/>
          <w:szCs w:val="28"/>
        </w:rPr>
        <w:t> </w:t>
      </w:r>
      <w:r w:rsidRPr="001F7B63">
        <w:rPr>
          <w:sz w:val="28"/>
          <w:szCs w:val="28"/>
        </w:rPr>
        <w:t>отношении которых имеются сведения об их причастности к экстремистской деятельности или терроризму, либо в перечне организаций и физических лиц, в</w:t>
      </w:r>
      <w:r w:rsidR="00D2089C">
        <w:rPr>
          <w:sz w:val="28"/>
          <w:szCs w:val="28"/>
        </w:rPr>
        <w:t> </w:t>
      </w:r>
      <w:r w:rsidRPr="001F7B63">
        <w:rPr>
          <w:sz w:val="28"/>
          <w:szCs w:val="28"/>
        </w:rPr>
        <w:t>отношении которых имеются сведения об их причастности к распространению оружия массового уничтожения.»;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lastRenderedPageBreak/>
        <w:t>2) в абзаце пятом пункта 17 слова «об отказе в допуске заявки соискателя гранта к участию в отборе» заменить словами «об отклонении заявки соискателя гранта на участие в отборе»;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3) абзац первый пункта 18 изложить в следующей редакции: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«18. Основаниями для отклонения заявки соискателя гранта на участие в отборе являются:»;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4) в пункте 19 слова «об отказе в допуске заявки соискателя гранта к участию» заменить словами «об отклонении заявки соискателя гранта на участие»;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5) абзац первый пункта 22 изложить в следующей редакции: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«22. Конкурсная комиссия в течение пятнадцати рабочих дней со дня поступления заявок от МЭР НСО осуществляет оценку допущенных к конкурсу заявок в соответствии с к</w:t>
      </w:r>
      <w:r w:rsidR="00D2089C">
        <w:rPr>
          <w:sz w:val="28"/>
          <w:szCs w:val="28"/>
        </w:rPr>
        <w:t>ритериями оценки, указанными в приложении № </w:t>
      </w:r>
      <w:r w:rsidRPr="001F7B63">
        <w:rPr>
          <w:sz w:val="28"/>
          <w:szCs w:val="28"/>
        </w:rPr>
        <w:t>2 к</w:t>
      </w:r>
      <w:r w:rsidR="00D2089C">
        <w:rPr>
          <w:sz w:val="28"/>
          <w:szCs w:val="28"/>
        </w:rPr>
        <w:t> </w:t>
      </w:r>
      <w:r w:rsidRPr="001F7B63">
        <w:rPr>
          <w:sz w:val="28"/>
          <w:szCs w:val="28"/>
        </w:rPr>
        <w:t>Порядку.»;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6) пункт 23 изложить в следующей редакции: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«23. МЭР НСО в течение трех рабочих дней со дня подписания комиссией протокола с результатами оценки заявок готовит проект распоряжения Правительства Новосибирской области о предоставлении гранта в форме субсидии на осуществление поддержки общественных и предпринимательских инициатив, направленных на развитие туризма в текущем году.»;</w:t>
      </w:r>
    </w:p>
    <w:p w:rsidR="001F7B63" w:rsidRPr="001F7B63" w:rsidRDefault="00DD56A6" w:rsidP="001F7B63">
      <w:pPr>
        <w:autoSpaceDE/>
        <w:ind w:firstLine="709"/>
        <w:jc w:val="both"/>
        <w:rPr>
          <w:sz w:val="28"/>
        </w:rPr>
      </w:pPr>
      <w:r>
        <w:rPr>
          <w:sz w:val="28"/>
        </w:rPr>
        <w:t>7) в пункте 27: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</w:rPr>
      </w:pPr>
      <w:r w:rsidRPr="001F7B63">
        <w:rPr>
          <w:sz w:val="28"/>
        </w:rPr>
        <w:t xml:space="preserve">а) абзац третий </w:t>
      </w:r>
      <w:r w:rsidRPr="001F7B63">
        <w:rPr>
          <w:rFonts w:eastAsia="Calibri"/>
          <w:sz w:val="28"/>
          <w:szCs w:val="28"/>
          <w:lang w:eastAsia="en-US"/>
        </w:rPr>
        <w:t xml:space="preserve">изложить </w:t>
      </w:r>
      <w:r w:rsidRPr="001F7B63">
        <w:rPr>
          <w:sz w:val="28"/>
          <w:szCs w:val="28"/>
        </w:rPr>
        <w:t>в следующей редакции:</w:t>
      </w:r>
    </w:p>
    <w:p w:rsidR="001F7B63" w:rsidRPr="001F7B63" w:rsidRDefault="001F7B63" w:rsidP="001F7B63">
      <w:pPr>
        <w:adjustRightInd w:val="0"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«согласие гранто</w:t>
      </w:r>
      <w:r w:rsidR="00DD56A6">
        <w:rPr>
          <w:sz w:val="28"/>
          <w:szCs w:val="28"/>
        </w:rPr>
        <w:t>получателя на осуществление МЭР </w:t>
      </w:r>
      <w:r w:rsidRPr="001F7B63">
        <w:rPr>
          <w:sz w:val="28"/>
          <w:szCs w:val="28"/>
        </w:rPr>
        <w:t>НСО проверок соблюдения грантополучателем порядка и условий предоставления гранта в форме субсидии, в том числе в части достижения результатов предоставления гранта в</w:t>
      </w:r>
      <w:r w:rsidR="00DD56A6">
        <w:rPr>
          <w:sz w:val="28"/>
          <w:szCs w:val="28"/>
        </w:rPr>
        <w:t> </w:t>
      </w:r>
      <w:r w:rsidRPr="001F7B63">
        <w:rPr>
          <w:sz w:val="28"/>
          <w:szCs w:val="28"/>
        </w:rPr>
        <w:t>форме субсидии, а также проверки органами государственного финансового контроля соблюдения грантополучателем порядка и условий предоставления гранта в форме субсидии в соответствии со статьями 268.1 и 269.2</w:t>
      </w:r>
      <w:r w:rsidR="00DD56A6">
        <w:rPr>
          <w:sz w:val="28"/>
          <w:szCs w:val="28"/>
        </w:rPr>
        <w:t xml:space="preserve"> </w:t>
      </w:r>
      <w:r w:rsidRPr="001F7B63">
        <w:rPr>
          <w:sz w:val="28"/>
          <w:szCs w:val="28"/>
        </w:rPr>
        <w:t>Бюджетного кодекса Российской Федерации;»;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</w:rPr>
      </w:pPr>
      <w:r w:rsidRPr="001F7B63">
        <w:rPr>
          <w:sz w:val="28"/>
        </w:rPr>
        <w:t>б) после абзаца третьего дополнить абзацем следующего содержания: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«положения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Федерации;»;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</w:rPr>
      </w:pPr>
      <w:r w:rsidRPr="001F7B63">
        <w:rPr>
          <w:sz w:val="28"/>
          <w:szCs w:val="28"/>
        </w:rPr>
        <w:t>в) в абзаце четвертом слово «целей» заменить словом «результатов»;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8) пункты 28 и 29 изложить в следующей редакции:</w:t>
      </w:r>
    </w:p>
    <w:p w:rsidR="001F7B63" w:rsidRPr="001F7B63" w:rsidRDefault="001F7B63" w:rsidP="001F7B63">
      <w:pPr>
        <w:adjustRightInd w:val="0"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«28. Результатами предоставления гранта в форме субсидии является выполнение грантополучателем комплекса мероприятий в соответствии с</w:t>
      </w:r>
      <w:r w:rsidR="00DD56A6">
        <w:rPr>
          <w:sz w:val="28"/>
          <w:szCs w:val="28"/>
        </w:rPr>
        <w:t> </w:t>
      </w:r>
      <w:r w:rsidRPr="001F7B63">
        <w:rPr>
          <w:sz w:val="28"/>
          <w:szCs w:val="28"/>
        </w:rPr>
        <w:t>направлениями затрат, установленных пунктом 5 Порядка: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реализованы проекты по капитальному ремонту, реконструкции и</w:t>
      </w:r>
      <w:r w:rsidR="00DD56A6">
        <w:rPr>
          <w:sz w:val="28"/>
          <w:szCs w:val="28"/>
        </w:rPr>
        <w:t xml:space="preserve"> модернизации объектов туризма;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созданы и обустроены гостиничные, туристско-рекреационные комплексы, объекты придорожной и др</w:t>
      </w:r>
      <w:r w:rsidR="00DD56A6">
        <w:rPr>
          <w:sz w:val="28"/>
          <w:szCs w:val="28"/>
        </w:rPr>
        <w:t>угой туристской инфраструктуры;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 xml:space="preserve">приобретено туристское, гостиничное оборудование, оборудование для пунктов проката, объектов туристского показа, детского отдыха, развлекательных, </w:t>
      </w:r>
      <w:r w:rsidR="00DD56A6">
        <w:rPr>
          <w:sz w:val="28"/>
          <w:szCs w:val="28"/>
        </w:rPr>
        <w:t>аква- и горнолыжных комплексов;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lastRenderedPageBreak/>
        <w:t>приобретено имущество для организации деятельности в сфере внутреннего и въездного туризма в</w:t>
      </w:r>
      <w:r w:rsidR="00DD56A6">
        <w:rPr>
          <w:sz w:val="28"/>
          <w:szCs w:val="28"/>
        </w:rPr>
        <w:t xml:space="preserve"> </w:t>
      </w:r>
      <w:r w:rsidRPr="001F7B63">
        <w:rPr>
          <w:sz w:val="28"/>
          <w:szCs w:val="28"/>
        </w:rPr>
        <w:t>Новосибирской области, в том числе в сфере социального туризма;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приобретено автотранспортное средство;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обустроен действующий туристский маршрут;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разработаны мобильное приложение, путеводитель по туристским маршрутам, сайт, аудио-, видеогид;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реализован проект по транспортировке и утилизации бытовых отходов из</w:t>
      </w:r>
      <w:r w:rsidR="00DD56A6">
        <w:rPr>
          <w:sz w:val="28"/>
          <w:szCs w:val="28"/>
        </w:rPr>
        <w:t> </w:t>
      </w:r>
      <w:r w:rsidRPr="001F7B63">
        <w:rPr>
          <w:sz w:val="28"/>
          <w:szCs w:val="28"/>
        </w:rPr>
        <w:t>мест отдыха и туризма;</w:t>
      </w:r>
    </w:p>
    <w:p w:rsidR="001F7B63" w:rsidRPr="001F7B63" w:rsidRDefault="001F7B63" w:rsidP="001F7B63">
      <w:pPr>
        <w:adjustRightInd w:val="0"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реализован проект по строительству благоустроенных общественных туалетов, душевых, мест для переодевания в местах массового отдых</w:t>
      </w:r>
      <w:r w:rsidR="00DD56A6" w:rsidRPr="009F26BF">
        <w:rPr>
          <w:sz w:val="28"/>
          <w:szCs w:val="28"/>
        </w:rPr>
        <w:t>а.</w:t>
      </w:r>
    </w:p>
    <w:p w:rsidR="001F7B63" w:rsidRPr="001F7B63" w:rsidRDefault="001F7B63" w:rsidP="001F7B63">
      <w:pPr>
        <w:adjustRightInd w:val="0"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Срок достижения результата предоставления гранта в форме субсидии устанавливается в соглашении о предоставлении гранта в форме субсидии, но не</w:t>
      </w:r>
      <w:r w:rsidR="00DD56A6">
        <w:rPr>
          <w:sz w:val="28"/>
          <w:szCs w:val="28"/>
        </w:rPr>
        <w:t> </w:t>
      </w:r>
      <w:r w:rsidRPr="001F7B63">
        <w:rPr>
          <w:sz w:val="28"/>
          <w:szCs w:val="28"/>
        </w:rPr>
        <w:t>более 18 месяцев со дня поступления средств гранта в форме субсидии на</w:t>
      </w:r>
      <w:r w:rsidR="00DD56A6">
        <w:rPr>
          <w:sz w:val="28"/>
          <w:szCs w:val="28"/>
        </w:rPr>
        <w:t> </w:t>
      </w:r>
      <w:r w:rsidRPr="001F7B63">
        <w:rPr>
          <w:sz w:val="28"/>
          <w:szCs w:val="28"/>
        </w:rPr>
        <w:t>лицевой счет грантополучателя, открытый в территориальном органе Федерального казначейства.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Показателями, необходимыми для достижения результатов предоставления гранта в форме субсидии (в</w:t>
      </w:r>
      <w:r w:rsidR="00DD56A6">
        <w:rPr>
          <w:sz w:val="28"/>
          <w:szCs w:val="28"/>
        </w:rPr>
        <w:t xml:space="preserve"> </w:t>
      </w:r>
      <w:r w:rsidRPr="001F7B63">
        <w:rPr>
          <w:sz w:val="28"/>
          <w:szCs w:val="28"/>
        </w:rPr>
        <w:t>зависимости от направления финансовых затрат, установленных пунктом 5 Порядка, в рамках проекта) являются: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создание мест в коллективных средствах размещения (не менее 10 мест);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создание новых туристских маршрутов (не менее 1 маршрута);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оборудование пандусов, подъемников (не менее 1 пандуса, 1 подъемника);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адаптация и создание безбарьерной среды (создание условий для безбарьерной среды);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разработка мобильных приложений-путеводителей (не менее 1 приложения- путеводителя);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создание аудиогидов (не менее 1 аудиогида);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создание выделенных мест отдыха (не менее 1 места);</w:t>
      </w:r>
    </w:p>
    <w:p w:rsidR="001F7B63" w:rsidRPr="001F7B63" w:rsidRDefault="001F7B63" w:rsidP="001F7B63">
      <w:pPr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обеспечение оборудованием, снаряжением и спортивным инвентарем для предоставления услуг туристам (не ниже 100%).</w:t>
      </w:r>
    </w:p>
    <w:p w:rsidR="001F7B63" w:rsidRPr="001F7B63" w:rsidRDefault="001F7B63" w:rsidP="001F7B63">
      <w:pPr>
        <w:adjustRightInd w:val="0"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Значения результатов предоставления грантов в форме субсидий устанавливаются в соглашении о предоставлении гранта в форме субсидии в соответствии с затратами, установленными пунктом 5 Порядка, указанными в</w:t>
      </w:r>
      <w:r w:rsidR="00DD56A6">
        <w:rPr>
          <w:sz w:val="28"/>
          <w:szCs w:val="28"/>
        </w:rPr>
        <w:t> </w:t>
      </w:r>
      <w:r w:rsidRPr="001F7B63">
        <w:rPr>
          <w:sz w:val="28"/>
          <w:szCs w:val="28"/>
        </w:rPr>
        <w:t>конкурсной заявке. Значения показателей, необходимых для достижения результатов предоставления гранта в форме субсидии устанавливаются в</w:t>
      </w:r>
      <w:r w:rsidR="00DD56A6">
        <w:rPr>
          <w:sz w:val="28"/>
          <w:szCs w:val="28"/>
        </w:rPr>
        <w:t> </w:t>
      </w:r>
      <w:r w:rsidRPr="001F7B63">
        <w:rPr>
          <w:sz w:val="28"/>
          <w:szCs w:val="28"/>
        </w:rPr>
        <w:t>соглашении о предоставлении гранта в форме субсидии в</w:t>
      </w:r>
      <w:r w:rsidR="00DD56A6">
        <w:rPr>
          <w:sz w:val="28"/>
          <w:szCs w:val="28"/>
        </w:rPr>
        <w:t xml:space="preserve"> </w:t>
      </w:r>
      <w:r w:rsidRPr="001F7B63">
        <w:rPr>
          <w:sz w:val="28"/>
          <w:szCs w:val="28"/>
        </w:rPr>
        <w:t>соответствии с</w:t>
      </w:r>
      <w:r w:rsidR="00DD56A6">
        <w:rPr>
          <w:sz w:val="28"/>
          <w:szCs w:val="28"/>
        </w:rPr>
        <w:t> </w:t>
      </w:r>
      <w:r w:rsidRPr="001F7B63">
        <w:rPr>
          <w:sz w:val="28"/>
          <w:szCs w:val="28"/>
        </w:rPr>
        <w:t>затратами, указанными в конкурсной заявке, но не менее чем в показателях, необходимых для достижения результатов предоставления гранта в форме субсидии, установленных настоящим пунктом.</w:t>
      </w:r>
    </w:p>
    <w:p w:rsidR="001F7B63" w:rsidRPr="001F7B63" w:rsidRDefault="001F7B63" w:rsidP="001F7B63">
      <w:pPr>
        <w:adjustRightInd w:val="0"/>
        <w:ind w:firstLine="720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29. Гранты в форме субсидий подлежат казначейскому сопровождению в</w:t>
      </w:r>
      <w:r w:rsidR="00DD56A6">
        <w:rPr>
          <w:sz w:val="28"/>
          <w:szCs w:val="28"/>
        </w:rPr>
        <w:t> </w:t>
      </w:r>
      <w:r w:rsidRPr="001F7B63">
        <w:rPr>
          <w:sz w:val="28"/>
          <w:szCs w:val="28"/>
        </w:rPr>
        <w:t>соответствии с бюджетным законодательством Российской Федерации.</w:t>
      </w:r>
    </w:p>
    <w:p w:rsidR="001F7B63" w:rsidRPr="001F7B63" w:rsidRDefault="001F7B63" w:rsidP="001F7B63">
      <w:pPr>
        <w:adjustRightInd w:val="0"/>
        <w:ind w:firstLine="720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Гранты в форме субсидий предоставляются в безналичной форме путем перечисления МЭР НСО денежных средств на лицевой счет грантополучателя, открытый в территориальном органе Федерального казначейства, в порядке и</w:t>
      </w:r>
      <w:r w:rsidR="00DD56A6">
        <w:rPr>
          <w:sz w:val="28"/>
          <w:szCs w:val="28"/>
        </w:rPr>
        <w:t> </w:t>
      </w:r>
      <w:r w:rsidRPr="001F7B63">
        <w:rPr>
          <w:sz w:val="28"/>
          <w:szCs w:val="28"/>
        </w:rPr>
        <w:t>сроки, предусмотренные соглашением.</w:t>
      </w:r>
    </w:p>
    <w:p w:rsidR="001F7B63" w:rsidRPr="001F7B63" w:rsidRDefault="001F7B63" w:rsidP="001F7B63">
      <w:pPr>
        <w:adjustRightInd w:val="0"/>
        <w:ind w:firstLine="720"/>
        <w:jc w:val="both"/>
        <w:rPr>
          <w:sz w:val="28"/>
          <w:szCs w:val="28"/>
        </w:rPr>
      </w:pPr>
      <w:r w:rsidRPr="001F7B63">
        <w:rPr>
          <w:sz w:val="28"/>
        </w:rPr>
        <w:lastRenderedPageBreak/>
        <w:t xml:space="preserve">Перечисление </w:t>
      </w:r>
      <w:r w:rsidRPr="001F7B63">
        <w:rPr>
          <w:sz w:val="28"/>
          <w:szCs w:val="28"/>
        </w:rPr>
        <w:t>гранта в форме субсидии</w:t>
      </w:r>
      <w:r w:rsidRPr="001F7B63">
        <w:rPr>
          <w:sz w:val="28"/>
        </w:rPr>
        <w:t xml:space="preserve"> производится при отсутствии по</w:t>
      </w:r>
      <w:r w:rsidR="00DD56A6">
        <w:rPr>
          <w:sz w:val="28"/>
        </w:rPr>
        <w:t> </w:t>
      </w:r>
      <w:r w:rsidRPr="001F7B63">
        <w:rPr>
          <w:sz w:val="28"/>
        </w:rPr>
        <w:t>состоянию на</w:t>
      </w:r>
      <w:r w:rsidR="00DD56A6">
        <w:rPr>
          <w:sz w:val="28"/>
        </w:rPr>
        <w:t xml:space="preserve"> </w:t>
      </w:r>
      <w:r w:rsidRPr="001F7B63">
        <w:rPr>
          <w:sz w:val="28"/>
        </w:rPr>
        <w:t xml:space="preserve">первое число месяца, в котором планируется предоставление </w:t>
      </w:r>
      <w:r w:rsidRPr="001F7B63">
        <w:rPr>
          <w:sz w:val="28"/>
          <w:szCs w:val="28"/>
        </w:rPr>
        <w:t>гранта в форме субсидии</w:t>
      </w:r>
      <w:r w:rsidRPr="001F7B63">
        <w:rPr>
          <w:sz w:val="28"/>
        </w:rPr>
        <w:t>, образования недоимки по налогам, подлежащим перечислению в бюджеты бюджетной системы Российской Федерации (за</w:t>
      </w:r>
      <w:r w:rsidR="00DD56A6">
        <w:rPr>
          <w:sz w:val="28"/>
        </w:rPr>
        <w:t> </w:t>
      </w:r>
      <w:r w:rsidRPr="001F7B63">
        <w:rPr>
          <w:sz w:val="28"/>
        </w:rPr>
        <w:t>исключением отсроченной, рассроченной, в том числе в порядке реструктуризации, приостановленной к</w:t>
      </w:r>
      <w:r w:rsidR="00DD56A6">
        <w:rPr>
          <w:sz w:val="28"/>
        </w:rPr>
        <w:t xml:space="preserve"> </w:t>
      </w:r>
      <w:r w:rsidRPr="001F7B63">
        <w:rPr>
          <w:sz w:val="28"/>
        </w:rPr>
        <w:t>взысканию), и по страховым взносам в</w:t>
      </w:r>
      <w:r w:rsidR="00DD56A6">
        <w:rPr>
          <w:sz w:val="28"/>
        </w:rPr>
        <w:t> </w:t>
      </w:r>
      <w:r w:rsidRPr="001F7B63">
        <w:rPr>
          <w:sz w:val="28"/>
        </w:rPr>
        <w:t>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области.</w:t>
      </w:r>
      <w:r w:rsidRPr="001F7B63">
        <w:rPr>
          <w:sz w:val="28"/>
          <w:szCs w:val="28"/>
        </w:rPr>
        <w:t>»;</w:t>
      </w:r>
    </w:p>
    <w:p w:rsidR="001F7B63" w:rsidRPr="001F7B63" w:rsidRDefault="001F7B63" w:rsidP="001F7B63">
      <w:pPr>
        <w:adjustRightInd w:val="0"/>
        <w:ind w:firstLine="720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9) в абзаце перво</w:t>
      </w:r>
      <w:r w:rsidR="00DD56A6">
        <w:rPr>
          <w:sz w:val="28"/>
          <w:szCs w:val="28"/>
        </w:rPr>
        <w:t>м пункта 30:</w:t>
      </w:r>
    </w:p>
    <w:p w:rsidR="001F7B63" w:rsidRPr="001F7B63" w:rsidRDefault="001F7B63" w:rsidP="001F7B63">
      <w:pPr>
        <w:adjustRightInd w:val="0"/>
        <w:ind w:firstLine="720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а) слова «</w:t>
      </w:r>
      <w:r w:rsidRPr="001F7B63">
        <w:rPr>
          <w:color w:val="000000"/>
          <w:sz w:val="28"/>
          <w:szCs w:val="28"/>
        </w:rPr>
        <w:t>показателей результата» заменить словами «результатов и</w:t>
      </w:r>
      <w:r w:rsidR="00DD56A6">
        <w:rPr>
          <w:color w:val="000000"/>
          <w:sz w:val="28"/>
          <w:szCs w:val="28"/>
        </w:rPr>
        <w:t> </w:t>
      </w:r>
      <w:r w:rsidRPr="001F7B63">
        <w:rPr>
          <w:sz w:val="28"/>
          <w:szCs w:val="28"/>
        </w:rPr>
        <w:t>показателей, необходим</w:t>
      </w:r>
      <w:r w:rsidR="00DD56A6">
        <w:rPr>
          <w:sz w:val="28"/>
          <w:szCs w:val="28"/>
        </w:rPr>
        <w:t>ых для достижения результатов»;</w:t>
      </w:r>
    </w:p>
    <w:p w:rsidR="001F7B63" w:rsidRPr="001F7B63" w:rsidRDefault="001F7B63" w:rsidP="001F7B63">
      <w:pPr>
        <w:adjustRightInd w:val="0"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б) после слов «установленные соглашением» дополнить словами «(но</w:t>
      </w:r>
      <w:r w:rsidR="00DD56A6">
        <w:rPr>
          <w:sz w:val="28"/>
          <w:szCs w:val="28"/>
        </w:rPr>
        <w:t> </w:t>
      </w:r>
      <w:r w:rsidRPr="001F7B63">
        <w:rPr>
          <w:sz w:val="28"/>
          <w:szCs w:val="28"/>
        </w:rPr>
        <w:t>не</w:t>
      </w:r>
      <w:r w:rsidR="00DD56A6">
        <w:rPr>
          <w:sz w:val="28"/>
          <w:szCs w:val="28"/>
        </w:rPr>
        <w:t> </w:t>
      </w:r>
      <w:r w:rsidRPr="001F7B63">
        <w:rPr>
          <w:sz w:val="28"/>
          <w:szCs w:val="28"/>
        </w:rPr>
        <w:t>реже одного раза в квартал)»;</w:t>
      </w:r>
    </w:p>
    <w:p w:rsidR="001F7B63" w:rsidRPr="001F7B63" w:rsidRDefault="001F7B63" w:rsidP="001F7B63">
      <w:pPr>
        <w:adjustRightInd w:val="0"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 xml:space="preserve">10) пункт 31 </w:t>
      </w:r>
      <w:r w:rsidRPr="001F7B63">
        <w:rPr>
          <w:rFonts w:eastAsia="Calibri"/>
          <w:sz w:val="28"/>
          <w:szCs w:val="28"/>
          <w:lang w:eastAsia="en-US"/>
        </w:rPr>
        <w:t xml:space="preserve">изложить </w:t>
      </w:r>
      <w:r w:rsidRPr="001F7B63">
        <w:rPr>
          <w:sz w:val="28"/>
          <w:szCs w:val="28"/>
        </w:rPr>
        <w:t>в следующей редакции:</w:t>
      </w:r>
    </w:p>
    <w:p w:rsidR="001F7B63" w:rsidRPr="001F7B63" w:rsidRDefault="001F7B63" w:rsidP="001F7B63">
      <w:pPr>
        <w:adjustRightInd w:val="0"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«31. Контроль за соблюдением грантополучателем порядка и условий предоставления гранта в форме субсидий, в том числе в части достижения результатов предоставления гранта в форме субсидии, осуществляют грантодатель и органы государственного финансового контроля в соответствии со статьями 268.1 и 269.2</w:t>
      </w:r>
      <w:r w:rsidR="00DD56A6">
        <w:rPr>
          <w:sz w:val="28"/>
          <w:szCs w:val="28"/>
        </w:rPr>
        <w:t xml:space="preserve"> </w:t>
      </w:r>
      <w:r w:rsidRPr="001F7B63">
        <w:rPr>
          <w:sz w:val="28"/>
          <w:szCs w:val="28"/>
        </w:rPr>
        <w:t>Бюджетного кодекса Российской Федерации.»;</w:t>
      </w:r>
    </w:p>
    <w:p w:rsidR="001F7B63" w:rsidRPr="001F7B63" w:rsidRDefault="001F7B63" w:rsidP="001F7B63">
      <w:pPr>
        <w:adjustRightInd w:val="0"/>
        <w:ind w:firstLine="709"/>
        <w:jc w:val="both"/>
        <w:rPr>
          <w:sz w:val="28"/>
          <w:szCs w:val="28"/>
        </w:rPr>
      </w:pPr>
      <w:r w:rsidRPr="001F7B63">
        <w:rPr>
          <w:sz w:val="28"/>
          <w:szCs w:val="28"/>
        </w:rPr>
        <w:t>11) в пункте 32 слово «целей,» исключить;</w:t>
      </w:r>
    </w:p>
    <w:p w:rsidR="001F7B63" w:rsidRPr="001F7B63" w:rsidRDefault="001F7B63" w:rsidP="001F7B63">
      <w:pPr>
        <w:autoSpaceDE/>
        <w:ind w:firstLine="709"/>
        <w:jc w:val="both"/>
        <w:rPr>
          <w:sz w:val="28"/>
          <w:szCs w:val="28"/>
        </w:rPr>
      </w:pPr>
      <w:r w:rsidRPr="001F7B63">
        <w:rPr>
          <w:sz w:val="28"/>
        </w:rPr>
        <w:t xml:space="preserve">12) в </w:t>
      </w:r>
      <w:r w:rsidR="00DD56A6">
        <w:rPr>
          <w:sz w:val="28"/>
          <w:szCs w:val="28"/>
        </w:rPr>
        <w:t>приложении № </w:t>
      </w:r>
      <w:r w:rsidRPr="001F7B63">
        <w:rPr>
          <w:sz w:val="28"/>
          <w:szCs w:val="28"/>
        </w:rPr>
        <w:t xml:space="preserve">1 к Порядку предоставления грантов в форме субсидий после аббревиатуры «Ф.И.О.» дополнить словами «(отчество </w:t>
      </w:r>
      <w:r w:rsidR="00DD56A6">
        <w:rPr>
          <w:sz w:val="28"/>
          <w:szCs w:val="28"/>
        </w:rPr>
        <w:t>–</w:t>
      </w:r>
      <w:r w:rsidRPr="001F7B63">
        <w:rPr>
          <w:sz w:val="28"/>
          <w:szCs w:val="28"/>
        </w:rPr>
        <w:t xml:space="preserve"> при наличии)».</w:t>
      </w:r>
    </w:p>
    <w:p w:rsidR="00FF2C0A" w:rsidRPr="00FF2C0A" w:rsidRDefault="00FF2C0A" w:rsidP="001F7B63">
      <w:pPr>
        <w:widowControl w:val="0"/>
        <w:rPr>
          <w:sz w:val="28"/>
          <w:szCs w:val="28"/>
        </w:rPr>
      </w:pPr>
    </w:p>
    <w:p w:rsidR="00002098" w:rsidRDefault="00002098" w:rsidP="00FF2C0A">
      <w:pPr>
        <w:autoSpaceDE/>
        <w:jc w:val="both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002098" w:rsidRPr="00FF2C0A" w:rsidRDefault="003A08FA" w:rsidP="00002098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002098" w:rsidRDefault="00002098" w:rsidP="00002098">
      <w:pPr>
        <w:autoSpaceDE/>
        <w:jc w:val="both"/>
        <w:rPr>
          <w:sz w:val="28"/>
          <w:szCs w:val="28"/>
        </w:rPr>
      </w:pPr>
    </w:p>
    <w:p w:rsidR="001F7B63" w:rsidRDefault="001F7B63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9F26BF" w:rsidRDefault="009F26BF" w:rsidP="00002098">
      <w:pPr>
        <w:autoSpaceDE/>
        <w:jc w:val="both"/>
        <w:rPr>
          <w:sz w:val="28"/>
          <w:szCs w:val="28"/>
        </w:rPr>
      </w:pPr>
    </w:p>
    <w:p w:rsidR="001F7B63" w:rsidRPr="009F26BF" w:rsidRDefault="001F7B63" w:rsidP="00002098">
      <w:pPr>
        <w:autoSpaceDE/>
        <w:jc w:val="both"/>
        <w:rPr>
          <w:sz w:val="16"/>
          <w:szCs w:val="16"/>
        </w:rPr>
      </w:pPr>
    </w:p>
    <w:p w:rsidR="001F7B63" w:rsidRPr="001F7B63" w:rsidRDefault="001F7B63" w:rsidP="001F7B63">
      <w:pPr>
        <w:autoSpaceDE/>
      </w:pPr>
      <w:r w:rsidRPr="001F7B63">
        <w:t>Л.Н. Решетников</w:t>
      </w:r>
    </w:p>
    <w:p w:rsidR="001F7B63" w:rsidRPr="009F26BF" w:rsidRDefault="001F7B63" w:rsidP="001F7B63">
      <w:pPr>
        <w:autoSpaceDE/>
        <w:jc w:val="both"/>
      </w:pPr>
      <w:r w:rsidRPr="001F7B63">
        <w:t>238 66 81</w:t>
      </w:r>
    </w:p>
    <w:sectPr w:rsidR="001F7B63" w:rsidRPr="009F26BF" w:rsidSect="00FF2C0A">
      <w:headerReference w:type="default" r:id="rId10"/>
      <w:footerReference w:type="first" r:id="rId11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5D" w:rsidRDefault="00DD4B5D">
      <w:r>
        <w:separator/>
      </w:r>
    </w:p>
  </w:endnote>
  <w:endnote w:type="continuationSeparator" w:id="0">
    <w:p w:rsidR="00DD4B5D" w:rsidRDefault="00DD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25" w:rsidRPr="0026308A" w:rsidRDefault="00A429B9" w:rsidP="007F5D25">
    <w:pPr>
      <w:pStyle w:val="aa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4636DF">
      <w:rPr>
        <w:sz w:val="16"/>
        <w:szCs w:val="16"/>
      </w:rPr>
      <w:t>7220</w:t>
    </w:r>
    <w:r w:rsidR="007F5D25">
      <w:rPr>
        <w:sz w:val="16"/>
        <w:szCs w:val="16"/>
      </w:rPr>
      <w:t>/</w:t>
    </w:r>
    <w:r w:rsidR="004636DF">
      <w:rPr>
        <w:sz w:val="16"/>
        <w:szCs w:val="16"/>
      </w:rPr>
      <w:t>24</w:t>
    </w:r>
    <w:r w:rsidR="00603641">
      <w:rPr>
        <w:sz w:val="16"/>
        <w:szCs w:val="16"/>
      </w:rPr>
      <w:t>.</w:t>
    </w:r>
    <w:r w:rsidR="00383CBF">
      <w:rPr>
        <w:sz w:val="16"/>
        <w:szCs w:val="16"/>
      </w:rPr>
      <w:t>0</w:t>
    </w:r>
    <w:r w:rsidR="000D0061">
      <w:rPr>
        <w:sz w:val="16"/>
        <w:szCs w:val="16"/>
      </w:rPr>
      <w:t>6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383CB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5D" w:rsidRDefault="00DD4B5D">
      <w:r>
        <w:separator/>
      </w:r>
    </w:p>
  </w:footnote>
  <w:footnote w:type="continuationSeparator" w:id="0">
    <w:p w:rsidR="00DD4B5D" w:rsidRDefault="00DD4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7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783176"/>
    <w:multiLevelType w:val="hybridMultilevel"/>
    <w:tmpl w:val="A1583AD0"/>
    <w:numStyleLink w:val="a"/>
  </w:abstractNum>
  <w:abstractNum w:abstractNumId="9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79006C0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0642BC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70109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3E4657E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E4E02BC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9225B4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D1CBDD2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48DFEC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94A7DAC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79006C0E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0642BC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70109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3E4657E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E4E02BC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9225B4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D1CBDD2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48DFEC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94A7DAC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006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14A8B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A771C"/>
    <w:rsid w:val="001B0108"/>
    <w:rsid w:val="001B3C2C"/>
    <w:rsid w:val="001D74A1"/>
    <w:rsid w:val="001F11B9"/>
    <w:rsid w:val="001F7B63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86EBD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62966"/>
    <w:rsid w:val="004636DF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4D12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44F9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9F26BF"/>
    <w:rsid w:val="00A10E21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422F9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089C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4B5D"/>
    <w:rsid w:val="00DD5132"/>
    <w:rsid w:val="00DD56A6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858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1A47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847BE6-1846-44AD-B8DE-552F5695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Гурская Алена Геннадьевна</cp:lastModifiedBy>
  <cp:revision>2</cp:revision>
  <cp:lastPrinted>2022-06-28T08:35:00Z</cp:lastPrinted>
  <dcterms:created xsi:type="dcterms:W3CDTF">2022-10-06T06:35:00Z</dcterms:created>
  <dcterms:modified xsi:type="dcterms:W3CDTF">2022-10-06T06:35:00Z</dcterms:modified>
</cp:coreProperties>
</file>