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E5" w:rsidRPr="00844EE5" w:rsidRDefault="00844EE5" w:rsidP="00844EE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 о проведении оценки регулирующего воздействия проекта нормативного правового акта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Общая информация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Наименование проекта нормативного правового акта (далее – проект акта): 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Новосибирской области «О внесении изменений в постановление Правительства Новосибирской области от 20.07.2015 № 266˗</w:t>
      </w:r>
      <w:proofErr w:type="gramStart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Разработчик проекта акта, в том числе контактные данные: </w:t>
      </w: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Минтранс Новосибирской области</w:t>
      </w: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 Л.Г., 223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68, 238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slg</w:t>
      </w:r>
      <w:proofErr w:type="spell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proofErr w:type="spell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Описание проблем, для решения которых разработан проект акта и предлагаемого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Краткая характеристика проблем, для решения которых разработан проект акта</w:t>
      </w:r>
      <w:r w:rsidRPr="00844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способов их решения.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1.1. Проблемы и их негативные эффекты (последствия)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Описание проблем и негативных эффектов (последствий) приведено в </w:t>
      </w:r>
      <w:hyperlink w:anchor="P595" w:history="1">
        <w:r w:rsidRPr="00844EE5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таблице 1 части III</w:t>
        </w:r>
      </w:hyperlink>
      <w:r w:rsidRPr="00844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настоящего сводного отчета.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Указанные проблемы и их негативные эффекты (последствия) состоят в следующем: 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Возможные способы решения проблем, в том числе без введения нового правового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решения проблем приведены в таблицах 2-3 части III настоящего сводного отчета.</w:t>
      </w:r>
    </w:p>
    <w:p w:rsidR="0085762C" w:rsidRPr="0085762C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способы сводятся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следующим: </w:t>
      </w:r>
    </w:p>
    <w:p w:rsidR="00844EE5" w:rsidRPr="00844EE5" w:rsidRDefault="0085762C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изменений в постановление Правительства Новосибирской области от 20.07.2015 № 266˗</w:t>
      </w:r>
      <w:proofErr w:type="gramStart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Порядке определения специализированных организаций, осуществляющих перемещение на специализированную стоянку, хранение и возврат задержанных транспортных средств на территории Новосибирской области»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Предлагаемое регулирование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Описание предлагаемого регулирования 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Федеральная антимонопольная служба РФ приказом от 15.08.2016 № 1145/16 утвердила методические указания по расчету тарифов на перемещение и хранение задержанных транспортных средств и установлению сроков оплаты утвержденных тарифов.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  <w:t>Данные методические указания указывают только на 3 формы определения специализированных организаций: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 Аукцион на понижение цены от базового уровня тарифов на перемещение и хранение задержанных транспортных средств.</w:t>
      </w:r>
    </w:p>
    <w:p w:rsidR="0085762C" w:rsidRPr="0085762C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2. Торги по Федеральному закону от 05.04.2013 № 44˗ФЗ «О контрактной системе в сфере закупок товаров, работ, услуг для обеспечения государственных и муниципальных нужд» (в случае оплаты расходов за счет</w:t>
      </w:r>
      <w:r w:rsidRPr="00857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средств).</w:t>
      </w:r>
    </w:p>
    <w:p w:rsidR="0085762C" w:rsidRPr="0085762C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Создание государственного учреждения.</w:t>
      </w:r>
    </w:p>
    <w:p w:rsidR="00844EE5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Необходимость внесения изменений подтверждена письмом Минюста НСО от 10.02.2017 года № 137˗07/9˗Вн.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сентябре 2017 года Минтранс Новосибирской области </w:t>
      </w:r>
      <w:proofErr w:type="gramStart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 проект постановления о внесении изменений и провело</w:t>
      </w:r>
      <w:proofErr w:type="gramEnd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ОРВ проекта.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ноября 2017 года Минэкономразвития НСО выдало положительное заключение на проект постановления.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ноябре 2017 года проект постановления был направлен в Минюст НСО для проведения правовой и антикоррупционной экспертизы.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проведения экспертизы в Минюсте НСО проект постановления претерпел значительное изменение.</w:t>
      </w:r>
    </w:p>
    <w:p w:rsidR="0085762C" w:rsidRPr="00844EE5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Минюст НСО высказал требование о проведении повторной экспертизы.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Обоснование выбора предлагаемого регулирования (выбранных способов решения проблем)</w:t>
      </w:r>
    </w:p>
    <w:p w:rsidR="00844EE5" w:rsidRDefault="00844EE5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Причины, по которым из всех возможных способов решения заявленных проблем, приведенных в таблицах 2-3 части III настоящего сводного отчета, был выбран описанный в пункте 2.1: </w:t>
      </w:r>
    </w:p>
    <w:p w:rsidR="0085762C" w:rsidRPr="00844EE5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повторного ОРВ проект постановления обусловлено тем, что первоначальный проект претерпел значительное изменение.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Цели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2318"/>
        <w:gridCol w:w="4010"/>
        <w:gridCol w:w="3061"/>
      </w:tblGrid>
      <w:tr w:rsidR="00844EE5" w:rsidRPr="00844EE5" w:rsidTr="007253F1">
        <w:tc>
          <w:tcPr>
            <w:tcW w:w="326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5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предлагаемого регулирования (со ссылкой на номер проблемы из таблицы 1 части </w:t>
            </w: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1996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целей; актуальные значения индикаторов</w:t>
            </w:r>
          </w:p>
        </w:tc>
        <w:tc>
          <w:tcPr>
            <w:tcW w:w="152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Прогнозируемые значения индикаторов</w:t>
            </w:r>
          </w:p>
        </w:tc>
      </w:tr>
      <w:tr w:rsidR="00844EE5" w:rsidRPr="00844EE5" w:rsidTr="007253F1">
        <w:tc>
          <w:tcPr>
            <w:tcW w:w="326" w:type="pct"/>
          </w:tcPr>
          <w:p w:rsid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P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:rsidR="00844EE5" w:rsidRDefault="00B36F33" w:rsidP="00B36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торгов по  определению специализированной организации, осуществляющей перемещение, хранение и возврат задержанных транспортных средств не соответствует формам, указанным в приказе ФАС России</w:t>
            </w:r>
          </w:p>
          <w:p w:rsidR="00B36F33" w:rsidRP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pct"/>
          </w:tcPr>
          <w:p w:rsidR="00844EE5" w:rsidRP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524" w:type="pct"/>
          </w:tcPr>
          <w:p w:rsidR="00844EE5" w:rsidRP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Описание способа расчета (оценки) значений индикаторов достижения цели предлагаемого регулирования</w:t>
      </w:r>
    </w:p>
    <w:p w:rsidR="00844EE5" w:rsidRDefault="00844EE5" w:rsidP="00B36F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индикаторов, приведенных в пункте 2.3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рассчитываться следующим образом и с получением информации из следующих источников: </w:t>
      </w:r>
    </w:p>
    <w:p w:rsidR="00B36F33" w:rsidRPr="00844EE5" w:rsidRDefault="00B36F33" w:rsidP="00B36F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отсутствуют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Описание программ мониторинга</w:t>
      </w:r>
    </w:p>
    <w:p w:rsidR="00844EE5" w:rsidRPr="00844EE5" w:rsidRDefault="00844EE5" w:rsidP="00B36F33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 </w:t>
      </w:r>
      <w:r w:rsidR="00B36F33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отсутствуют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Иные способы оценки достижения целей предлагаемого регулирования:</w:t>
      </w:r>
    </w:p>
    <w:p w:rsidR="00844EE5" w:rsidRPr="009B0121" w:rsidRDefault="00B36F33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Отсутствуют</w:t>
      </w:r>
    </w:p>
    <w:p w:rsidR="00B36F33" w:rsidRPr="00844EE5" w:rsidRDefault="00B36F33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Обоснование наличия полномочий по принятию нормативного правового акта:</w:t>
      </w:r>
    </w:p>
    <w:p w:rsidR="00B36F33" w:rsidRPr="00844EE5" w:rsidRDefault="00B36F33" w:rsidP="009B01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5.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статьи 2 Закона Новосибирской области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14.06.2012 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227-ОЗ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</w:t>
      </w:r>
      <w:proofErr w:type="gramEnd"/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перемещения задержанных транспортных средств на специализированную стоянку, их хранения, оплаты стоимости перемещения и хранения, а такж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возврата транспортных средств»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Заинтересованные лица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субъектов предпринимательской и (или) инвестиционной деятельности, затрагиваемых предлагаемым регулированием</w:t>
      </w:r>
      <w:proofErr w:type="gramEnd"/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3566"/>
        <w:gridCol w:w="2734"/>
      </w:tblGrid>
      <w:tr w:rsidR="00844EE5" w:rsidRPr="00844EE5" w:rsidTr="007253F1">
        <w:tc>
          <w:tcPr>
            <w:tcW w:w="186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групп субъектов </w:t>
            </w: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инвестиционной деятельности</w:t>
            </w:r>
          </w:p>
        </w:tc>
        <w:tc>
          <w:tcPr>
            <w:tcW w:w="1775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количества на стадии разработки проекта акта</w:t>
            </w:r>
          </w:p>
        </w:tc>
        <w:tc>
          <w:tcPr>
            <w:tcW w:w="1361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844EE5" w:rsidRPr="00844EE5" w:rsidTr="007253F1">
        <w:tc>
          <w:tcPr>
            <w:tcW w:w="1864" w:type="pct"/>
          </w:tcPr>
          <w:p w:rsidR="00844EE5" w:rsidRPr="00844EE5" w:rsidRDefault="009B0121" w:rsidP="009B01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и юридические лица, с которыми заключены договоры на право осуществления деятельности на территории Новосибирской области по перемещению задержанных транспортных средств на специализированную стоянку, их хранению и возврату</w:t>
            </w:r>
          </w:p>
        </w:tc>
        <w:tc>
          <w:tcPr>
            <w:tcW w:w="1775" w:type="pct"/>
          </w:tcPr>
          <w:p w:rsidR="00844EE5" w:rsidRPr="00844EE5" w:rsidRDefault="009B0121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1" w:type="pct"/>
          </w:tcPr>
          <w:p w:rsidR="00844EE5" w:rsidRPr="00844EE5" w:rsidRDefault="009B0121" w:rsidP="009B01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количеству заключенных договоров на право осуществлять деятельность по перемещению, хранению и возврату задержанных транспортных средств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Устанавливаемые или изменяемые обязанности субъектов предпринимательской и (или) инвестиционной деятельности</w:t>
      </w:r>
      <w:proofErr w:type="gramEnd"/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9"/>
        <w:gridCol w:w="3329"/>
        <w:gridCol w:w="2376"/>
      </w:tblGrid>
      <w:tr w:rsidR="00844EE5" w:rsidRPr="00844EE5" w:rsidTr="007253F1">
        <w:tc>
          <w:tcPr>
            <w:tcW w:w="2160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новой (изменяемой) обязанности</w:t>
            </w:r>
          </w:p>
        </w:tc>
        <w:tc>
          <w:tcPr>
            <w:tcW w:w="1657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организации исполнения </w:t>
            </w:r>
          </w:p>
        </w:tc>
        <w:tc>
          <w:tcPr>
            <w:tcW w:w="1183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субъектов (включая периодичность, если применимо)</w:t>
            </w:r>
          </w:p>
        </w:tc>
      </w:tr>
      <w:tr w:rsidR="00844EE5" w:rsidRPr="00844EE5" w:rsidTr="007253F1">
        <w:tc>
          <w:tcPr>
            <w:tcW w:w="5000" w:type="pct"/>
            <w:gridSpan w:val="3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субъектов (по </w:t>
            </w:r>
            <w:hyperlink w:anchor="P477" w:history="1">
              <w:r w:rsidRPr="00844E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пункту 3.1</w:t>
              </w:r>
            </w:hyperlink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44EE5" w:rsidRPr="00844EE5" w:rsidTr="007253F1">
        <w:tc>
          <w:tcPr>
            <w:tcW w:w="2160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657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183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Оценка иных расходов субъектов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инвестиционной деятельности, связанных с введением предлагаемого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3118"/>
        <w:gridCol w:w="3649"/>
      </w:tblGrid>
      <w:tr w:rsidR="00844EE5" w:rsidRPr="00844EE5" w:rsidTr="007253F1">
        <w:tc>
          <w:tcPr>
            <w:tcW w:w="540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9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проекта акта, реализация которого может потребовать расходы</w:t>
            </w:r>
          </w:p>
        </w:tc>
        <w:tc>
          <w:tcPr>
            <w:tcW w:w="3118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649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(включая периодичность, если применимо)</w:t>
            </w:r>
          </w:p>
        </w:tc>
      </w:tr>
      <w:tr w:rsidR="00844EE5" w:rsidRPr="00844EE5" w:rsidTr="007253F1">
        <w:tc>
          <w:tcPr>
            <w:tcW w:w="540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118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649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</w:tr>
      <w:tr w:rsidR="00844EE5" w:rsidRPr="00844EE5" w:rsidTr="007253F1">
        <w:tc>
          <w:tcPr>
            <w:tcW w:w="540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Полномочия органов государственной власти Новосибирской области/органов местного самоуправления, устанавливаемые или изменяемые предлагаемым регулированием, и оценка расходов на их реализацию.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"/>
        <w:gridCol w:w="3496"/>
        <w:gridCol w:w="2176"/>
        <w:gridCol w:w="2963"/>
      </w:tblGrid>
      <w:tr w:rsidR="00844EE5" w:rsidRPr="00844EE5" w:rsidTr="007253F1">
        <w:tc>
          <w:tcPr>
            <w:tcW w:w="1331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Полномочие</w:t>
            </w:r>
          </w:p>
        </w:tc>
        <w:tc>
          <w:tcPr>
            <w:tcW w:w="1450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воздействия  (установление/изменение/отмена)</w:t>
            </w:r>
          </w:p>
        </w:tc>
        <w:tc>
          <w:tcPr>
            <w:tcW w:w="1272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порядок реализации</w:t>
            </w:r>
          </w:p>
        </w:tc>
        <w:tc>
          <w:tcPr>
            <w:tcW w:w="947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областного/муниципального бюджета</w:t>
            </w:r>
          </w:p>
        </w:tc>
      </w:tr>
      <w:tr w:rsidR="00844EE5" w:rsidRPr="00844EE5" w:rsidTr="007253F1">
        <w:tc>
          <w:tcPr>
            <w:tcW w:w="5000" w:type="pct"/>
            <w:gridSpan w:val="4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Минтранс Новосибирской области</w:t>
            </w:r>
          </w:p>
        </w:tc>
      </w:tr>
      <w:tr w:rsidR="00844EE5" w:rsidRPr="00844EE5" w:rsidTr="007253F1">
        <w:tc>
          <w:tcPr>
            <w:tcW w:w="1331" w:type="pct"/>
            <w:vAlign w:val="center"/>
          </w:tcPr>
          <w:p w:rsidR="00372E6C" w:rsidRPr="00372E6C" w:rsidRDefault="00372E6C" w:rsidP="00372E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Запрашивает по </w:t>
            </w:r>
            <w:proofErr w:type="spellStart"/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межведу</w:t>
            </w:r>
            <w:proofErr w:type="spellEnd"/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72E6C" w:rsidRPr="00372E6C" w:rsidRDefault="00372E6C" w:rsidP="00372E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Выписку из ЕГРЮЛ или ЕГРИП</w:t>
            </w:r>
          </w:p>
          <w:p w:rsidR="00372E6C" w:rsidRPr="00372E6C" w:rsidRDefault="00372E6C" w:rsidP="00372E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Справку о состоянии расчетов по налогам, сборам, пеням и штрафам, по страховым взносам</w:t>
            </w:r>
          </w:p>
          <w:p w:rsidR="00844EE5" w:rsidRPr="00844EE5" w:rsidRDefault="00372E6C" w:rsidP="00372E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Выписку из ЕГРН по земельным участкам</w:t>
            </w:r>
          </w:p>
        </w:tc>
        <w:tc>
          <w:tcPr>
            <w:tcW w:w="1450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</w:p>
        </w:tc>
        <w:tc>
          <w:tcPr>
            <w:tcW w:w="1272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межведомственному запросу</w:t>
            </w:r>
          </w:p>
        </w:tc>
        <w:tc>
          <w:tcPr>
            <w:tcW w:w="947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Оценка иных расходов бюджета Новосибирской области, связанных с введением предлагаемого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99"/>
        <w:gridCol w:w="3123"/>
        <w:gridCol w:w="3674"/>
      </w:tblGrid>
      <w:tr w:rsidR="00844EE5" w:rsidRPr="00844EE5" w:rsidTr="007253F1">
        <w:tc>
          <w:tcPr>
            <w:tcW w:w="500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28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проекта акта, реализация которого может потребовать расходы</w:t>
            </w:r>
          </w:p>
        </w:tc>
        <w:tc>
          <w:tcPr>
            <w:tcW w:w="3465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994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бюджета (включая периодичность, если применимо)</w:t>
            </w:r>
          </w:p>
        </w:tc>
      </w:tr>
      <w:tr w:rsidR="00844EE5" w:rsidRPr="00844EE5" w:rsidTr="007253F1">
        <w:tc>
          <w:tcPr>
            <w:tcW w:w="500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465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994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</w:tr>
      <w:tr w:rsidR="00844EE5" w:rsidRPr="00844EE5" w:rsidTr="007253F1">
        <w:tc>
          <w:tcPr>
            <w:tcW w:w="500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Оценка возможных поступлений в областной бюджет Новосибирской области/бюджеты муниципальных образований Новосибирской области</w:t>
      </w: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1"/>
        <w:gridCol w:w="2852"/>
        <w:gridCol w:w="3031"/>
      </w:tblGrid>
      <w:tr w:rsidR="00844EE5" w:rsidRPr="00844EE5" w:rsidTr="007253F1">
        <w:trPr>
          <w:trHeight w:val="28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5" w:rsidRPr="00844EE5" w:rsidRDefault="00844EE5" w:rsidP="0084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бюджета бюджетной системы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5" w:rsidRPr="00844EE5" w:rsidRDefault="00844EE5" w:rsidP="0084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поступлений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5" w:rsidRPr="00844EE5" w:rsidRDefault="00844EE5" w:rsidP="0084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и периодичность возможных поступлений в соответствующий бюджет</w:t>
            </w:r>
          </w:p>
        </w:tc>
      </w:tr>
      <w:tr w:rsidR="00844EE5" w:rsidRPr="00844EE5" w:rsidTr="007253F1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5" w:rsidRPr="00844EE5" w:rsidRDefault="00372E6C" w:rsidP="0084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5" w:rsidRPr="00844EE5" w:rsidRDefault="00372E6C" w:rsidP="0084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5" w:rsidRPr="00844EE5" w:rsidRDefault="00372E6C" w:rsidP="0084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</w:tr>
    </w:tbl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Обоснование количественной оценки поступлений в соответствующий бюджет __________</w:t>
      </w:r>
      <w:r w:rsidR="00372E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Анализ воздействия предлагаемого регулирования на состояние конкуренции в Новосибирской области в регулируемой сфере деятельности.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4.1. Положения, которые могут отрицательно воздействовать на состояние конкуренции</w:t>
      </w:r>
    </w:p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5000" w:type="pct"/>
        <w:tblLook w:val="06A0" w:firstRow="1" w:lastRow="0" w:firstColumn="1" w:lastColumn="0" w:noHBand="1" w:noVBand="1"/>
      </w:tblPr>
      <w:tblGrid>
        <w:gridCol w:w="762"/>
        <w:gridCol w:w="4754"/>
        <w:gridCol w:w="1344"/>
        <w:gridCol w:w="3276"/>
      </w:tblGrid>
      <w:tr w:rsidR="00844EE5" w:rsidRPr="00844EE5" w:rsidTr="007253F1">
        <w:tc>
          <w:tcPr>
            <w:tcW w:w="376" w:type="pct"/>
            <w:vMerge w:val="restart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r w:rsidRPr="00844EE5">
              <w:rPr>
                <w:b/>
              </w:rPr>
              <w:t xml:space="preserve">№ </w:t>
            </w:r>
            <w:proofErr w:type="gramStart"/>
            <w:r w:rsidRPr="00844EE5">
              <w:rPr>
                <w:b/>
              </w:rPr>
              <w:t>п</w:t>
            </w:r>
            <w:proofErr w:type="gramEnd"/>
            <w:r w:rsidRPr="00844EE5">
              <w:rPr>
                <w:b/>
              </w:rPr>
              <w:t>/п</w:t>
            </w:r>
          </w:p>
        </w:tc>
        <w:tc>
          <w:tcPr>
            <w:tcW w:w="2345" w:type="pct"/>
            <w:vMerge w:val="restart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r w:rsidRPr="00844EE5">
              <w:rPr>
                <w:b/>
              </w:rPr>
              <w:t>Положение, которое может отрицательно воздействовать на состояние конкуренции</w:t>
            </w:r>
          </w:p>
        </w:tc>
        <w:tc>
          <w:tcPr>
            <w:tcW w:w="2279" w:type="pct"/>
            <w:gridSpan w:val="2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r w:rsidRPr="00844EE5">
              <w:rPr>
                <w:b/>
              </w:rPr>
              <w:t>Наличие положения в проекте акта</w:t>
            </w:r>
          </w:p>
        </w:tc>
      </w:tr>
      <w:tr w:rsidR="00844EE5" w:rsidRPr="00844EE5" w:rsidTr="007253F1">
        <w:tc>
          <w:tcPr>
            <w:tcW w:w="376" w:type="pct"/>
            <w:vMerge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</w:p>
        </w:tc>
        <w:tc>
          <w:tcPr>
            <w:tcW w:w="2345" w:type="pct"/>
            <w:vMerge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proofErr w:type="gramStart"/>
            <w:r w:rsidRPr="00844EE5">
              <w:rPr>
                <w:b/>
              </w:rPr>
              <w:t>Есть</w:t>
            </w:r>
            <w:proofErr w:type="gramEnd"/>
            <w:r w:rsidRPr="00844EE5">
              <w:rPr>
                <w:b/>
              </w:rPr>
              <w:t xml:space="preserve"> /нет</w:t>
            </w:r>
          </w:p>
        </w:tc>
        <w:tc>
          <w:tcPr>
            <w:tcW w:w="1616" w:type="pct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r w:rsidRPr="00844EE5">
              <w:rPr>
                <w:b/>
              </w:rPr>
              <w:t>Ссылка на положение</w:t>
            </w:r>
          </w:p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pPr>
              <w:rPr>
                <w:b/>
              </w:rPr>
            </w:pPr>
            <w:r w:rsidRPr="00844EE5">
              <w:rPr>
                <w:b/>
              </w:rPr>
              <w:t>1</w:t>
            </w:r>
          </w:p>
        </w:tc>
        <w:tc>
          <w:tcPr>
            <w:tcW w:w="4624" w:type="pct"/>
            <w:gridSpan w:val="3"/>
          </w:tcPr>
          <w:p w:rsidR="00844EE5" w:rsidRPr="00844EE5" w:rsidRDefault="00844EE5" w:rsidP="00844EE5">
            <w:r w:rsidRPr="00844EE5">
              <w:t xml:space="preserve">Ограничение количества или круга субъектов </w:t>
            </w:r>
            <w:proofErr w:type="gramStart"/>
            <w:r w:rsidRPr="00844EE5">
              <w:t>предпринимательской</w:t>
            </w:r>
            <w:proofErr w:type="gramEnd"/>
            <w:r w:rsidRPr="00844EE5">
              <w:t xml:space="preserve"> деятельности</w:t>
            </w:r>
          </w:p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1.1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Предоставляет преимущество по продаже товаров, выполнению работ, оказанию услуг субъекту (группе субъектов) предпринимательской деятельности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1.2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Ограничивает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1.3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1.4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Создает географический барьер, ограничивающий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pPr>
              <w:rPr>
                <w:b/>
              </w:rPr>
            </w:pPr>
            <w:r w:rsidRPr="00844EE5">
              <w:rPr>
                <w:b/>
              </w:rPr>
              <w:t>2</w:t>
            </w:r>
          </w:p>
        </w:tc>
        <w:tc>
          <w:tcPr>
            <w:tcW w:w="4624" w:type="pct"/>
            <w:gridSpan w:val="3"/>
          </w:tcPr>
          <w:p w:rsidR="00844EE5" w:rsidRPr="00844EE5" w:rsidRDefault="00844EE5" w:rsidP="00844EE5">
            <w:r w:rsidRPr="00844EE5">
              <w:t>Ограничение способности субъектов предпринимательской деятельности вести конкуренцию</w:t>
            </w:r>
          </w:p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2.1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Ограничивает возможность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2.2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 xml:space="preserve">Ограничивает свободу субъектов </w:t>
            </w:r>
            <w:proofErr w:type="gramStart"/>
            <w:r w:rsidRPr="00844EE5">
              <w:t>предпринимательской</w:t>
            </w:r>
            <w:proofErr w:type="gramEnd"/>
            <w:r w:rsidRPr="00844EE5">
              <w:t xml:space="preserve"> деятельности осуществлять рекламу или маркетинг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</w:tbl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Default="00844EE5" w:rsidP="00372E6C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4.2. Обоснование необходимости введения указанных разработчиком положений (при наличии): </w:t>
      </w:r>
    </w:p>
    <w:p w:rsidR="00372E6C" w:rsidRPr="00844EE5" w:rsidRDefault="00372E6C" w:rsidP="00372E6C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E6C">
        <w:rPr>
          <w:rFonts w:ascii="Times New Roman" w:eastAsia="Times New Roman" w:hAnsi="Times New Roman" w:cs="Times New Roman"/>
          <w:b/>
          <w:sz w:val="28"/>
          <w:szCs w:val="28"/>
        </w:rPr>
        <w:t>Четко прописывается сама процедура проведения торгов в форме аукциона</w:t>
      </w:r>
    </w:p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4.3. Риск отрицательного воздействия на состояние конкуренции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осуществляющих предпринимательскую деятельность в регулируемой сфере, составляет </w:t>
      </w:r>
      <w:r w:rsidR="00372E6C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. (Источник: </w:t>
      </w:r>
      <w:r w:rsidR="00372E6C" w:rsidRPr="00372E6C">
        <w:rPr>
          <w:rFonts w:ascii="Times New Roman" w:eastAsia="Times New Roman" w:hAnsi="Times New Roman" w:cs="Times New Roman"/>
          <w:sz w:val="28"/>
          <w:szCs w:val="28"/>
        </w:rPr>
        <w:t>http://mintrans.nso.ru/page/1248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>.) Из них соответствуют требованиям предлагаемого регулирования либо имеют возможность соответствовать им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 w:rsidR="00372E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>___ (__</w:t>
      </w:r>
      <w:r w:rsidR="00372E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__ % 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от указанного количества, доля). 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Вводимое регулирование, в соответствии с нижеследующим порядком расчета, обладает _________</w:t>
      </w:r>
      <w:r w:rsidR="00372E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>_______ степенью риска отрицательного воздействия на состояние конкуренции.</w:t>
      </w:r>
    </w:p>
    <w:p w:rsidR="00844EE5" w:rsidRPr="00844EE5" w:rsidRDefault="00844EE5" w:rsidP="00844EE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</w:tblGrid>
      <w:tr w:rsidR="00844EE5" w:rsidRPr="00844EE5" w:rsidTr="007253F1">
        <w:tc>
          <w:tcPr>
            <w:tcW w:w="2534" w:type="dxa"/>
            <w:vMerge w:val="restart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 xml:space="preserve">Доля лиц, указанных в подпункте 4.3 пункта 4 части </w:t>
            </w:r>
            <w:r w:rsidRPr="00844E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 xml:space="preserve"> сводного отчета</w:t>
            </w:r>
          </w:p>
        </w:tc>
        <w:tc>
          <w:tcPr>
            <w:tcW w:w="7602" w:type="dxa"/>
            <w:gridSpan w:val="3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>Степень риска отрицательного воздействия</w:t>
            </w:r>
          </w:p>
        </w:tc>
      </w:tr>
      <w:tr w:rsidR="00844EE5" w:rsidRPr="00844EE5" w:rsidTr="007253F1">
        <w:tc>
          <w:tcPr>
            <w:tcW w:w="2534" w:type="dxa"/>
            <w:vMerge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>Низкая</w:t>
            </w:r>
          </w:p>
        </w:tc>
      </w:tr>
      <w:tr w:rsidR="00844EE5" w:rsidRPr="00844EE5" w:rsidTr="007253F1"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менее 50 %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</w:tr>
      <w:tr w:rsidR="00844EE5" w:rsidRPr="00844EE5" w:rsidTr="007253F1"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от 50 до 80 %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</w:tr>
      <w:tr w:rsidR="00844EE5" w:rsidRPr="00844EE5" w:rsidTr="007253F1"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более 80 %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</w:tr>
    </w:tbl>
    <w:p w:rsidR="00844EE5" w:rsidRPr="00844EE5" w:rsidRDefault="00844EE5" w:rsidP="00844EE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FC22AB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Иные риски решения проблем предложенным способом и риски негативных последствий </w:t>
      </w:r>
      <w:r w:rsidR="00FC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2AB" w:rsidRPr="00FC2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отсутствуют</w:t>
      </w:r>
    </w:p>
    <w:p w:rsidR="00844EE5" w:rsidRPr="00844EE5" w:rsidRDefault="00844EE5" w:rsidP="00FC22A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Порядок введения регулирования</w:t>
      </w:r>
      <w:r w:rsidRPr="00844E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2AB" w:rsidRPr="00FC2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Иные сведения, которые, по мнению разработчика акта, позволяют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обоснованность предлагаемого регулирования ___________</w:t>
      </w:r>
      <w:r w:rsidR="00FC2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44EE5" w:rsidRPr="00844EE5" w:rsidSect="00C008F8">
          <w:headerReference w:type="default" r:id="rId8"/>
          <w:pgSz w:w="11905" w:h="16838"/>
          <w:pgMar w:top="1134" w:right="567" w:bottom="1134" w:left="1418" w:header="0" w:footer="0" w:gutter="0"/>
          <w:cols w:space="720"/>
          <w:titlePg/>
          <w:docGrid w:linePitch="326"/>
        </w:sect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Обоснование проблем и способы их решения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Описание проблем, негативных эффектов и их обоснование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3136"/>
        <w:gridCol w:w="2213"/>
        <w:gridCol w:w="3074"/>
        <w:gridCol w:w="5595"/>
      </w:tblGrid>
      <w:tr w:rsidR="00844EE5" w:rsidRPr="00844EE5" w:rsidTr="007253F1">
        <w:tc>
          <w:tcPr>
            <w:tcW w:w="230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67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</w:t>
            </w: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(сущность проблемы)</w:t>
            </w:r>
          </w:p>
        </w:tc>
        <w:tc>
          <w:tcPr>
            <w:tcW w:w="753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проблемы</w:t>
            </w:r>
          </w:p>
        </w:tc>
        <w:tc>
          <w:tcPr>
            <w:tcW w:w="1046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эффекты</w:t>
            </w:r>
          </w:p>
        </w:tc>
        <w:tc>
          <w:tcPr>
            <w:tcW w:w="190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негативных эффектов</w:t>
            </w:r>
          </w:p>
        </w:tc>
      </w:tr>
      <w:tr w:rsidR="00844EE5" w:rsidRPr="00844EE5" w:rsidTr="007253F1">
        <w:tc>
          <w:tcPr>
            <w:tcW w:w="230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 по  определению специализированной организации, осуществляющей перемещение, хранение и возврат задержанных транспортных средств не соответствует формам, указанным в приказе ФАС России</w:t>
            </w:r>
          </w:p>
        </w:tc>
        <w:tc>
          <w:tcPr>
            <w:tcW w:w="753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Противоречит нормам </w:t>
            </w:r>
            <w:proofErr w:type="gramStart"/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законодательства</w:t>
            </w:r>
          </w:p>
        </w:tc>
        <w:tc>
          <w:tcPr>
            <w:tcW w:w="1904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определения специализированной организации не предусмотрена приказом ФАС России, поэтому торги по определению таких организаций на территориях оставшихся муниципальных районов Новосибирской области проводиться не могут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Описание способов решения заявленных проблем (международного опыта, опыта других </w:t>
      </w: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Федерации), в том числе без введения предлагаемого регулирования.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4"/>
        <w:gridCol w:w="935"/>
        <w:gridCol w:w="4147"/>
        <w:gridCol w:w="2877"/>
        <w:gridCol w:w="3001"/>
      </w:tblGrid>
      <w:tr w:rsidR="00844EE5" w:rsidRPr="00844EE5" w:rsidTr="007253F1">
        <w:trPr>
          <w:trHeight w:val="614"/>
        </w:trPr>
        <w:tc>
          <w:tcPr>
            <w:tcW w:w="1271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проблемы с указанием номера (из </w:t>
            </w:r>
            <w:hyperlink w:anchor="P595" w:history="1">
              <w:r w:rsidRPr="00844E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таблицы 1</w:t>
              </w:r>
            </w:hyperlink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9" w:type="pct"/>
            <w:gridSpan w:val="2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решения заявленных проблем</w:t>
            </w:r>
          </w:p>
        </w:tc>
        <w:tc>
          <w:tcPr>
            <w:tcW w:w="979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субъекта РФ (страны)</w:t>
            </w:r>
          </w:p>
        </w:tc>
        <w:tc>
          <w:tcPr>
            <w:tcW w:w="1021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данных (название статьи нормативного правового акта, адрес страницы сайта)</w:t>
            </w:r>
          </w:p>
        </w:tc>
      </w:tr>
      <w:tr w:rsidR="00844EE5" w:rsidRPr="00844EE5" w:rsidTr="007253F1">
        <w:trPr>
          <w:trHeight w:val="613"/>
        </w:trPr>
        <w:tc>
          <w:tcPr>
            <w:tcW w:w="1271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способа</w:t>
            </w:r>
          </w:p>
        </w:tc>
        <w:tc>
          <w:tcPr>
            <w:tcW w:w="1411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способа</w:t>
            </w:r>
          </w:p>
        </w:tc>
        <w:tc>
          <w:tcPr>
            <w:tcW w:w="979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EE5" w:rsidRPr="00844EE5" w:rsidTr="007253F1">
        <w:tc>
          <w:tcPr>
            <w:tcW w:w="1271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торгов по  определению специализированной организации, осуществляющей перемещение, хранение и возврат задержанных транспортных средств не соответствует формам, указанным в приказе ФАС России</w:t>
            </w:r>
          </w:p>
        </w:tc>
        <w:tc>
          <w:tcPr>
            <w:tcW w:w="318" w:type="pct"/>
          </w:tcPr>
          <w:p w:rsid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1" w:type="pct"/>
          </w:tcPr>
          <w:p w:rsid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постановления</w:t>
            </w: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утратившим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силу прежнего порядка и принятие нового постановления </w:t>
            </w:r>
          </w:p>
        </w:tc>
        <w:tc>
          <w:tcPr>
            <w:tcW w:w="979" w:type="pct"/>
          </w:tcPr>
          <w:p w:rsid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</w:tcPr>
          <w:p w:rsidR="002F36E7" w:rsidRDefault="002F36E7" w:rsidP="002F36E7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Калининградской области от 04.09.2017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определении порядка проведения торгов на право заключения договоров на осуществление деятельности по перемещению задержанных транспортных средств на специализированную стоянку и их хранению на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ритории Калининградской области»</w:t>
            </w:r>
            <w:proofErr w:type="gramEnd"/>
          </w:p>
          <w:p w:rsid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0809D8">
                <w:rPr>
                  <w:rStyle w:val="ab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http://www.pravo.gov.ru</w:t>
              </w:r>
            </w:hyperlink>
          </w:p>
          <w:p w:rsidR="002F36E7" w:rsidRDefault="002F36E7" w:rsidP="002F36E7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Тульской области от 12.10.2017 N 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Требований к органам (учреждениям, организациям), исполняющим решение о задержании транспортного средства, за исключением трамвая, путем его перемещения на специализированную стоянку, хранения и возврата и Порядка проведения торгов (аукционов на понижение цены) для определения таких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ганов (учреждений, организаций)»</w:t>
            </w:r>
          </w:p>
          <w:p w:rsidR="002F36E7" w:rsidRPr="002F36E7" w:rsidRDefault="002F36E7" w:rsidP="002F36E7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http://npatula.ru</w:t>
            </w:r>
          </w:p>
          <w:p w:rsidR="002F36E7" w:rsidRDefault="002F36E7" w:rsidP="002F36E7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E7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Описание иных </w:t>
      </w: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решения заявленных проблем, в том числе без введения предлагаемого регулирования.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способов, описанных в </w:t>
      </w:r>
      <w:hyperlink w:anchor="P648" w:history="1">
        <w:r w:rsidRPr="00844EE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таблице 2</w:t>
        </w:r>
      </w:hyperlink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части, заявленные проблемы могут быть решены также иными способами (в том числе без введения нового регулирования)</w:t>
      </w: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0"/>
        <w:gridCol w:w="935"/>
        <w:gridCol w:w="6418"/>
        <w:gridCol w:w="3241"/>
      </w:tblGrid>
      <w:tr w:rsidR="00844EE5" w:rsidRPr="00844EE5" w:rsidTr="007253F1">
        <w:trPr>
          <w:trHeight w:val="460"/>
        </w:trPr>
        <w:tc>
          <w:tcPr>
            <w:tcW w:w="1395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проблемы с указанием номера (из </w:t>
            </w:r>
            <w:hyperlink w:anchor="P595" w:history="1">
              <w:r w:rsidRPr="00844E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таблицы 1</w:t>
              </w:r>
            </w:hyperlink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2" w:type="pct"/>
            <w:gridSpan w:val="2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решения заявленных проблем</w:t>
            </w:r>
          </w:p>
        </w:tc>
        <w:tc>
          <w:tcPr>
            <w:tcW w:w="1103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844EE5" w:rsidRPr="00844EE5" w:rsidTr="007253F1">
        <w:trPr>
          <w:trHeight w:val="460"/>
        </w:trPr>
        <w:tc>
          <w:tcPr>
            <w:tcW w:w="1395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способа</w:t>
            </w:r>
          </w:p>
        </w:tc>
        <w:tc>
          <w:tcPr>
            <w:tcW w:w="218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способа</w:t>
            </w:r>
          </w:p>
        </w:tc>
        <w:tc>
          <w:tcPr>
            <w:tcW w:w="1103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EE5" w:rsidRPr="00844EE5" w:rsidTr="007253F1">
        <w:tc>
          <w:tcPr>
            <w:tcW w:w="1395" w:type="pct"/>
          </w:tcPr>
          <w:p w:rsidR="00844EE5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18" w:type="pct"/>
          </w:tcPr>
          <w:p w:rsidR="00844EE5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2184" w:type="pct"/>
          </w:tcPr>
          <w:p w:rsidR="00844EE5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103" w:type="pct"/>
          </w:tcPr>
          <w:p w:rsidR="00844EE5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44EE5" w:rsidRPr="00844EE5" w:rsidSect="00C008F8">
          <w:pgSz w:w="16838" w:h="11905" w:orient="landscape"/>
          <w:pgMar w:top="1418" w:right="1134" w:bottom="567" w:left="1134" w:header="0" w:footer="0" w:gutter="0"/>
          <w:cols w:space="720"/>
          <w:docGrid w:linePitch="299"/>
        </w:sectPr>
      </w:pPr>
    </w:p>
    <w:p w:rsidR="00844EE5" w:rsidRPr="00844EE5" w:rsidRDefault="00844EE5" w:rsidP="00844E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Сведения о проведении публичных консультаций</w:t>
      </w:r>
    </w:p>
    <w:p w:rsidR="00844EE5" w:rsidRPr="00844EE5" w:rsidRDefault="00844EE5" w:rsidP="00844E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Сведения о проведении публичных консультаций по уведомлению о необходимости разработки проекта акта</w:t>
      </w:r>
    </w:p>
    <w:p w:rsidR="00844EE5" w:rsidRPr="00844EE5" w:rsidRDefault="00844EE5" w:rsidP="00844EE5">
      <w:pPr>
        <w:spacing w:after="0" w:line="240" w:lineRule="auto"/>
        <w:ind w:left="39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2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проводились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499549726"/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проводились с ______________ по _____________; информация доступна в сети Интернет по следующему адресу: ______________________________________</w:t>
      </w:r>
      <w:r w:rsidR="002F36E7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proofErr w:type="gramEnd"/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844EE5" w:rsidRPr="00844EE5" w:rsidRDefault="00844EE5" w:rsidP="00844EE5">
      <w:pPr>
        <w:numPr>
          <w:ilvl w:val="2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не проводились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______________________ Порядка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области, утвержденного постановлением Губернатора Новосибирской области от 17.01.2017 № 2,___________________________________________________________________</w:t>
      </w:r>
      <w:r w:rsidR="002F36E7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1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Сведения о проведении публичных консультаций по проекту акта, сводному отчету</w:t>
      </w:r>
    </w:p>
    <w:p w:rsidR="00844EE5" w:rsidRPr="00844EE5" w:rsidRDefault="00844EE5" w:rsidP="00844EE5">
      <w:pPr>
        <w:spacing w:after="0" w:line="240" w:lineRule="auto"/>
        <w:ind w:left="39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2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проводились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проводились с ______________ по _____________; информация доступна в сети Интернет по следующему адресу: _______________________________________</w:t>
      </w:r>
      <w:r w:rsidR="002F36E7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bookmarkStart w:id="1" w:name="_GoBack"/>
      <w:bookmarkEnd w:id="1"/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2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не проводились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____ пункта 24 Порядка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области, утвержденного постановлением Губернатора Новосибирской области от 17.01.2017 № 2, _______________________________ ____</w:t>
      </w:r>
      <w:r w:rsidR="002F36E7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470"/>
        <w:gridCol w:w="2073"/>
        <w:gridCol w:w="3028"/>
      </w:tblGrid>
      <w:tr w:rsidR="002F36E7" w:rsidRPr="00844EE5" w:rsidTr="007253F1">
        <w:tc>
          <w:tcPr>
            <w:tcW w:w="4837" w:type="dxa"/>
            <w:vAlign w:val="center"/>
          </w:tcPr>
          <w:p w:rsidR="00844EE5" w:rsidRPr="00844EE5" w:rsidRDefault="002F36E7" w:rsidP="00844E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bottom"/>
          </w:tcPr>
          <w:p w:rsidR="00844EE5" w:rsidRPr="00844EE5" w:rsidRDefault="00844EE5" w:rsidP="00844EE5">
            <w:pPr>
              <w:spacing w:before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6" w:type="dxa"/>
            <w:vAlign w:val="bottom"/>
          </w:tcPr>
          <w:p w:rsidR="00844EE5" w:rsidRPr="00844EE5" w:rsidRDefault="00844EE5" w:rsidP="002F36E7">
            <w:pPr>
              <w:rPr>
                <w:rFonts w:ascii="Times New Roman" w:hAnsi="Times New Roman"/>
                <w:sz w:val="28"/>
                <w:szCs w:val="28"/>
              </w:rPr>
            </w:pPr>
            <w:r w:rsidRPr="00844EE5">
              <w:rPr>
                <w:rFonts w:ascii="Times New Roman" w:hAnsi="Times New Roman"/>
                <w:sz w:val="28"/>
                <w:szCs w:val="28"/>
              </w:rPr>
              <w:t>/</w:t>
            </w:r>
            <w:r w:rsidR="002F36E7">
              <w:rPr>
                <w:rFonts w:ascii="Times New Roman" w:hAnsi="Times New Roman"/>
                <w:sz w:val="28"/>
                <w:szCs w:val="28"/>
              </w:rPr>
              <w:t>Костылевский А.В.</w:t>
            </w:r>
            <w:r w:rsidRPr="00844EE5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2F36E7" w:rsidRPr="00844EE5" w:rsidTr="007253F1">
        <w:tc>
          <w:tcPr>
            <w:tcW w:w="4837" w:type="dxa"/>
            <w:vAlign w:val="center"/>
          </w:tcPr>
          <w:p w:rsidR="00844EE5" w:rsidRPr="00844EE5" w:rsidRDefault="00844EE5" w:rsidP="00844E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46" w:type="dxa"/>
          </w:tcPr>
          <w:p w:rsidR="00844EE5" w:rsidRPr="00844EE5" w:rsidRDefault="00844EE5" w:rsidP="00844EE5">
            <w:pPr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</w:tr>
    </w:tbl>
    <w:p w:rsidR="00844EE5" w:rsidRPr="00844EE5" w:rsidRDefault="00844EE5" w:rsidP="00844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C6" w:rsidRDefault="00C91AC6" w:rsidP="00844EE5">
      <w:pPr>
        <w:spacing w:after="0" w:line="240" w:lineRule="auto"/>
      </w:pPr>
      <w:r>
        <w:separator/>
      </w:r>
    </w:p>
  </w:endnote>
  <w:endnote w:type="continuationSeparator" w:id="0">
    <w:p w:rsidR="00C91AC6" w:rsidRDefault="00C91AC6" w:rsidP="0084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C6" w:rsidRDefault="00C91AC6" w:rsidP="00844EE5">
      <w:pPr>
        <w:spacing w:after="0" w:line="240" w:lineRule="auto"/>
      </w:pPr>
      <w:r>
        <w:separator/>
      </w:r>
    </w:p>
  </w:footnote>
  <w:footnote w:type="continuationSeparator" w:id="0">
    <w:p w:rsidR="00C91AC6" w:rsidRDefault="00C91AC6" w:rsidP="00844EE5">
      <w:pPr>
        <w:spacing w:after="0" w:line="240" w:lineRule="auto"/>
      </w:pPr>
      <w:r>
        <w:continuationSeparator/>
      </w:r>
    </w:p>
  </w:footnote>
  <w:footnote w:id="1">
    <w:p w:rsidR="00844EE5" w:rsidRDefault="00844EE5" w:rsidP="00844EE5">
      <w:pPr>
        <w:pStyle w:val="a7"/>
        <w:jc w:val="both"/>
      </w:pPr>
      <w:r w:rsidRPr="001C0EE2">
        <w:rPr>
          <w:rStyle w:val="a9"/>
        </w:rPr>
        <w:footnoteRef/>
      </w:r>
      <w:r w:rsidRPr="001C0EE2">
        <w:t xml:space="preserve"> Если отмена или изменение полномочий вед</w:t>
      </w:r>
      <w:r>
        <w:t>е</w:t>
      </w:r>
      <w:r w:rsidRPr="001C0EE2">
        <w:t>т к сокращению расходов соответствующего бюджета, высвобождению трудовых и иных ресурсов</w:t>
      </w:r>
      <w:r>
        <w:t>,</w:t>
      </w:r>
      <w:r w:rsidRPr="001C0EE2">
        <w:t xml:space="preserve"> информацию рекомендуется указать в пункте 7</w:t>
      </w:r>
      <w:r>
        <w:t xml:space="preserve"> части </w:t>
      </w:r>
      <w:r>
        <w:rPr>
          <w:lang w:val="en-US"/>
        </w:rPr>
        <w:t>II</w:t>
      </w:r>
      <w:r w:rsidRPr="00482C76">
        <w:t xml:space="preserve"> </w:t>
      </w:r>
      <w:r>
        <w:t>сводного отчета</w:t>
      </w:r>
    </w:p>
  </w:footnote>
  <w:footnote w:id="2">
    <w:p w:rsidR="00844EE5" w:rsidRDefault="00844EE5" w:rsidP="00844EE5">
      <w:pPr>
        <w:pStyle w:val="a7"/>
        <w:jc w:val="both"/>
      </w:pPr>
      <w:r w:rsidRPr="00451B82">
        <w:rPr>
          <w:rStyle w:val="a9"/>
        </w:rPr>
        <w:footnoteRef/>
      </w:r>
      <w:r>
        <w:t> </w:t>
      </w:r>
      <w:r w:rsidRPr="00451B82">
        <w:t xml:space="preserve">Указывается обоснование (отсутствия) необходимости установления переходного периода или отсрочки вступления в силу </w:t>
      </w:r>
      <w:r>
        <w:t>нормативного правового акта</w:t>
      </w:r>
    </w:p>
  </w:footnote>
  <w:footnote w:id="3">
    <w:p w:rsidR="00844EE5" w:rsidRDefault="00844EE5" w:rsidP="00844EE5">
      <w:pPr>
        <w:pStyle w:val="a7"/>
        <w:jc w:val="both"/>
      </w:pPr>
      <w:r w:rsidRPr="009978DA">
        <w:rPr>
          <w:rStyle w:val="a9"/>
        </w:rPr>
        <w:footnoteRef/>
      </w:r>
      <w:r w:rsidRPr="009978DA">
        <w:t xml:space="preserve"> Разработчиком акта может быть сформулирован иной способ решения заявленных проблем, не представленный в других субъектах РФ. В примечании может быть приведена ссылка на нормативный</w:t>
      </w:r>
      <w:r>
        <w:t xml:space="preserve"> правовой </w:t>
      </w:r>
      <w:r w:rsidRPr="009978DA">
        <w:t xml:space="preserve"> акт (при необходимости), на статьи, иные работы, в которых такой способ предлагается, или иная информация, которую сочт</w:t>
      </w:r>
      <w:r>
        <w:t>е</w:t>
      </w:r>
      <w:r w:rsidRPr="009978DA">
        <w:t>т нужным привести разработчик акта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E5" w:rsidRDefault="00844EE5">
    <w:pPr>
      <w:pStyle w:val="a5"/>
      <w:jc w:val="center"/>
    </w:pPr>
  </w:p>
  <w:p w:rsidR="00844EE5" w:rsidRPr="00D44F1A" w:rsidRDefault="00844EE5">
    <w:pPr>
      <w:pStyle w:val="a5"/>
      <w:jc w:val="center"/>
      <w:rPr>
        <w:color w:val="FFFFFF" w:themeColor="background1"/>
      </w:rPr>
    </w:pPr>
    <w:r w:rsidRPr="00D44F1A">
      <w:rPr>
        <w:color w:val="FFFFFF" w:themeColor="background1"/>
      </w:rPr>
      <w:fldChar w:fldCharType="begin"/>
    </w:r>
    <w:r w:rsidRPr="00D44F1A">
      <w:rPr>
        <w:color w:val="FFFFFF" w:themeColor="background1"/>
      </w:rPr>
      <w:instrText>PAGE   \* MERGEFORMAT</w:instrText>
    </w:r>
    <w:r w:rsidRPr="00D44F1A">
      <w:rPr>
        <w:color w:val="FFFFFF" w:themeColor="background1"/>
      </w:rPr>
      <w:fldChar w:fldCharType="separate"/>
    </w:r>
    <w:r w:rsidR="002F36E7">
      <w:rPr>
        <w:noProof/>
        <w:color w:val="FFFFFF" w:themeColor="background1"/>
      </w:rPr>
      <w:t>6</w:t>
    </w:r>
    <w:r w:rsidRPr="00D44F1A">
      <w:rPr>
        <w:color w:val="FFFFFF" w:themeColor="background1"/>
      </w:rPr>
      <w:fldChar w:fldCharType="end"/>
    </w:r>
  </w:p>
  <w:p w:rsidR="00844EE5" w:rsidRDefault="00844E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F94"/>
    <w:multiLevelType w:val="multilevel"/>
    <w:tmpl w:val="43E2857E"/>
    <w:styleLink w:val="a"/>
    <w:lvl w:ilvl="0">
      <w:start w:val="1"/>
      <w:numFmt w:val="decimal"/>
      <w:pStyle w:val="a0"/>
      <w:suff w:val="space"/>
      <w:lvlText w:val="%1."/>
      <w:lvlJc w:val="left"/>
      <w:pPr>
        <w:ind w:firstLine="397"/>
      </w:pPr>
      <w:rPr>
        <w:rFonts w:cs="Times New Roman" w:hint="default"/>
      </w:rPr>
    </w:lvl>
    <w:lvl w:ilvl="1">
      <w:start w:val="1"/>
      <w:numFmt w:val="bullet"/>
      <w:suff w:val="space"/>
      <w:lvlText w:val=""/>
      <w:lvlJc w:val="left"/>
      <w:pPr>
        <w:ind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a0"/>
        <w:suff w:val="space"/>
        <w:lvlText w:val="%1."/>
        <w:lvlJc w:val="left"/>
        <w:pPr>
          <w:ind w:firstLine="397"/>
        </w:pPr>
        <w:rPr>
          <w:rFonts w:ascii="Times New Roman" w:hAnsi="Times New Roman" w:cs="Times New Roman"/>
          <w:color w:val="auto"/>
          <w:sz w:val="22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firstLine="397"/>
        </w:pPr>
        <w:rPr>
          <w:rFonts w:ascii="Times New Roman" w:hAnsi="Times New Roman" w:cs="Times New Roman" w:hint="default"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firstLine="397"/>
        </w:pPr>
        <w:rPr>
          <w:rFonts w:ascii="Times New Roman" w:hAnsi="Times New Roman" w:cs="Times New Roman" w:hint="default"/>
          <w:b w:val="0"/>
          <w:i w:val="0"/>
          <w:color w:val="auto"/>
          <w:sz w:val="28"/>
          <w:szCs w:val="28"/>
        </w:rPr>
      </w:lvl>
    </w:lvlOverride>
    <w:lvlOverride w:ilvl="3">
      <w:lvl w:ilvl="3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4">
      <w:lvl w:ilvl="4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5">
      <w:lvl w:ilvl="5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6">
      <w:lvl w:ilvl="6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7">
      <w:lvl w:ilvl="7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8">
      <w:lvl w:ilvl="8">
        <w:start w:val="1"/>
        <w:numFmt w:val="none"/>
        <w:lvlText w:val=""/>
        <w:lvlJc w:val="left"/>
        <w:rPr>
          <w:rFonts w:cs="Times New Roman" w:hint="default"/>
        </w:rPr>
      </w:lvl>
    </w:lvlOverride>
  </w:num>
  <w:num w:numId="3">
    <w:abstractNumId w:val="0"/>
    <w:lvlOverride w:ilvl="0">
      <w:startOverride w:val="1"/>
      <w:lvl w:ilvl="0">
        <w:start w:val="1"/>
        <w:numFmt w:val="decimal"/>
        <w:pStyle w:val="a0"/>
        <w:suff w:val="space"/>
        <w:lvlText w:val="%1."/>
        <w:lvlJc w:val="left"/>
        <w:pPr>
          <w:ind w:firstLine="397"/>
        </w:pPr>
        <w:rPr>
          <w:rFonts w:ascii="Times New Roman" w:hAnsi="Times New Roman" w:cs="Times New Roman"/>
          <w:color w:val="auto"/>
          <w:sz w:val="22"/>
        </w:rPr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firstLine="397"/>
        </w:pPr>
        <w:rPr>
          <w:rFonts w:ascii="Times New Roman" w:hAnsi="Times New Roman" w:cs="Times New Roman" w:hint="default"/>
          <w:color w:val="auto"/>
          <w:sz w:val="28"/>
          <w:szCs w:val="28"/>
        </w:rPr>
      </w:lvl>
    </w:lvlOverride>
    <w:lvlOverride w:ilvl="2">
      <w:startOverride w:val="1"/>
      <w:lvl w:ilvl="2">
        <w:start w:val="1"/>
        <w:numFmt w:val="decimal"/>
        <w:suff w:val="space"/>
        <w:lvlText w:val="%2.%3."/>
        <w:lvlJc w:val="left"/>
        <w:pPr>
          <w:ind w:firstLine="397"/>
        </w:pPr>
        <w:rPr>
          <w:rFonts w:ascii="Times New Roman" w:hAnsi="Times New Roman" w:cs="Times New Roman" w:hint="default"/>
          <w:b w:val="0"/>
          <w:i w:val="0"/>
          <w:color w:val="auto"/>
          <w:sz w:val="22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E5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91A45"/>
    <w:rsid w:val="00091D82"/>
    <w:rsid w:val="00093322"/>
    <w:rsid w:val="00094071"/>
    <w:rsid w:val="00095CFA"/>
    <w:rsid w:val="000961F8"/>
    <w:rsid w:val="000A0887"/>
    <w:rsid w:val="000A45C1"/>
    <w:rsid w:val="000A69C2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717C"/>
    <w:rsid w:val="00101E65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313C6"/>
    <w:rsid w:val="00247A3E"/>
    <w:rsid w:val="00251C77"/>
    <w:rsid w:val="002568DE"/>
    <w:rsid w:val="0026571F"/>
    <w:rsid w:val="00266082"/>
    <w:rsid w:val="00280AE5"/>
    <w:rsid w:val="002870B5"/>
    <w:rsid w:val="00287647"/>
    <w:rsid w:val="002960CB"/>
    <w:rsid w:val="002A458A"/>
    <w:rsid w:val="002A5CA9"/>
    <w:rsid w:val="002A78DD"/>
    <w:rsid w:val="002B73BC"/>
    <w:rsid w:val="002C0F72"/>
    <w:rsid w:val="002C446B"/>
    <w:rsid w:val="002C7917"/>
    <w:rsid w:val="002D1044"/>
    <w:rsid w:val="002D333E"/>
    <w:rsid w:val="002D333F"/>
    <w:rsid w:val="002D4D26"/>
    <w:rsid w:val="002E0678"/>
    <w:rsid w:val="002E2580"/>
    <w:rsid w:val="002E3969"/>
    <w:rsid w:val="002E79C4"/>
    <w:rsid w:val="002F07BB"/>
    <w:rsid w:val="002F36E7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E6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51A4"/>
    <w:rsid w:val="00436D7E"/>
    <w:rsid w:val="00440A26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7EB3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70344E"/>
    <w:rsid w:val="00711B9C"/>
    <w:rsid w:val="00714113"/>
    <w:rsid w:val="0072075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4EE5"/>
    <w:rsid w:val="00845FBD"/>
    <w:rsid w:val="00847961"/>
    <w:rsid w:val="00847C0A"/>
    <w:rsid w:val="00851665"/>
    <w:rsid w:val="0085762C"/>
    <w:rsid w:val="0086029B"/>
    <w:rsid w:val="00861F48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012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B00D41"/>
    <w:rsid w:val="00B025FF"/>
    <w:rsid w:val="00B159BB"/>
    <w:rsid w:val="00B17942"/>
    <w:rsid w:val="00B256FD"/>
    <w:rsid w:val="00B349DF"/>
    <w:rsid w:val="00B36F33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AC6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76A"/>
    <w:rsid w:val="00E13674"/>
    <w:rsid w:val="00E13D99"/>
    <w:rsid w:val="00E20723"/>
    <w:rsid w:val="00E2124B"/>
    <w:rsid w:val="00E21E3D"/>
    <w:rsid w:val="00E2258F"/>
    <w:rsid w:val="00E245BD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6741"/>
    <w:rsid w:val="00F21014"/>
    <w:rsid w:val="00F26E46"/>
    <w:rsid w:val="00F31140"/>
    <w:rsid w:val="00F31C8B"/>
    <w:rsid w:val="00F32462"/>
    <w:rsid w:val="00F32BF5"/>
    <w:rsid w:val="00F34A03"/>
    <w:rsid w:val="00F34A24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2AB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844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2"/>
    <w:link w:val="a5"/>
    <w:uiPriority w:val="99"/>
    <w:rsid w:val="00844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1"/>
    <w:link w:val="a8"/>
    <w:uiPriority w:val="99"/>
    <w:unhideWhenUsed/>
    <w:rsid w:val="0084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7"/>
    <w:uiPriority w:val="99"/>
    <w:rsid w:val="00844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2"/>
    <w:uiPriority w:val="99"/>
    <w:unhideWhenUsed/>
    <w:rsid w:val="00844EE5"/>
    <w:rPr>
      <w:rFonts w:cs="Times New Roman"/>
      <w:vertAlign w:val="superscript"/>
    </w:rPr>
  </w:style>
  <w:style w:type="paragraph" w:customStyle="1" w:styleId="a0">
    <w:name w:val="Текст документа"/>
    <w:basedOn w:val="a1"/>
    <w:rsid w:val="00844EE5"/>
    <w:pPr>
      <w:numPr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4">
    <w:name w:val="Сетка таблицы4"/>
    <w:basedOn w:val="a3"/>
    <w:next w:val="aa"/>
    <w:uiPriority w:val="39"/>
    <w:rsid w:val="00844E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3"/>
    <w:next w:val="aa"/>
    <w:uiPriority w:val="59"/>
    <w:rsid w:val="00844E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3"/>
    <w:next w:val="aa"/>
    <w:uiPriority w:val="39"/>
    <w:rsid w:val="00844EE5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квозная нумерация"/>
    <w:rsid w:val="00844EE5"/>
    <w:pPr>
      <w:numPr>
        <w:numId w:val="1"/>
      </w:numPr>
    </w:pPr>
  </w:style>
  <w:style w:type="table" w:styleId="aa">
    <w:name w:val="Table Grid"/>
    <w:basedOn w:val="a3"/>
    <w:uiPriority w:val="59"/>
    <w:rsid w:val="0084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2"/>
    <w:uiPriority w:val="99"/>
    <w:unhideWhenUsed/>
    <w:rsid w:val="002F3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844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2"/>
    <w:link w:val="a5"/>
    <w:uiPriority w:val="99"/>
    <w:rsid w:val="00844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1"/>
    <w:link w:val="a8"/>
    <w:uiPriority w:val="99"/>
    <w:unhideWhenUsed/>
    <w:rsid w:val="0084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7"/>
    <w:uiPriority w:val="99"/>
    <w:rsid w:val="00844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2"/>
    <w:uiPriority w:val="99"/>
    <w:unhideWhenUsed/>
    <w:rsid w:val="00844EE5"/>
    <w:rPr>
      <w:rFonts w:cs="Times New Roman"/>
      <w:vertAlign w:val="superscript"/>
    </w:rPr>
  </w:style>
  <w:style w:type="paragraph" w:customStyle="1" w:styleId="a0">
    <w:name w:val="Текст документа"/>
    <w:basedOn w:val="a1"/>
    <w:rsid w:val="00844EE5"/>
    <w:pPr>
      <w:numPr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4">
    <w:name w:val="Сетка таблицы4"/>
    <w:basedOn w:val="a3"/>
    <w:next w:val="aa"/>
    <w:uiPriority w:val="39"/>
    <w:rsid w:val="00844E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3"/>
    <w:next w:val="aa"/>
    <w:uiPriority w:val="59"/>
    <w:rsid w:val="00844E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3"/>
    <w:next w:val="aa"/>
    <w:uiPriority w:val="39"/>
    <w:rsid w:val="00844EE5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квозная нумерация"/>
    <w:rsid w:val="00844EE5"/>
    <w:pPr>
      <w:numPr>
        <w:numId w:val="1"/>
      </w:numPr>
    </w:pPr>
  </w:style>
  <w:style w:type="table" w:styleId="aa">
    <w:name w:val="Table Grid"/>
    <w:basedOn w:val="a3"/>
    <w:uiPriority w:val="59"/>
    <w:rsid w:val="0084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2"/>
    <w:uiPriority w:val="99"/>
    <w:unhideWhenUsed/>
    <w:rsid w:val="002F3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2136</Words>
  <Characters>12180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>    I. Общая информация</vt:lpstr>
      <vt:lpstr>    </vt:lpstr>
      <vt:lpstr>    II. Описание проблем, для решения которых разработан проект акта и предлагаемого</vt:lpstr>
      <vt:lpstr>    </vt:lpstr>
      <vt:lpstr>        1. Краткая характеристика проблем, для решения которых разработан проект акта, и</vt:lpstr>
      <vt:lpstr>        </vt:lpstr>
      <vt:lpstr>        2. Предлагаемое регулирование</vt:lpstr>
      <vt:lpstr>        </vt:lpstr>
      <vt:lpstr>        3. Заинтересованные лица</vt:lpstr>
      <vt:lpstr/>
      <vt:lpstr>        4.1. Положения, которые могут отрицательно воздействовать на состояние конкуренц</vt:lpstr>
      <vt:lpstr>        </vt:lpstr>
      <vt:lpstr>        </vt:lpstr>
      <vt:lpstr>        4.2. Обоснование необходимости введения указанных разработчиком положений (при н</vt:lpstr>
      <vt:lpstr>        Четко прописывается сама процедура проведения торгов в форме аукциона</vt:lpstr>
      <vt:lpstr>        </vt:lpstr>
      <vt:lpstr>        4.3. Риск отрицательного воздействия на состояние конкуренции</vt:lpstr>
      <vt:lpstr>        5. Иные риски решения проблем предложенным способом и риски негативных последств</vt:lpstr>
      <vt:lpstr>        6. Порядок введения регулирования  отсутствует</vt:lpstr>
      <vt:lpstr>        7. Иные сведения, которые, по мнению разработчика акта, позволяют оценить обосно</vt:lpstr>
      <vt:lpstr>        ______________________________________________________________________</vt:lpstr>
      <vt:lpstr>    </vt:lpstr>
      <vt:lpstr>    </vt:lpstr>
      <vt:lpstr>    </vt:lpstr>
      <vt:lpstr>    III. Обоснование проблем и способы их решения</vt:lpstr>
      <vt:lpstr>    </vt:lpstr>
      <vt:lpstr>        Таблица 1</vt:lpstr>
      <vt:lpstr>        Таблица 2</vt:lpstr>
      <vt:lpstr>        Таблица 3</vt:lpstr>
      <vt:lpstr>IV. Сведения о проведении публичных консультаций</vt:lpstr>
      <vt:lpstr/>
      <vt:lpstr>    Сведения о проведении публичных консультаций по уведомлению о необходимости разр</vt:lpstr>
      <vt:lpstr>    </vt:lpstr>
      <vt:lpstr>        Публичные консультации проводились</vt:lpstr>
      <vt:lpstr>        Публичные консультации не проводились</vt:lpstr>
      <vt:lpstr>    Сведения о проведении публичных консультаций по проекту акта, сводному отчету</vt:lpstr>
      <vt:lpstr>    </vt:lpstr>
      <vt:lpstr>        Публичные консультации проводились</vt:lpstr>
      <vt:lpstr>        Публичные консультации не проводились</vt:lpstr>
    </vt:vector>
  </TitlesOfParts>
  <Company>АГНОиПНО</Company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Сокол Лидия Георгиевна</cp:lastModifiedBy>
  <cp:revision>2</cp:revision>
  <dcterms:created xsi:type="dcterms:W3CDTF">2018-02-06T08:02:00Z</dcterms:created>
  <dcterms:modified xsi:type="dcterms:W3CDTF">2018-02-06T09:23:00Z</dcterms:modified>
</cp:coreProperties>
</file>