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27.03.2023</w:t>
      </w:r>
      <w:r>
        <w:rPr>
          <w:rFonts w:ascii="Times New Roman" w:hAnsi="Times New Roman" w:cs="Times New Roman"/>
          <w:sz w:val="28"/>
          <w:szCs w:val="28"/>
        </w:rPr>
        <w:t xml:space="preserve"> № 103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jc w:val="center"/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2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необходимости разработки проекта нормативного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2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27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27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2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Новосибирской области от 16.02.2015 № 66-п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жилищно-коммунального хозяйства и энергетики Новосибирской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</w:t>
      </w:r>
      <w:r>
        <w:rPr>
          <w:rFonts w:ascii="Times New Roman" w:hAnsi="Times New Roman" w:cs="Times New Roman"/>
          <w:sz w:val="28"/>
          <w:szCs w:val="28"/>
        </w:rPr>
        <w:t xml:space="preserve">елефон: Вишняков Андрей Алексеевич, 328-76-43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Описание проблем, для решения которых разработчик намерен разработать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акта)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их негативны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(последстви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76"/>
        <w:tblW w:w="9923" w:type="dxa"/>
        <w:tblInd w:w="-5" w:type="dxa"/>
        <w:tblLook w:val="04A0" w:firstRow="1" w:lastRow="0" w:firstColumn="1" w:lastColumn="0" w:noHBand="0" w:noVBand="1"/>
      </w:tblPr>
      <w:tblGrid>
        <w:gridCol w:w="707"/>
        <w:gridCol w:w="4617"/>
        <w:gridCol w:w="4599"/>
      </w:tblGrid>
      <w:tr>
        <w:trPr/>
        <w:tc>
          <w:tcPr>
            <w:tcW w:w="707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617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Проблема, для решения которой планируется разработать проект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599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 эффекты (последствия), вызванные проблемой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7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6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Низкая заинтересованность инвесторов (лиц, осуществляющих строительство  в сфере газоснабжения)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  в реализации инвестиционных проектов по строительству автомобильных газонаполнительных компрессорных станций (АГНКС) в связи с высокими затратами на 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строительство АГНКС и на подведение к ним 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сетевого природного газа, что сдерживает рост объемов производства и сбыта  природного газа в качестве моторного топлива и отрицательно влияет на  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дальнейшее развитие рынка газомоторного топлива на территории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3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59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1) недостаточное количество автомобильных газонаполнительных компрессорных станций на территории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Так, н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 01.01.2018 в Новосибирской области находятся 5 АГНКС: четыре в городе Новосибирске: в Ленинском районе на ул. Станционной, 13, в Кировском районе на ул. Бородина, 66, в Калининском районе на ул. 1-й Грузинской, 28/3, в Первомайском районе на ул. Бердског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шоссе, 1а (стр.), и одна в городе Барабинске Барабинского района (АГНКС - автомобильная газонаполнительная компрессорная станция, которая предназначена для заправки автомобилей, пассажирского транспорта, специального транспорта, сельхозтехники и других транспортных сред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ств сжатым природным газом).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Для строительства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объекта АГНКС требуется осуществить следующие затраты: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 - приобретение земельного у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частка;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- подготовка территории строительства;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- подключение к наружным сетям электроснабжения, водоснабжения, водоотведения, теплоснабжения и газоснабжения;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- выполнение земляных работ;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- разработка проектной документации;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- выполнение строительно-мон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тажных работ;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-</w:t>
            </w:r>
            <w:r>
              <w:rPr>
                <w:highlight w:val="none"/>
              </w:rPr>
              <w:t xml:space="preserve"> 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закупка и монтаж оборудования.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2) низкий спрос на автомобили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испо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льзующие газ в качестве моторного топлива, а также на переоборудование имеющегося транспорта на газомоторное топливо </w:t>
            </w:r>
            <w:r/>
          </w:p>
        </w:tc>
      </w:tr>
    </w:tbl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затрагиваемые предлагаемым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юридические лица, индивидуальные предприниматели</w:t>
      </w:r>
      <w:r>
        <w:rPr>
          <w:rFonts w:ascii="Times New Roman" w:hAnsi="Times New Roman" w:cs="Times New Roman"/>
          <w:sz w:val="28"/>
          <w:szCs w:val="32"/>
          <w:highlight w:val="none"/>
          <w:u w:val="none"/>
        </w:rPr>
        <w:t xml:space="preserve">,</w:t>
      </w:r>
      <w:r>
        <w:rPr>
          <w:rFonts w:ascii="Times New Roman" w:hAnsi="Times New Roman" w:cs="Times New Roman"/>
          <w:sz w:val="28"/>
          <w:szCs w:val="32"/>
          <w:highlight w:val="none"/>
        </w:rPr>
        <w:t xml:space="preserve"> осуществляющие строительство АГНКС.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Известные разработчику способы решения каждой из указанных проблем</w:t>
      </w:r>
      <w:r>
        <w:rPr>
          <w:rFonts w:ascii="Times New Roman" w:hAnsi="Times New Roman" w:cs="Times New Roman"/>
          <w:sz w:val="28"/>
          <w:szCs w:val="28"/>
        </w:rPr>
        <w:t xml:space="preserve">, наиболее предпочтительный способ решения каждой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76"/>
        <w:tblW w:w="9923" w:type="dxa"/>
        <w:tblInd w:w="-5" w:type="dxa"/>
        <w:tblLook w:val="04A0" w:firstRow="1" w:lastRow="0" w:firstColumn="1" w:lastColumn="0" w:noHBand="0" w:noVBand="1"/>
      </w:tblPr>
      <w:tblGrid>
        <w:gridCol w:w="1781"/>
        <w:gridCol w:w="3402"/>
        <w:gridCol w:w="4740"/>
      </w:tblGrid>
      <w:tr>
        <w:trPr/>
        <w:tc>
          <w:tcPr>
            <w:tcW w:w="1781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Известные способы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740" w:type="dxa"/>
            <w:textDirection w:val="lrTb"/>
            <w:noWrap w:val="false"/>
          </w:tcPr>
          <w:p>
            <w:pPr>
              <w:pStyle w:val="8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предпочтительный способ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tcW w:w="1781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Низкая заинтересованность инвесторов в сфере газоснабжения,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газораспределительных организаций и иных субъектов газозаправочной инфраструктуры  в реализации инвестиционных проектов по строительству автомобильных газонаполнительных компрессорных станций (АГНКС) в связи с высокими затратами 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строительство АГНКС и на подведение к ним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сетевого природного газа, что сдерживает рост объемов производства и сбыта  природного газа в качестве моторного топлива и отрицательно влияет на развитие газификации региона в целом.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740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предоставлением Новосибирской области субсидии из федерального бюджета на развитие заправоч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инфраструктуры, согласно Федеральному закону Российской Федерации от 05.12.2022</w:t>
              <w:br/>
              <w:t xml:space="preserve">№ 466-ФЗ «О федеральном бюджете на 2023 год и плановый период 2024 и 2025 годов» в рамках государственной программы Российской Федерации «Развитие энергетики», утверждённой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Российской Федерации от 15.04.2014 № 321, предлагается установить 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 на реализацию инвестиционных проектов по строительству АГНКС, на компенсацию части затрат по строительству таких объектов.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</w:tbl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cs="Times New Roman"/>
          <w:sz w:val="28"/>
          <w:szCs w:val="28"/>
        </w:rPr>
        <w:t xml:space="preserve">Адреса для направления предложений и замечаний по выявленным проблемам и способам их решения: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630091, г. </w:t>
      </w:r>
      <w:r>
        <w:rPr>
          <w:rFonts w:ascii="Times New Roman" w:hAnsi="Times New Roman" w:cs="Times New Roman"/>
          <w:sz w:val="28"/>
          <w:szCs w:val="28"/>
        </w:rPr>
        <w:t xml:space="preserve">Новосибирск, ул. Фрунзе, д. 5, каб. 626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viaa@nso.ru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размещено настоящее уведомление.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принимаются предложения и замечания в связи с размещением уведомления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разработки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 с 03.08.2023 по 11.08.2023.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jc w:val="both"/>
        <w:rPr>
          <w:rFonts w:ascii="Times New Roman" w:hAnsi="Times New Roman" w:cs="Times New Roman"/>
          <w:b/>
          <w:bCs/>
        </w:rPr>
        <w:sectPr>
          <w:footnotePr/>
          <w:endnotePr/>
          <w:type w:val="nextPage"/>
          <w:pgSz w:w="11906" w:h="16838" w:orient="portrait"/>
          <w:pgMar w:top="771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basedOn w:val="821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basedOn w:val="821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basedOn w:val="821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basedOn w:val="821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basedOn w:val="821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basedOn w:val="821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basedOn w:val="821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basedOn w:val="821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basedOn w:val="821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21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21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1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1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Balloon Text"/>
    <w:basedOn w:val="820"/>
    <w:link w:val="8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5" w:customStyle="1">
    <w:name w:val="Текст выноски Знак"/>
    <w:basedOn w:val="821"/>
    <w:link w:val="824"/>
    <w:uiPriority w:val="99"/>
    <w:semiHidden/>
    <w:rPr>
      <w:rFonts w:ascii="Segoe UI" w:hAnsi="Segoe UI" w:cs="Segoe UI"/>
      <w:sz w:val="18"/>
      <w:szCs w:val="18"/>
    </w:rPr>
  </w:style>
  <w:style w:type="paragraph" w:styleId="826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8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revision>9</cp:revision>
  <dcterms:created xsi:type="dcterms:W3CDTF">2021-09-17T05:43:00Z</dcterms:created>
  <dcterms:modified xsi:type="dcterms:W3CDTF">2023-08-02T03:34:41Z</dcterms:modified>
</cp:coreProperties>
</file>