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просн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консультаций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приказу министерства промышленности, торговли и развития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от </w:t>
      </w:r>
      <w:r>
        <w:rPr>
          <w:rFonts w:ascii="Times New Roman" w:hAnsi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lang w:eastAsia="ru-RU"/>
        </w:rPr>
        <w:t xml:space="preserve">1.201</w:t>
      </w: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разработки и утверждения органами местного самоуправления в Новосибирской области схемы размещения нестационарных торговых объектов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— Порядок)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Пожалуйста, заполните и направьте данный бланк по электронной почте на адрес:</w:t>
      </w:r>
      <w:r>
        <w:rPr>
          <w:rFonts w:ascii="Times New Roman" w:hAnsi="Times New Roman"/>
          <w:sz w:val="28"/>
          <w:szCs w:val="24"/>
          <w:lang w:eastAsia="ru-RU"/>
        </w:rPr>
        <w:t xml:space="preserve"> ssg01@nso.ru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не позднее </w:t>
      </w:r>
      <w:r>
        <w:rPr>
          <w:rFonts w:ascii="Times New Roman" w:hAnsi="Times New Roman"/>
          <w:b/>
          <w:sz w:val="28"/>
          <w:szCs w:val="24"/>
          <w:highlight w:val="white"/>
          <w:lang w:eastAsia="ru-RU"/>
        </w:rPr>
        <w:t xml:space="preserve">8</w:t>
      </w:r>
      <w:r>
        <w:rPr>
          <w:rFonts w:ascii="Times New Roman" w:hAnsi="Times New Roman"/>
          <w:b/>
          <w:sz w:val="28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4"/>
          <w:highlight w:val="white"/>
          <w:lang w:eastAsia="ru-RU"/>
        </w:rPr>
        <w:t xml:space="preserve">апреля</w:t>
      </w:r>
      <w:r>
        <w:rPr>
          <w:rFonts w:ascii="Times New Roman" w:hAnsi="Times New Roman"/>
          <w:b/>
          <w:sz w:val="28"/>
          <w:szCs w:val="24"/>
          <w:highlight w:val="white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4"/>
          <w:highlight w:val="white"/>
          <w:lang w:eastAsia="ru-RU"/>
        </w:rPr>
        <w:t xml:space="preserve">4</w:t>
      </w:r>
      <w:r>
        <w:rPr>
          <w:rFonts w:ascii="Times New Roman" w:hAnsi="Times New Roman"/>
          <w:b/>
          <w:sz w:val="28"/>
          <w:szCs w:val="24"/>
          <w:highlight w:val="white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4"/>
          <w:lang w:eastAsia="ru-RU"/>
        </w:rPr>
        <w:t xml:space="preserve"> Ответственный сотрудник не будет иметь возможность проанализировать позиции, направленные в</w:t>
      </w:r>
      <w:r>
        <w:rPr>
          <w:rFonts w:ascii="Times New Roman" w:hAnsi="Times New Roman"/>
          <w:sz w:val="28"/>
          <w:szCs w:val="24"/>
          <w:lang w:eastAsia="ru-RU"/>
        </w:rPr>
        <w:t xml:space="preserve"> </w:t>
      </w:r>
      <w:r>
        <w:rPr>
          <w:rFonts w:ascii="Times New Roman" w:hAnsi="Times New Roman"/>
          <w:sz w:val="28"/>
          <w:szCs w:val="24"/>
          <w:lang w:eastAsia="ru-RU"/>
        </w:rPr>
        <w:t xml:space="preserve">министерство экономического развития Новосибирской области после указанного срока.</w:t>
      </w: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</w: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39"/>
        <w:gridCol w:w="4788"/>
      </w:tblGrid>
      <w:tr>
        <w:tblPrEx/>
        <w:trPr/>
        <w:tc>
          <w:tcPr>
            <w:shd w:val="clear" w:color="auto" w:fill="auto"/>
            <w:tcW w:w="48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8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деятельности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8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контактного лица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7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4"/>
          <w:szCs w:val="34"/>
          <w:lang w:eastAsia="ru-RU"/>
        </w:rPr>
      </w:pPr>
      <w:r>
        <w:rPr>
          <w:rFonts w:ascii="Times New Roman" w:hAnsi="Times New Roman"/>
          <w:b/>
          <w:sz w:val="34"/>
          <w:szCs w:val="34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sz w:val="34"/>
          <w:szCs w:val="34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34"/>
          <w:szCs w:val="34"/>
          <w:lang w:eastAsia="ru-RU"/>
        </w:rPr>
      </w:pPr>
      <w:r>
        <w:rPr>
          <w:rFonts w:ascii="Times New Roman" w:hAnsi="Times New Roman"/>
          <w:b/>
          <w:sz w:val="34"/>
          <w:szCs w:val="34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34"/>
          <w:szCs w:val="34"/>
          <w:lang w:eastAsia="ru-RU"/>
        </w:rPr>
      </w:r>
    </w:p>
    <w:p>
      <w:pPr>
        <w:pStyle w:val="708"/>
        <w:spacing w:after="80"/>
        <w:rPr>
          <w:rFonts w:eastAsia="Times New Roman"/>
          <w:bCs w:val="0"/>
        </w:rPr>
      </w:pPr>
      <w:r>
        <w:rPr>
          <w:rFonts w:eastAsia="Times New Roman"/>
          <w:bCs w:val="0"/>
        </w:rPr>
        <w:t xml:space="preserve">Часть 1. Вопросы</w:t>
      </w:r>
      <w:r>
        <w:rPr>
          <w:rFonts w:eastAsia="Times New Roman"/>
          <w:bCs w:val="0"/>
        </w:rPr>
        <w:t xml:space="preserve"> </w:t>
      </w:r>
      <w:r>
        <w:rPr>
          <w:rFonts w:eastAsia="Times New Roman"/>
          <w:bCs w:val="0"/>
        </w:rPr>
        <w:t xml:space="preserve">для </w:t>
      </w:r>
      <w:r>
        <w:rPr>
          <w:rFonts w:eastAsia="Times New Roman"/>
          <w:bCs w:val="0"/>
        </w:rPr>
        <w:t xml:space="preserve">владельцев нестационарных торговых объектов и уполномоченных органов местного самоуправления</w:t>
      </w:r>
      <w:r>
        <w:rPr>
          <w:rFonts w:eastAsia="Times New Roman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Приходилось ли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ам сталкиваться с ситуациями, когда после включения объекта в схему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не удавалось разместить его из-за отказа владельца инженерных коммуникаций? </w:t>
      </w:r>
      <w:r>
        <w:rPr>
          <w:rFonts w:ascii="Times New Roman" w:hAnsi="Times New Roman"/>
          <w:sz w:val="28"/>
          <w:szCs w:val="28"/>
        </w:rPr>
        <w:t xml:space="preserve">Как часто?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9"/>
        <w:tblpPr w:horzAnchor="margin" w:tblpXSpec="left" w:vertAnchor="text" w:tblpY="29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9627"/>
      </w:tblGrid>
      <w:tr>
        <w:tblPrEx/>
        <w:trPr/>
        <w:tc>
          <w:tcPr>
            <w:tcW w:w="96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Hlk160620660"/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Известна ли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ам практика предоставления компенсационных торговых мест</w:t>
      </w:r>
      <w:r>
        <w:rPr>
          <w:rFonts w:ascii="Times New Roman" w:hAnsi="Times New Roman"/>
          <w:sz w:val="28"/>
          <w:szCs w:val="28"/>
        </w:rPr>
        <w:t xml:space="preserve"> после их исключения из схемы по инициативе органа местного самоуправления (пункт 16.2 Порядка)? </w:t>
      </w:r>
      <w:r>
        <w:rPr>
          <w:rFonts w:ascii="Times New Roman" w:hAnsi="Times New Roman"/>
          <w:sz w:val="28"/>
          <w:szCs w:val="28"/>
        </w:rPr>
        <w:t xml:space="preserve">Присущи</w:t>
      </w:r>
      <w:r>
        <w:rPr>
          <w:rFonts w:ascii="Times New Roman" w:hAnsi="Times New Roman"/>
          <w:sz w:val="28"/>
          <w:szCs w:val="28"/>
        </w:rPr>
        <w:t xml:space="preserve"> ли ей </w:t>
      </w:r>
      <w:r>
        <w:rPr>
          <w:rFonts w:ascii="Times New Roman" w:hAnsi="Times New Roman"/>
          <w:sz w:val="28"/>
          <w:szCs w:val="28"/>
        </w:rPr>
        <w:t xml:space="preserve">какие-либо </w:t>
      </w:r>
      <w:r>
        <w:rPr>
          <w:rFonts w:ascii="Times New Roman" w:hAnsi="Times New Roman"/>
          <w:sz w:val="28"/>
          <w:szCs w:val="28"/>
        </w:rPr>
        <w:t xml:space="preserve">недостатки?</w:t>
      </w:r>
      <w:bookmarkEnd w:id="0"/>
      <w:r/>
      <w:r>
        <w:rPr>
          <w:rFonts w:ascii="Times New Roman" w:hAnsi="Times New Roman"/>
          <w:sz w:val="28"/>
          <w:szCs w:val="28"/>
        </w:rPr>
      </w:r>
    </w:p>
    <w:tbl>
      <w:tblPr>
        <w:tblStyle w:val="709"/>
        <w:tblpPr w:horzAnchor="margin" w:tblpXSpec="left" w:vertAnchor="text" w:tblpY="29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9627"/>
      </w:tblGrid>
      <w:tr>
        <w:tblPrEx/>
        <w:trPr/>
        <w:tc>
          <w:tcPr>
            <w:tcW w:w="96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Если вы подавали или рассматривали заявления о включении в схему нового нестационарного торгового объекта: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Сколько времени обычно рассматриваются </w:t>
      </w:r>
      <w:r>
        <w:rPr>
          <w:rFonts w:ascii="Times New Roman" w:hAnsi="Times New Roman"/>
          <w:sz w:val="28"/>
          <w:szCs w:val="28"/>
        </w:rPr>
        <w:t xml:space="preserve">такие </w:t>
      </w:r>
      <w:r>
        <w:rPr>
          <w:rFonts w:ascii="Times New Roman" w:hAnsi="Times New Roman"/>
          <w:sz w:val="28"/>
          <w:szCs w:val="28"/>
        </w:rPr>
        <w:t xml:space="preserve">заявления?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9"/>
        <w:tblpPr w:horzAnchor="margin" w:tblpXSpec="left" w:vertAnchor="text" w:tblpY="29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9627"/>
      </w:tblGrid>
      <w:tr>
        <w:tblPrEx/>
        <w:trPr/>
        <w:tc>
          <w:tcPr>
            <w:tcW w:w="96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ы считаете, </w:t>
      </w:r>
      <w:r>
        <w:rPr>
          <w:rFonts w:ascii="Times New Roman" w:hAnsi="Times New Roman"/>
          <w:sz w:val="28"/>
          <w:szCs w:val="28"/>
        </w:rPr>
        <w:t xml:space="preserve">есть ли среди требований к заявлению</w:t>
      </w:r>
      <w:r>
        <w:rPr>
          <w:rStyle w:val="712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избыточные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недостающие</w:t>
      </w:r>
      <w:r>
        <w:rPr>
          <w:rFonts w:ascii="Times New Roman" w:hAnsi="Times New Roman"/>
          <w:sz w:val="28"/>
          <w:szCs w:val="28"/>
        </w:rPr>
        <w:t xml:space="preserve">?</w:t>
      </w:r>
      <w:r>
        <w:rPr>
          <w:rFonts w:ascii="Times New Roman" w:hAnsi="Times New Roman"/>
          <w:sz w:val="28"/>
          <w:szCs w:val="28"/>
        </w:rPr>
        <w:t xml:space="preserve"> Если да, какие именно?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9"/>
        <w:tblpPr w:horzAnchor="margin" w:tblpXSpec="left" w:vertAnchor="text" w:tblpY="29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9627"/>
      </w:tblGrid>
      <w:tr>
        <w:tblPrEx/>
        <w:trPr/>
        <w:tc>
          <w:tcPr>
            <w:tcW w:w="96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8"/>
        <w:spacing w:before="120" w:after="80"/>
        <w:rPr>
          <w:rFonts w:eastAsia="Times New Roman"/>
          <w:bCs w:val="0"/>
        </w:rPr>
      </w:pPr>
      <w:r>
        <w:rPr>
          <w:rFonts w:eastAsia="Times New Roman"/>
          <w:bCs w:val="0"/>
        </w:rPr>
        <w:t xml:space="preserve">Часть </w:t>
      </w:r>
      <w:r>
        <w:rPr>
          <w:rFonts w:eastAsia="Times New Roman"/>
          <w:bCs w:val="0"/>
        </w:rPr>
        <w:t xml:space="preserve">2</w:t>
      </w:r>
      <w:r>
        <w:rPr>
          <w:rFonts w:eastAsia="Times New Roman"/>
          <w:bCs w:val="0"/>
        </w:rPr>
        <w:t xml:space="preserve">. </w:t>
      </w:r>
      <w:r>
        <w:rPr>
          <w:rFonts w:eastAsia="Times New Roman"/>
          <w:bCs w:val="0"/>
        </w:rPr>
        <w:t xml:space="preserve">Общие вопросы</w:t>
      </w:r>
      <w:r>
        <w:rPr>
          <w:rFonts w:eastAsia="Times New Roman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Нестационарный торговый объект включается в схему не позднее 40 рабочих дней с момента принятия решения об этом. Как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ы оцениваете этот срок: недостаточный, достаточный</w:t>
      </w:r>
      <w:r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чрезмерный?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Содержит ли Порядок положения, </w:t>
      </w:r>
      <w:r>
        <w:rPr>
          <w:rFonts w:ascii="Times New Roman" w:hAnsi="Times New Roman"/>
          <w:sz w:val="28"/>
          <w:szCs w:val="28"/>
        </w:rPr>
        <w:t xml:space="preserve">наделяющие</w:t>
      </w:r>
      <w:r>
        <w:rPr>
          <w:rFonts w:ascii="Times New Roman" w:hAnsi="Times New Roman"/>
          <w:sz w:val="28"/>
          <w:szCs w:val="28"/>
        </w:rPr>
        <w:t xml:space="preserve"> избыточны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 полномочия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 государственной власти</w:t>
      </w:r>
      <w:r>
        <w:rPr>
          <w:rFonts w:ascii="Times New Roman" w:hAnsi="Times New Roman"/>
          <w:sz w:val="28"/>
          <w:szCs w:val="28"/>
        </w:rPr>
        <w:t xml:space="preserve"> или орган местного самоуправления</w:t>
      </w:r>
      <w:r>
        <w:rPr>
          <w:rFonts w:ascii="Times New Roman" w:hAnsi="Times New Roman"/>
          <w:sz w:val="28"/>
          <w:szCs w:val="28"/>
        </w:rPr>
        <w:t xml:space="preserve">? Если </w:t>
      </w:r>
      <w:r>
        <w:rPr>
          <w:rFonts w:ascii="Times New Roman" w:hAnsi="Times New Roman"/>
          <w:sz w:val="28"/>
          <w:szCs w:val="28"/>
        </w:rPr>
        <w:t xml:space="preserve">да</w:t>
      </w:r>
      <w:r>
        <w:rPr>
          <w:rFonts w:ascii="Times New Roman" w:hAnsi="Times New Roman"/>
          <w:sz w:val="28"/>
          <w:szCs w:val="28"/>
        </w:rPr>
        <w:t xml:space="preserve">, укажите их и по возможности </w:t>
      </w:r>
      <w:r>
        <w:rPr>
          <w:rFonts w:ascii="Times New Roman" w:hAnsi="Times New Roman"/>
          <w:sz w:val="28"/>
          <w:szCs w:val="28"/>
        </w:rPr>
        <w:t xml:space="preserve">поясните</w:t>
      </w:r>
      <w:r>
        <w:rPr>
          <w:rFonts w:ascii="Times New Roman" w:hAnsi="Times New Roman"/>
          <w:sz w:val="28"/>
          <w:szCs w:val="28"/>
        </w:rPr>
        <w:t xml:space="preserve">, почему считаете их избыточными.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9627"/>
      </w:tblGrid>
      <w:tr>
        <w:tblPrEx/>
        <w:trPr/>
        <w:tc>
          <w:tcPr>
            <w:tcW w:w="96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Содержит ли Порядок положения, противоречащие действующему законодательству?</w:t>
      </w:r>
      <w:r>
        <w:rPr>
          <w:rFonts w:ascii="Times New Roman" w:hAnsi="Times New Roman"/>
          <w:sz w:val="28"/>
          <w:szCs w:val="28"/>
        </w:rPr>
        <w:t xml:space="preserve"> Если да, </w:t>
      </w:r>
      <w:r>
        <w:rPr>
          <w:rFonts w:ascii="Times New Roman" w:hAnsi="Times New Roman"/>
          <w:sz w:val="28"/>
          <w:szCs w:val="28"/>
        </w:rPr>
        <w:t xml:space="preserve">укажите</w:t>
      </w:r>
      <w:r>
        <w:rPr>
          <w:rFonts w:ascii="Times New Roman" w:hAnsi="Times New Roman"/>
          <w:sz w:val="28"/>
          <w:szCs w:val="28"/>
        </w:rPr>
        <w:t xml:space="preserve"> их.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9627"/>
      </w:tblGrid>
      <w:tr>
        <w:tblPrEx/>
        <w:trPr/>
        <w:tc>
          <w:tcPr>
            <w:tcW w:w="96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Содержит ли Порядок положения, которые, на Ваш взгляд, необоснованно затрудняют осуществление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? Если да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выше</w:t>
      </w:r>
      <w:r>
        <w:rPr>
          <w:rFonts w:ascii="Times New Roman" w:hAnsi="Times New Roman"/>
          <w:sz w:val="28"/>
          <w:szCs w:val="28"/>
        </w:rPr>
        <w:t xml:space="preserve"> Вы </w:t>
      </w:r>
      <w:r>
        <w:rPr>
          <w:rFonts w:ascii="Times New Roman" w:hAnsi="Times New Roman"/>
          <w:sz w:val="28"/>
          <w:szCs w:val="28"/>
        </w:rPr>
        <w:t xml:space="preserve">не писали о них</w:t>
      </w:r>
      <w:r>
        <w:rPr>
          <w:rFonts w:ascii="Times New Roman" w:hAnsi="Times New Roman"/>
          <w:sz w:val="28"/>
          <w:szCs w:val="28"/>
        </w:rPr>
        <w:t xml:space="preserve">, укажите 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по возможности обоснуйте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9627"/>
      </w:tblGrid>
      <w:tr>
        <w:tblPrEx/>
        <w:trPr/>
        <w:tc>
          <w:tcPr>
            <w:tcW w:w="96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Нуждаются ли не упомянутые Вами ранее положения Порядка в изменении / исключении? Н</w:t>
      </w:r>
      <w:r>
        <w:rPr>
          <w:rFonts w:ascii="Times New Roman" w:hAnsi="Times New Roman"/>
          <w:sz w:val="28"/>
          <w:szCs w:val="28"/>
        </w:rPr>
        <w:t xml:space="preserve">еобходимо ли, наоборот, дополнить Порядок какими-либо положениями?</w:t>
      </w:r>
      <w:r>
        <w:rPr>
          <w:rFonts w:ascii="Times New Roman" w:hAnsi="Times New Roman"/>
          <w:sz w:val="28"/>
          <w:szCs w:val="28"/>
        </w:rPr>
        <w:t xml:space="preserve"> Если да, укажите их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 возможности обоснуйте.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9627"/>
      </w:tblGrid>
      <w:tr>
        <w:tblPrEx/>
        <w:trPr/>
        <w:tc>
          <w:tcPr>
            <w:tcW w:w="96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наличии дополнительных замечаний и предложений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направьте </w:t>
      </w:r>
      <w:r>
        <w:rPr>
          <w:rFonts w:ascii="Times New Roman" w:hAnsi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приложив соответствующие материалы к письму,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произвольной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следующем поле:</w:t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7"/>
      </w:tblGrid>
      <w:tr>
        <w:tblPrEx/>
        <w:trPr/>
        <w:tc>
          <w:tcPr>
            <w:tcW w:w="103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или заполнив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89"/>
        <w:gridCol w:w="3219"/>
        <w:gridCol w:w="3219"/>
      </w:tblGrid>
      <w:tr>
        <w:tblPrEx/>
        <w:trPr/>
        <w:tc>
          <w:tcPr>
            <w:tcW w:w="16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165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7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851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10"/>
      </w:pPr>
      <w:r>
        <w:rPr>
          <w:rStyle w:val="712"/>
        </w:rPr>
        <w:footnoteRef/>
      </w:r>
      <w:r>
        <w:t xml:space="preserve"> </w:t>
      </w:r>
      <w:r>
        <w:t xml:space="preserve">Заявление должно содержать сведения о заявителе (фамилия, имя, отчество (при наличии) индивидуального предпринимателя или полное наименование юридического лица), адресный ориентир </w:t>
      </w:r>
      <w:r>
        <w:t xml:space="preserve">—</w:t>
      </w:r>
      <w:r>
        <w:t xml:space="preserve"> место размещения нестационарного торгового объекта, тип нестационарного торгового объекта, количество нестационарных торговых объектов, площадь земельного участка, площадь нестационарного торгового объекта, специализацию нестационарного торгового объекта</w:t>
      </w:r>
      <w:r>
        <w:t xml:space="preserve">, период функционирования нестационарного торгового объекта, почтовый адрес, в случае подачи заявления в письменной форме, либо адрес электронной почты, в случае подачи заявления в форме электронного документа, согласие на обработку персональных данных. К </w:t>
      </w:r>
      <w:r>
        <w:t xml:space="preserve">заявлению прилагается картографический материал, полученный из общедоступных информационных ресурсов, в том числе из информационно-телекоммуникационной сети Интернет, с обозначением на нем предполагаемого места расположения нестационарных торговых объектов</w:t>
      </w:r>
      <w:r>
        <w:t xml:space="preserve">»</w:t>
      </w:r>
      <w: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4"/>
    <w:link w:val="69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2"/>
    <w:next w:val="69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2"/>
    <w:next w:val="69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2"/>
    <w:next w:val="69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2"/>
    <w:next w:val="69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2"/>
    <w:next w:val="69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2"/>
    <w:next w:val="69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2"/>
    <w:next w:val="69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2"/>
    <w:next w:val="69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2"/>
    <w:next w:val="69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4"/>
    <w:link w:val="34"/>
    <w:uiPriority w:val="10"/>
    <w:rPr>
      <w:sz w:val="48"/>
      <w:szCs w:val="48"/>
    </w:rPr>
  </w:style>
  <w:style w:type="paragraph" w:styleId="36">
    <w:name w:val="Subtitle"/>
    <w:basedOn w:val="692"/>
    <w:next w:val="69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rPr>
      <w:sz w:val="24"/>
      <w:szCs w:val="24"/>
    </w:rPr>
  </w:style>
  <w:style w:type="paragraph" w:styleId="38">
    <w:name w:val="Quote"/>
    <w:basedOn w:val="692"/>
    <w:next w:val="69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2"/>
    <w:next w:val="69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4"/>
    <w:link w:val="701"/>
    <w:uiPriority w:val="99"/>
  </w:style>
  <w:style w:type="character" w:styleId="45">
    <w:name w:val="Footer Char"/>
    <w:basedOn w:val="694"/>
    <w:link w:val="703"/>
    <w:uiPriority w:val="99"/>
  </w:style>
  <w:style w:type="paragraph" w:styleId="46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3"/>
    <w:uiPriority w:val="99"/>
  </w:style>
  <w:style w:type="table" w:styleId="49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10"/>
    <w:uiPriority w:val="99"/>
    <w:rPr>
      <w:sz w:val="18"/>
    </w:rPr>
  </w:style>
  <w:style w:type="paragraph" w:styleId="178">
    <w:name w:val="endnote text"/>
    <w:basedOn w:val="69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4"/>
    <w:uiPriority w:val="99"/>
    <w:semiHidden/>
    <w:unhideWhenUsed/>
    <w:rPr>
      <w:vertAlign w:val="superscript"/>
    </w:rPr>
  </w:style>
  <w:style w:type="paragraph" w:styleId="181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3">
    <w:name w:val="Heading 1"/>
    <w:basedOn w:val="692"/>
    <w:link w:val="697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Заголовок 1 Знак"/>
    <w:link w:val="693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698">
    <w:name w:val="Emphasis"/>
    <w:uiPriority w:val="99"/>
    <w:qFormat/>
    <w:rPr>
      <w:rFonts w:cs="Times New Roman"/>
      <w:i/>
      <w:iCs/>
    </w:rPr>
  </w:style>
  <w:style w:type="paragraph" w:styleId="699">
    <w:name w:val="List Paragraph"/>
    <w:basedOn w:val="692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700" w:customStyle="1">
    <w:name w:val="ConsPlusNonformat"/>
    <w:uiPriority w:val="99"/>
    <w:rPr>
      <w:rFonts w:ascii="Courier New" w:hAnsi="Courier New" w:cs="Courier New"/>
      <w:lang w:eastAsia="en-US"/>
    </w:rPr>
  </w:style>
  <w:style w:type="paragraph" w:styleId="701">
    <w:name w:val="Header"/>
    <w:basedOn w:val="692"/>
    <w:link w:val="70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02" w:customStyle="1">
    <w:name w:val="Верхний колонтитул Знак"/>
    <w:link w:val="701"/>
    <w:uiPriority w:val="99"/>
    <w:rPr>
      <w:rFonts w:ascii="Calibri" w:hAnsi="Calibri" w:cs="Times New Roman"/>
    </w:rPr>
  </w:style>
  <w:style w:type="paragraph" w:styleId="703">
    <w:name w:val="Footer"/>
    <w:basedOn w:val="692"/>
    <w:link w:val="704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04" w:customStyle="1">
    <w:name w:val="Нижний колонтитул Знак"/>
    <w:link w:val="703"/>
    <w:uiPriority w:val="99"/>
    <w:semiHidden/>
    <w:rPr>
      <w:rFonts w:ascii="Calibri" w:hAnsi="Calibri" w:cs="Times New Roman"/>
    </w:rPr>
  </w:style>
  <w:style w:type="paragraph" w:styleId="705">
    <w:name w:val="Balloon Text"/>
    <w:basedOn w:val="692"/>
    <w:link w:val="706"/>
    <w:uiPriority w:val="99"/>
    <w:semiHidden/>
    <w:rPr>
      <w:rFonts w:ascii="Tahoma" w:hAnsi="Tahoma"/>
      <w:sz w:val="16"/>
      <w:szCs w:val="16"/>
    </w:rPr>
  </w:style>
  <w:style w:type="character" w:styleId="706" w:customStyle="1">
    <w:name w:val="Текст выноски Знак"/>
    <w:link w:val="70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707">
    <w:name w:val="Hyperlink"/>
    <w:rPr>
      <w:color w:val="0000ff"/>
      <w:u w:val="single"/>
    </w:rPr>
  </w:style>
  <w:style w:type="paragraph" w:styleId="708" w:customStyle="1">
    <w:name w:val="ConsPlusNormal"/>
    <w:rPr>
      <w:rFonts w:ascii="Times New Roman" w:hAnsi="Times New Roman" w:eastAsia="Calibri"/>
      <w:b/>
      <w:bCs/>
      <w:sz w:val="28"/>
      <w:szCs w:val="28"/>
    </w:rPr>
  </w:style>
  <w:style w:type="table" w:styleId="709">
    <w:name w:val="Table Grid"/>
    <w:basedOn w:val="695"/>
    <w:uiPriority w:val="3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0">
    <w:name w:val="footnote text"/>
    <w:basedOn w:val="692"/>
    <w:link w:val="711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711" w:customStyle="1">
    <w:name w:val="Текст сноски Знак"/>
    <w:link w:val="710"/>
    <w:uiPriority w:val="99"/>
    <w:rPr>
      <w:rFonts w:ascii="Times New Roman" w:hAnsi="Times New Roman"/>
    </w:rPr>
  </w:style>
  <w:style w:type="character" w:styleId="712">
    <w:name w:val="footnote reference"/>
    <w:uiPriority w:val="99"/>
    <w:unhideWhenUsed/>
    <w:rPr>
      <w:rFonts w:cs="Times New Roman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D0312-A7D0-46E5-A05D-8A2365A14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98DAC-71CA-4A41-8F7C-1BA95ECD82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777E6F-A3D3-4B48-812D-1DE688018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139273-EB17-4E58-812E-013166BF8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mineconom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m.zakazchikova</dc:creator>
  <cp:keywords/>
  <cp:revision>186</cp:revision>
  <dcterms:created xsi:type="dcterms:W3CDTF">2021-09-21T08:38:00Z</dcterms:created>
  <dcterms:modified xsi:type="dcterms:W3CDTF">2024-03-06T08:02:03Z</dcterms:modified>
</cp:coreProperties>
</file>