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Pr="0092778E" w:rsidRDefault="0092778E" w:rsidP="0092778E">
      <w:pPr>
        <w:spacing w:line="276" w:lineRule="auto"/>
        <w:jc w:val="center"/>
        <w:rPr>
          <w:b/>
        </w:rPr>
      </w:pPr>
      <w:r w:rsidRPr="0092778E">
        <w:rPr>
          <w:b/>
        </w:rPr>
        <w:t>СВОДНЫЙ ОТЧЕТ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92778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2778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2778E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92778E" w:rsidRPr="00763C56" w:rsidRDefault="0092778E" w:rsidP="00747E32">
      <w:pPr>
        <w:jc w:val="both"/>
      </w:pPr>
      <w:r w:rsidRPr="0092778E">
        <w:t xml:space="preserve">1.1. Вид и наименование проекта нормативного правового акта: </w:t>
      </w:r>
      <w:r>
        <w:t>«</w:t>
      </w:r>
      <w:r w:rsidR="00747E32">
        <w:t>Об утверждении  порядка  предоставления компенсационного места на размещение нестационарного торгового объекта на территории Чановского района Новосибирской области</w:t>
      </w:r>
      <w:r>
        <w:t>»</w:t>
      </w:r>
      <w:r w:rsidR="00763C56">
        <w:t>.</w:t>
      </w:r>
    </w:p>
    <w:p w:rsidR="0092778E" w:rsidRPr="0092778E" w:rsidRDefault="0092778E" w:rsidP="00763C56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нормативного правового акта: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экономического развития, трудовых, земельных и имущественных отношений администрации Чановского района Новосибирской области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b w:val="0"/>
          <w:sz w:val="28"/>
          <w:szCs w:val="28"/>
        </w:rPr>
        <w:t>Соколова Наталья Васильевна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763C56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экономического развития, трудовых, земельных и имущественных отношений администрации Чановского района.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763C56">
        <w:rPr>
          <w:rFonts w:ascii="Times New Roman" w:hAnsi="Times New Roman" w:cs="Times New Roman"/>
          <w:b w:val="0"/>
          <w:sz w:val="28"/>
          <w:szCs w:val="28"/>
        </w:rPr>
        <w:t>8(38367)21-151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hlev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adm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@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yandex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I</w:t>
      </w:r>
      <w:r w:rsidRPr="00927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78E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747E32" w:rsidRPr="00896156" w:rsidRDefault="0092778E" w:rsidP="00747E32">
      <w:pPr>
        <w:ind w:firstLine="709"/>
        <w:jc w:val="both"/>
      </w:pPr>
      <w:r w:rsidRPr="0092778E">
        <w:t>1.1. Проблемы и их негативные эффекты</w:t>
      </w:r>
      <w:r w:rsidR="00EE63A6">
        <w:t xml:space="preserve">: </w:t>
      </w:r>
      <w:r w:rsidR="00747E32" w:rsidRPr="00896156">
        <w:t xml:space="preserve">определяет организацию и проведение процедуры предоставления компенсационного места для размещения нестационарного торгового объекта на территории </w:t>
      </w:r>
      <w:r w:rsidR="00747E32">
        <w:t>Чановского района</w:t>
      </w:r>
      <w:r w:rsidR="00747E32" w:rsidRPr="00381495">
        <w:t xml:space="preserve"> Новосибирской области</w:t>
      </w:r>
      <w:r w:rsidR="00747E32" w:rsidRPr="00896156">
        <w:t xml:space="preserve"> </w:t>
      </w:r>
      <w:r w:rsidR="00747E32">
        <w:t>в соответствии с утвержденной а</w:t>
      </w:r>
      <w:r w:rsidR="00747E32" w:rsidRPr="00896156">
        <w:t xml:space="preserve">дминистрацией </w:t>
      </w:r>
      <w:r w:rsidR="00747E32">
        <w:t>Чановского района</w:t>
      </w:r>
      <w:r w:rsidR="00747E32" w:rsidRPr="00381495">
        <w:t xml:space="preserve"> Новосибирской области</w:t>
      </w:r>
      <w:r w:rsidR="00747E32" w:rsidRPr="00896156">
        <w:t xml:space="preserve"> схемой размещения нестационарных торговых объектов.</w:t>
      </w:r>
    </w:p>
    <w:p w:rsidR="0092778E" w:rsidRDefault="0092778E" w:rsidP="00747E32">
      <w:pPr>
        <w:pStyle w:val="ConsPlusNormal"/>
        <w:ind w:firstLine="540"/>
        <w:jc w:val="both"/>
      </w:pPr>
      <w:r w:rsidRPr="0092778E">
        <w:t>1.2. Способы решения заявленных проблем</w:t>
      </w:r>
      <w:r w:rsidR="00EE63A6">
        <w:t xml:space="preserve">: утверждение </w:t>
      </w:r>
      <w:r w:rsidR="00763C56">
        <w:t>положения</w:t>
      </w:r>
      <w:r w:rsidR="00EE63A6">
        <w:t xml:space="preserve"> </w:t>
      </w:r>
      <w:r w:rsidR="00763C56">
        <w:t xml:space="preserve">о </w:t>
      </w:r>
      <w:r w:rsidR="00747E32">
        <w:t>порядке предоставления компенсационного места на размещение</w:t>
      </w:r>
      <w:r w:rsidR="00EE63A6">
        <w:t xml:space="preserve"> нестационарных торговых объектов на территории Чановского района.</w:t>
      </w:r>
      <w:r w:rsidR="00747E32" w:rsidRPr="00747E32">
        <w:t xml:space="preserve"> </w:t>
      </w:r>
      <w:r w:rsidR="00747E32" w:rsidRPr="00896156">
        <w:t>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объекта.</w:t>
      </w:r>
    </w:p>
    <w:p w:rsidR="00763C56" w:rsidRPr="0092778E" w:rsidRDefault="00763C56" w:rsidP="00747E3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1.3.Характеристика негативных эффектов, возникающих в связи с наличием проблемы, их количественная оценка: н</w:t>
      </w:r>
      <w:r w:rsidRPr="003B0A35">
        <w:t>ет</w:t>
      </w:r>
      <w:r>
        <w:rPr>
          <w:highlight w:val="yellow"/>
        </w:rPr>
        <w:t xml:space="preserve">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</w:p>
    <w:p w:rsidR="00747E32" w:rsidRPr="00896156" w:rsidRDefault="00EE63A6" w:rsidP="00747E32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        </w:t>
      </w:r>
      <w:r w:rsidR="00747E32" w:rsidRPr="00896156"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747E32" w:rsidRPr="00896156" w:rsidRDefault="00747E32" w:rsidP="00747E32">
      <w:pPr>
        <w:autoSpaceDE w:val="0"/>
        <w:autoSpaceDN w:val="0"/>
        <w:adjustRightInd w:val="0"/>
        <w:ind w:firstLine="720"/>
        <w:jc w:val="both"/>
      </w:pPr>
      <w:r w:rsidRPr="00896156">
        <w:t>- сохранение предпринимательской деятельности владельцев нестационарных торговых объектов.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313287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2.2. Обоснование соответствия целей предлагаемого регулирования программным документам нормативного характера</w:t>
      </w:r>
      <w:r w:rsidR="00313287">
        <w:rPr>
          <w:rFonts w:ascii="Times New Roman" w:hAnsi="Times New Roman" w:cs="Times New Roman"/>
          <w:sz w:val="28"/>
          <w:szCs w:val="28"/>
        </w:rPr>
        <w:t>:</w:t>
      </w:r>
      <w:r w:rsidR="00F920D2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разработки и утверждения органами местного самоуправления в Новосибирской области схемы размещения нестационарных торговых объектов, утвержденным приказом Министерства промышленности, торговли и развития предпринимательства новосибирской области от 24.01.2011 № 10.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7C1DAF" w:rsidRPr="00F51BC9" w:rsidRDefault="0092778E" w:rsidP="007C1DAF">
      <w:pPr>
        <w:ind w:firstLine="567"/>
        <w:jc w:val="both"/>
      </w:pPr>
      <w:bookmarkStart w:id="0" w:name="bookmark6"/>
      <w:r w:rsidRPr="0092778E">
        <w:t>3.1. </w:t>
      </w:r>
      <w:bookmarkEnd w:id="0"/>
      <w:r w:rsidR="007C1DAF">
        <w:t xml:space="preserve">- </w:t>
      </w:r>
      <w:r w:rsidR="007C1DAF" w:rsidRPr="00F51BC9">
        <w:t>Индивидуальные предприниматели, физические и юридические лица, заинтересованные в пользовании нестационарными то</w:t>
      </w:r>
      <w:r w:rsidR="007C1DAF">
        <w:t>р</w:t>
      </w:r>
      <w:r w:rsidR="007C1DAF" w:rsidRPr="00F51BC9">
        <w:t>говыми объектами</w:t>
      </w:r>
    </w:p>
    <w:p w:rsidR="0092778E" w:rsidRPr="0092778E" w:rsidRDefault="0092778E" w:rsidP="007C1DAF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3293"/>
        <w:gridCol w:w="3323"/>
      </w:tblGrid>
      <w:tr w:rsidR="0092778E" w:rsidRPr="0092778E" w:rsidTr="00814A6F">
        <w:tc>
          <w:tcPr>
            <w:tcW w:w="33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9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32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2778E" w:rsidRPr="0092778E" w:rsidTr="00814A6F">
        <w:tc>
          <w:tcPr>
            <w:tcW w:w="9916" w:type="dxa"/>
            <w:gridSpan w:val="3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814A6F" w:rsidRPr="0092778E" w:rsidTr="00E8712A">
        <w:tc>
          <w:tcPr>
            <w:tcW w:w="9916" w:type="dxa"/>
            <w:gridSpan w:val="3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2252"/>
        <w:gridCol w:w="2586"/>
        <w:gridCol w:w="2862"/>
      </w:tblGrid>
      <w:tr w:rsidR="0092778E" w:rsidRPr="0092778E" w:rsidTr="00814A6F">
        <w:tc>
          <w:tcPr>
            <w:tcW w:w="221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25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Характер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Style w:val="a7"/>
                <w:rFonts w:cs="Times New Roman"/>
                <w:bCs/>
                <w:i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воздействия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2778E">
              <w:rPr>
                <w:rStyle w:val="1"/>
                <w:rFonts w:cs="Times New Roman"/>
                <w:b/>
              </w:rPr>
              <w:t>(Введение/ Изменение/ Отмена)</w:t>
            </w:r>
          </w:p>
        </w:tc>
        <w:tc>
          <w:tcPr>
            <w:tcW w:w="258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Предполагаемый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реализации</w:t>
            </w:r>
          </w:p>
        </w:tc>
        <w:tc>
          <w:tcPr>
            <w:tcW w:w="286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Расходы</w:t>
            </w:r>
            <w:r w:rsidRPr="009277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 xml:space="preserve"> консолидированного бюджета Новосибирской области</w:t>
            </w:r>
          </w:p>
        </w:tc>
      </w:tr>
      <w:tr w:rsidR="0092778E" w:rsidRPr="0092778E" w:rsidTr="00814A6F">
        <w:tc>
          <w:tcPr>
            <w:tcW w:w="9916" w:type="dxa"/>
            <w:gridSpan w:val="4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iCs/>
                <w:sz w:val="24"/>
                <w:szCs w:val="24"/>
              </w:rPr>
              <w:t>Органы местного самоуправления</w:t>
            </w:r>
          </w:p>
        </w:tc>
      </w:tr>
      <w:tr w:rsidR="00814A6F" w:rsidRPr="0092778E" w:rsidTr="00366435">
        <w:tc>
          <w:tcPr>
            <w:tcW w:w="9916" w:type="dxa"/>
            <w:gridSpan w:val="4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814A6F" w:rsidRDefault="0092778E" w:rsidP="00814A6F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3.4. Описание расходов бюджета Чановского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</w:t>
      </w:r>
      <w:r w:rsidRPr="00814A6F">
        <w:rPr>
          <w:rFonts w:ascii="Times New Roman" w:hAnsi="Times New Roman" w:cs="Times New Roman"/>
          <w:sz w:val="28"/>
          <w:szCs w:val="28"/>
        </w:rPr>
        <w:t>)</w:t>
      </w:r>
      <w:r w:rsidR="00814A6F" w:rsidRP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3.5. Описание расходов бюджета Чановского района на организационно-технические, методологические и иные мероприятия</w:t>
      </w:r>
      <w:r w:rsid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бюджета Чановского района </w:t>
      </w:r>
      <w:r w:rsidRPr="0092778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2"/>
        <w:gridCol w:w="3303"/>
        <w:gridCol w:w="3331"/>
      </w:tblGrid>
      <w:tr w:rsidR="0092778E" w:rsidRPr="0092778E" w:rsidTr="00EF7B18">
        <w:tc>
          <w:tcPr>
            <w:tcW w:w="3466" w:type="dxa"/>
            <w:vAlign w:val="center"/>
          </w:tcPr>
          <w:p w:rsidR="0092778E" w:rsidRPr="0092778E" w:rsidRDefault="0092778E" w:rsidP="00EF7B18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92778E" w:rsidRPr="0092778E" w:rsidTr="00EF7B18">
        <w:tc>
          <w:tcPr>
            <w:tcW w:w="3466" w:type="dxa"/>
          </w:tcPr>
          <w:p w:rsid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6F" w:rsidRPr="0092778E" w:rsidRDefault="00814A6F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платежи</w:t>
            </w:r>
          </w:p>
        </w:tc>
        <w:tc>
          <w:tcPr>
            <w:tcW w:w="3468" w:type="dxa"/>
          </w:tcPr>
          <w:p w:rsidR="0092778E" w:rsidRPr="0092778E" w:rsidRDefault="00814A6F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поступления доходов: арендная плата на земельный налог</w:t>
            </w:r>
          </w:p>
        </w:tc>
        <w:tc>
          <w:tcPr>
            <w:tcW w:w="3470" w:type="dxa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ind w:left="20" w:firstLine="547"/>
        <w:jc w:val="both"/>
      </w:pPr>
      <w:r w:rsidRPr="0092778E">
        <w:t>3.7. Обоснование</w:t>
      </w:r>
      <w:r w:rsidRPr="0092778E">
        <w:tab/>
        <w:t xml:space="preserve">количественной оценки поступлений </w:t>
      </w:r>
      <w:r w:rsidR="00814A6F">
        <w:t xml:space="preserve">в </w:t>
      </w:r>
      <w:r w:rsidRPr="0092778E">
        <w:t>бюджет Чановского района Новосибирской области</w:t>
      </w:r>
    </w:p>
    <w:p w:rsidR="0092778E" w:rsidRPr="0092778E" w:rsidRDefault="00814A6F" w:rsidP="0092778E">
      <w:pPr>
        <w:tabs>
          <w:tab w:val="left" w:pos="1560"/>
          <w:tab w:val="left" w:pos="3261"/>
        </w:tabs>
        <w:ind w:left="20"/>
        <w:jc w:val="both"/>
      </w:pPr>
      <w:r>
        <w:t xml:space="preserve">Количественная оценка зависит от  суммы арендной платы за арендуемый земельный участок. </w:t>
      </w:r>
    </w:p>
    <w:p w:rsidR="0092778E" w:rsidRPr="0092778E" w:rsidRDefault="0092778E" w:rsidP="0092778E">
      <w:pPr>
        <w:ind w:firstLine="567"/>
        <w:jc w:val="both"/>
        <w:rPr>
          <w:i/>
        </w:rPr>
      </w:pP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 Порядок введения регулирования</w:t>
      </w: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b w:val="0"/>
          <w:sz w:val="28"/>
          <w:szCs w:val="28"/>
        </w:rPr>
        <w:t>.1. Обоснование (отсутствия) необходимости установления переходного периода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установления переходного периода или отсрочки введения предлагаемого регулирования нет.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778E" w:rsidRPr="0092778E" w:rsidRDefault="00814A6F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.2. Обоснование (отсутствия) необходимости распространения предлагаемого регулирования на ранее возникшие отношения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необходимость распространения предлагаемого регулирования на ранее возникшие отношения.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.3. Предполагаемая дата вступления в силу проекта акта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подписания нормативного правового акта.</w:t>
      </w:r>
    </w:p>
    <w:p w:rsidR="0092778E" w:rsidRPr="0092778E" w:rsidRDefault="0092778E" w:rsidP="0092778E">
      <w:pPr>
        <w:pStyle w:val="ConsPlusNormal"/>
        <w:jc w:val="both"/>
        <w:rPr>
          <w:color w:val="000000"/>
        </w:rPr>
      </w:pPr>
    </w:p>
    <w:p w:rsidR="0092778E" w:rsidRPr="0092778E" w:rsidRDefault="0092778E" w:rsidP="0092778E">
      <w:pPr>
        <w:pStyle w:val="ConsPlusNormal"/>
        <w:ind w:firstLine="567"/>
        <w:jc w:val="both"/>
      </w:pPr>
      <w:r w:rsidRPr="0092778E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92778E" w:rsidRPr="0092778E" w:rsidRDefault="00080903" w:rsidP="0092778E">
      <w:pPr>
        <w:pStyle w:val="ConsPlusNormal"/>
        <w:jc w:val="both"/>
        <w:sectPr w:rsidR="0092778E" w:rsidRPr="0092778E" w:rsidSect="00EA2929">
          <w:pgSz w:w="11909" w:h="16838"/>
          <w:pgMar w:top="426" w:right="749" w:bottom="851" w:left="1440" w:header="0" w:footer="6" w:gutter="0"/>
          <w:cols w:space="720"/>
        </w:sectPr>
      </w:pPr>
      <w:r>
        <w:t>Отсутствуют.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9277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778E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92778E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1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69"/>
        <w:gridCol w:w="2404"/>
        <w:gridCol w:w="2366"/>
        <w:gridCol w:w="2274"/>
      </w:tblGrid>
      <w:tr w:rsidR="0092778E" w:rsidRPr="0092778E" w:rsidTr="00EF7B18">
        <w:tc>
          <w:tcPr>
            <w:tcW w:w="95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92778E" w:rsidRPr="0092778E" w:rsidTr="00EF7B18">
        <w:tc>
          <w:tcPr>
            <w:tcW w:w="959" w:type="dxa"/>
          </w:tcPr>
          <w:p w:rsidR="0092778E" w:rsidRPr="0092778E" w:rsidRDefault="00080903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2778E" w:rsidRPr="0092778E" w:rsidRDefault="00747E32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порядка предоставления компенсационного места </w:t>
            </w:r>
            <w:r w:rsidRPr="00EB5986">
              <w:rPr>
                <w:rFonts w:ascii="Times New Roman" w:hAnsi="Times New Roman" w:cs="Times New Roman"/>
                <w:sz w:val="28"/>
                <w:szCs w:val="28"/>
              </w:rPr>
              <w:t>для размещения нестационарных торговых объектов,</w:t>
            </w:r>
          </w:p>
        </w:tc>
        <w:tc>
          <w:tcPr>
            <w:tcW w:w="2977" w:type="dxa"/>
          </w:tcPr>
          <w:p w:rsidR="0092778E" w:rsidRPr="00EB5986" w:rsidRDefault="00EB598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мест для размещения нестационарных торговых объектов, находящихся в муниципальной собственности Чановского района. </w:t>
            </w:r>
          </w:p>
        </w:tc>
        <w:tc>
          <w:tcPr>
            <w:tcW w:w="2835" w:type="dxa"/>
          </w:tcPr>
          <w:p w:rsidR="0092778E" w:rsidRPr="00EB5986" w:rsidRDefault="00080903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86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Неэффективное использование мест для размещения нестационарных торговых объектов. </w:t>
            </w:r>
          </w:p>
        </w:tc>
        <w:tc>
          <w:tcPr>
            <w:tcW w:w="3620" w:type="dxa"/>
          </w:tcPr>
          <w:p w:rsidR="0092778E" w:rsidRPr="00EB5986" w:rsidRDefault="00EB598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8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78E" w:rsidRPr="0092778E" w:rsidRDefault="0092778E" w:rsidP="0092778E">
      <w:pPr>
        <w:pStyle w:val="23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"/>
      <w:r w:rsidRPr="0092778E">
        <w:rPr>
          <w:rFonts w:ascii="Times New Roman" w:hAnsi="Times New Roman" w:cs="Times New Roman"/>
          <w:sz w:val="28"/>
          <w:szCs w:val="28"/>
        </w:rPr>
        <w:lastRenderedPageBreak/>
        <w:t>2. Описание иных способов решения заявленных проблем</w:t>
      </w:r>
      <w:bookmarkEnd w:id="2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left="20" w:firstLine="547"/>
        <w:rPr>
          <w:rStyle w:val="a8"/>
          <w:rFonts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заявленные проблемы могут быть решены также иными </w:t>
      </w:r>
      <w:r w:rsidRPr="0092778E">
        <w:rPr>
          <w:rStyle w:val="a8"/>
          <w:rFonts w:cs="Times New Roman"/>
          <w:sz w:val="28"/>
          <w:szCs w:val="28"/>
        </w:rPr>
        <w:t>способами (в том числе без введения нового регулирования)</w:t>
      </w:r>
      <w:r w:rsidRPr="0092778E">
        <w:rPr>
          <w:rStyle w:val="a6"/>
          <w:rFonts w:ascii="Times New Roman" w:hAnsi="Times New Roman" w:cs="Times New Roman"/>
        </w:rPr>
        <w:footnoteReference w:id="3"/>
      </w:r>
      <w:r w:rsidRPr="0092778E">
        <w:rPr>
          <w:rStyle w:val="a8"/>
          <w:rFonts w:cs="Times New Roman"/>
          <w:sz w:val="28"/>
          <w:szCs w:val="28"/>
        </w:rPr>
        <w:t>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Style w:val="a8"/>
          <w:rFonts w:cs="Times New Roman"/>
          <w:b/>
          <w:sz w:val="28"/>
          <w:szCs w:val="28"/>
        </w:rPr>
      </w:pPr>
      <w:r w:rsidRPr="0092778E">
        <w:rPr>
          <w:rStyle w:val="a8"/>
          <w:rFonts w:cs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7"/>
        <w:gridCol w:w="2160"/>
        <w:gridCol w:w="3671"/>
        <w:gridCol w:w="2269"/>
      </w:tblGrid>
      <w:tr w:rsidR="0092778E" w:rsidRPr="0092778E" w:rsidTr="00EF7B18">
        <w:tc>
          <w:tcPr>
            <w:tcW w:w="336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Примечания</w:t>
            </w:r>
          </w:p>
        </w:tc>
      </w:tr>
      <w:tr w:rsidR="00EB5986" w:rsidRPr="0092778E" w:rsidTr="004C7B1A">
        <w:tc>
          <w:tcPr>
            <w:tcW w:w="15069" w:type="dxa"/>
            <w:gridSpan w:val="4"/>
          </w:tcPr>
          <w:p w:rsidR="00EB5986" w:rsidRPr="0092778E" w:rsidRDefault="00EB598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92778E">
        <w:rPr>
          <w:rFonts w:ascii="Times New Roman" w:hAnsi="Times New Roman" w:cs="Times New Roman"/>
          <w:bCs/>
          <w:sz w:val="28"/>
          <w:szCs w:val="28"/>
        </w:rPr>
        <w:t>3.</w:t>
      </w:r>
      <w:r w:rsidRPr="0092778E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2778E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3"/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r:id="rId8" w:anchor="bookmark8" w:tooltip="Current Document" w:history="1">
        <w:r w:rsidRPr="0092778E">
          <w:rPr>
            <w:rStyle w:val="a9"/>
            <w:rFonts w:ascii="Times New Roman" w:hAnsi="Times New Roman"/>
            <w:sz w:val="28"/>
            <w:szCs w:val="28"/>
          </w:rPr>
          <w:t xml:space="preserve"> 2</w:t>
        </w:r>
      </w:hyperlink>
      <w:r w:rsidRPr="0092778E">
        <w:rPr>
          <w:rFonts w:ascii="Times New Roman" w:hAnsi="Times New Roman" w:cs="Times New Roman"/>
          <w:sz w:val="28"/>
          <w:szCs w:val="28"/>
        </w:rPr>
        <w:t>, настоящей части способов решения заявленных проблем не требуют введения нового регулирования: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8"/>
        <w:gridCol w:w="2411"/>
        <w:gridCol w:w="2720"/>
        <w:gridCol w:w="2668"/>
      </w:tblGrid>
      <w:tr w:rsidR="0092778E" w:rsidRPr="0092778E" w:rsidTr="00EF7B18">
        <w:tc>
          <w:tcPr>
            <w:tcW w:w="405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B5986" w:rsidRPr="0092778E" w:rsidTr="00574ED2">
        <w:tc>
          <w:tcPr>
            <w:tcW w:w="15333" w:type="dxa"/>
            <w:gridSpan w:val="4"/>
          </w:tcPr>
          <w:p w:rsidR="00EB5986" w:rsidRPr="0092778E" w:rsidRDefault="00EB5986" w:rsidP="00EB5986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2778E" w:rsidRDefault="0092778E" w:rsidP="0092778E">
      <w:pPr>
        <w:rPr>
          <w:i/>
        </w:rPr>
      </w:pPr>
    </w:p>
    <w:p w:rsidR="007C1DAF" w:rsidRPr="00326C20" w:rsidRDefault="007C1DAF" w:rsidP="007C1DAF">
      <w:pPr>
        <w:jc w:val="center"/>
        <w:rPr>
          <w:b/>
        </w:rPr>
      </w:pPr>
      <w:r w:rsidRPr="00326C20">
        <w:rPr>
          <w:b/>
        </w:rPr>
        <w:t xml:space="preserve">7. Результат размещения уведомления </w:t>
      </w:r>
      <w:r>
        <w:rPr>
          <w:b/>
        </w:rPr>
        <w:t>о</w:t>
      </w:r>
      <w:r w:rsidRPr="00326C20">
        <w:rPr>
          <w:b/>
        </w:rPr>
        <w:t xml:space="preserve"> проведени</w:t>
      </w:r>
      <w:r>
        <w:rPr>
          <w:b/>
        </w:rPr>
        <w:t>и</w:t>
      </w:r>
      <w:r w:rsidRPr="00326C20">
        <w:rPr>
          <w:b/>
        </w:rPr>
        <w:t xml:space="preserve"> публичных консультаций по проекту муниципального  нормативного правового акта</w:t>
      </w:r>
    </w:p>
    <w:p w:rsidR="007C1DAF" w:rsidRDefault="007C1DAF" w:rsidP="007C1DAF">
      <w:pPr>
        <w:rPr>
          <w:b/>
        </w:rPr>
      </w:pPr>
    </w:p>
    <w:p w:rsidR="007C1DAF" w:rsidRDefault="007C1DAF" w:rsidP="007C1DAF">
      <w:r>
        <w:t xml:space="preserve">7.1. Информация о сроках размещения уведомления </w:t>
      </w:r>
      <w:r w:rsidRPr="00F138A3">
        <w:t>о  проведении публичных консультаций по проекту муниципально</w:t>
      </w:r>
      <w:r>
        <w:t xml:space="preserve">го  нормативного правового акта на официальном сайте «Электронная демократия Новосибирской области» </w:t>
      </w:r>
      <w:hyperlink r:id="rId9" w:history="1">
        <w:r w:rsidRPr="005D1FD2">
          <w:rPr>
            <w:rStyle w:val="a9"/>
          </w:rPr>
          <w:t>http://dem.nso.ru</w:t>
        </w:r>
      </w:hyperlink>
      <w:r>
        <w:t>, администрации Чановского района Новосибирской области  с 24.05.2019 по 06.06.2019 г.</w:t>
      </w:r>
    </w:p>
    <w:p w:rsidR="007C1DAF" w:rsidRDefault="007C1DAF" w:rsidP="007C1DAF"/>
    <w:p w:rsidR="006B34C8" w:rsidRDefault="006B34C8" w:rsidP="0092778E">
      <w:pPr>
        <w:rPr>
          <w:i/>
        </w:rPr>
      </w:pPr>
    </w:p>
    <w:p w:rsidR="006B34C8" w:rsidRDefault="006B34C8" w:rsidP="0092778E">
      <w:pPr>
        <w:rPr>
          <w:i/>
        </w:rPr>
      </w:pP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Разработчик</w:t>
      </w: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34C8" w:rsidRPr="0092778E" w:rsidRDefault="00965FC7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Н.В.              </w:t>
      </w:r>
      <w:r w:rsidR="007C1DAF">
        <w:rPr>
          <w:rFonts w:ascii="Times New Roman" w:hAnsi="Times New Roman" w:cs="Times New Roman"/>
          <w:sz w:val="28"/>
          <w:szCs w:val="28"/>
        </w:rPr>
        <w:t xml:space="preserve">                              23.05.2019</w:t>
      </w:r>
      <w:r w:rsidR="006B34C8" w:rsidRPr="0092778E">
        <w:rPr>
          <w:rFonts w:ascii="Times New Roman" w:hAnsi="Times New Roman" w:cs="Times New Roman"/>
          <w:sz w:val="28"/>
          <w:szCs w:val="28"/>
        </w:rPr>
        <w:t xml:space="preserve">         _________________</w:t>
      </w:r>
    </w:p>
    <w:p w:rsidR="006B34C8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  (инициалы, фамилия)                                   Дата                                  Подпись</w:t>
      </w:r>
    </w:p>
    <w:p w:rsidR="00E15424" w:rsidRPr="006B34C8" w:rsidRDefault="00E1542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15424" w:rsidRPr="006B34C8" w:rsidSect="006B34C8">
          <w:type w:val="continuous"/>
          <w:pgSz w:w="11909" w:h="16838"/>
          <w:pgMar w:top="1134" w:right="567" w:bottom="567" w:left="851" w:header="283" w:footer="6" w:gutter="0"/>
          <w:cols w:space="720"/>
          <w:docGrid w:linePitch="381"/>
        </w:sectPr>
      </w:pPr>
    </w:p>
    <w:p w:rsidR="00E279E4" w:rsidRDefault="00E279E4" w:rsidP="00E15424"/>
    <w:sectPr w:rsidR="00E279E4" w:rsidSect="00E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F5" w:rsidRDefault="00F352F5" w:rsidP="0092778E">
      <w:r>
        <w:separator/>
      </w:r>
    </w:p>
  </w:endnote>
  <w:endnote w:type="continuationSeparator" w:id="1">
    <w:p w:rsidR="00F352F5" w:rsidRDefault="00F352F5" w:rsidP="0092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F5" w:rsidRDefault="00F352F5" w:rsidP="0092778E">
      <w:r>
        <w:separator/>
      </w:r>
    </w:p>
  </w:footnote>
  <w:footnote w:type="continuationSeparator" w:id="1">
    <w:p w:rsidR="00F352F5" w:rsidRDefault="00F352F5" w:rsidP="0092778E">
      <w:r>
        <w:continuationSeparator/>
      </w:r>
    </w:p>
  </w:footnote>
  <w:footnote w:id="2">
    <w:p w:rsidR="0092778E" w:rsidRDefault="0092778E" w:rsidP="0092778E">
      <w:pPr>
        <w:pStyle w:val="a3"/>
        <w:jc w:val="both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3">
    <w:p w:rsidR="0092778E" w:rsidRDefault="0092778E" w:rsidP="0092778E">
      <w:pPr>
        <w:pStyle w:val="a3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78E"/>
    <w:rsid w:val="00080903"/>
    <w:rsid w:val="00173EF4"/>
    <w:rsid w:val="00313287"/>
    <w:rsid w:val="004549B1"/>
    <w:rsid w:val="006377ED"/>
    <w:rsid w:val="006B34C8"/>
    <w:rsid w:val="0072166A"/>
    <w:rsid w:val="00747E32"/>
    <w:rsid w:val="00763C56"/>
    <w:rsid w:val="007B593B"/>
    <w:rsid w:val="007C1DAF"/>
    <w:rsid w:val="00814A6F"/>
    <w:rsid w:val="0092778E"/>
    <w:rsid w:val="00956D83"/>
    <w:rsid w:val="00965FC7"/>
    <w:rsid w:val="00E15424"/>
    <w:rsid w:val="00E279E4"/>
    <w:rsid w:val="00EB5986"/>
    <w:rsid w:val="00EE63A6"/>
    <w:rsid w:val="00F352F5"/>
    <w:rsid w:val="00F920D2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8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778E"/>
    <w:pPr>
      <w:widowControl w:val="0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778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27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92778E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2778E"/>
    <w:pPr>
      <w:widowControl w:val="0"/>
      <w:shd w:val="clear" w:color="auto" w:fill="FFFFFF"/>
      <w:spacing w:before="180" w:line="322" w:lineRule="exac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92778E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78E"/>
    <w:pPr>
      <w:widowControl w:val="0"/>
      <w:shd w:val="clear" w:color="auto" w:fill="FFFFFF"/>
      <w:spacing w:after="660" w:line="322" w:lineRule="exact"/>
      <w:ind w:firstLine="4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0">
    <w:name w:val="Заголовок №2_"/>
    <w:link w:val="21"/>
    <w:locked/>
    <w:rsid w:val="0092778E"/>
    <w:rPr>
      <w:b/>
      <w:sz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92778E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2">
    <w:name w:val="Подпись к таблице (2)_"/>
    <w:link w:val="23"/>
    <w:locked/>
    <w:rsid w:val="0092778E"/>
    <w:rPr>
      <w:b/>
      <w:sz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277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927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semiHidden/>
    <w:rsid w:val="0092778E"/>
    <w:rPr>
      <w:vertAlign w:val="superscript"/>
    </w:rPr>
  </w:style>
  <w:style w:type="character" w:customStyle="1" w:styleId="1">
    <w:name w:val="Основной текст1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7">
    <w:name w:val="Основной текст + Полужирный"/>
    <w:rsid w:val="0092778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a8">
    <w:name w:val="Подпись к таблице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styleId="a9">
    <w:name w:val="Hyperlink"/>
    <w:basedOn w:val="a0"/>
    <w:rsid w:val="0092778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3C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763C56"/>
    <w:pPr>
      <w:widowControl w:val="0"/>
      <w:suppressAutoHyphens/>
      <w:autoSpaceDE w:val="0"/>
      <w:spacing w:after="120"/>
      <w:ind w:firstLine="720"/>
      <w:jc w:val="both"/>
    </w:pPr>
    <w:rPr>
      <w:rFonts w:ascii="Arial" w:eastAsia="Times New Roman" w:hAnsi="Arial" w:cs="Arial"/>
      <w:sz w:val="20"/>
      <w:szCs w:val="20"/>
      <w:lang w:eastAsia="hi-IN" w:bidi="hi-IN"/>
    </w:rPr>
  </w:style>
  <w:style w:type="character" w:customStyle="1" w:styleId="af">
    <w:name w:val="Основной текст Знак"/>
    <w:basedOn w:val="a0"/>
    <w:link w:val="ae"/>
    <w:rsid w:val="00763C56"/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ev.adm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94F1-8B72-4FD2-AF7E-0D9A40C3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</cp:lastModifiedBy>
  <cp:revision>5</cp:revision>
  <cp:lastPrinted>2017-12-19T07:12:00Z</cp:lastPrinted>
  <dcterms:created xsi:type="dcterms:W3CDTF">2017-12-18T05:37:00Z</dcterms:created>
  <dcterms:modified xsi:type="dcterms:W3CDTF">2019-05-23T10:32:00Z</dcterms:modified>
</cp:coreProperties>
</file>