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1C" w:rsidRPr="00107D1C" w:rsidRDefault="00107D1C" w:rsidP="00107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93A5A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3E7BCEC" wp14:editId="1C47A658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КОЧКОВСКОГО РАЙОНА</w:t>
      </w: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A5A" w:rsidRPr="00693A5A" w:rsidRDefault="00693A5A" w:rsidP="00107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5A" w:rsidRPr="00693A5A" w:rsidRDefault="00693A5A" w:rsidP="0069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№ -па</w:t>
      </w:r>
    </w:p>
    <w:p w:rsidR="00693A5A" w:rsidRPr="00693A5A" w:rsidRDefault="00693A5A" w:rsidP="0069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A5A" w:rsidRPr="00693A5A" w:rsidRDefault="00693A5A" w:rsidP="00DE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администрацией Кочковского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от 01.07.2015 n 583-ОЗ "Об установлении критериев,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которым должны соответствовать масштабные инвестиционные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проекты, для реализации которых предоставляются земельные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участки в аренду без проведения торгов и о внесении</w:t>
      </w:r>
      <w:r w:rsidR="00DE5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статью 15 з</w:t>
      </w:r>
      <w:r w:rsidR="00DE5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акона Новосибирской области "Об </w:t>
      </w:r>
      <w:r w:rsidRPr="0069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использовании земель на территории Новосибирской области"</w:t>
      </w:r>
    </w:p>
    <w:p w:rsidR="00693A5A" w:rsidRPr="00693A5A" w:rsidRDefault="00693A5A" w:rsidP="00693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C5E" w:rsidRDefault="00DE5C5E" w:rsidP="00DE5C5E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Закона Новосибирской области от 01.07.2015 N 583-ОЗ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земель на территории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93A5A" w:rsidRPr="00693A5A" w:rsidRDefault="00693A5A" w:rsidP="00DE5C5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A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693A5A" w:rsidRPr="00693A5A" w:rsidRDefault="00693A5A" w:rsidP="00DE5C5E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DE5C5E"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 w:rsidRPr="00693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5C5E"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администрацией Кочковского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</w:t>
      </w:r>
      <w:r w:rsid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5 закона Новосибирской области «</w:t>
      </w:r>
      <w:r w:rsidR="00DE5C5E"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5C5E" w:rsidRP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земель на т</w:t>
      </w:r>
      <w:r w:rsidR="00DE5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ерритории Новосибирской области» </w:t>
      </w:r>
      <w:r w:rsidRPr="00693A5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693A5A" w:rsidRPr="00693A5A" w:rsidRDefault="00693A5A" w:rsidP="00DE5C5E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A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постановления возложить на заместителя Главы администрации М.В.Белоус.</w:t>
      </w:r>
    </w:p>
    <w:p w:rsidR="00693A5A" w:rsidRPr="00693A5A" w:rsidRDefault="00693A5A" w:rsidP="00693A5A">
      <w:pPr>
        <w:widowControl w:val="0"/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3A5A" w:rsidRPr="00693A5A" w:rsidTr="00392DAD">
        <w:tc>
          <w:tcPr>
            <w:tcW w:w="4672" w:type="dxa"/>
          </w:tcPr>
          <w:p w:rsidR="00693A5A" w:rsidRPr="00693A5A" w:rsidRDefault="00693A5A" w:rsidP="00693A5A">
            <w:pPr>
              <w:widowControl w:val="0"/>
              <w:autoSpaceDE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3A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Кочковского района Новосибирской области</w:t>
            </w:r>
          </w:p>
        </w:tc>
        <w:tc>
          <w:tcPr>
            <w:tcW w:w="4673" w:type="dxa"/>
          </w:tcPr>
          <w:p w:rsidR="00693A5A" w:rsidRPr="00693A5A" w:rsidRDefault="00693A5A" w:rsidP="00693A5A">
            <w:pPr>
              <w:widowControl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3A5A" w:rsidRPr="00693A5A" w:rsidRDefault="00693A5A" w:rsidP="00693A5A">
            <w:pPr>
              <w:widowControl w:val="0"/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3A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П.А.Шилин</w:t>
            </w:r>
          </w:p>
        </w:tc>
      </w:tr>
    </w:tbl>
    <w:p w:rsidR="00DE5C5E" w:rsidRDefault="00DE5C5E" w:rsidP="00DE5C5E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E5C5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693A5A" w:rsidRPr="00DE5C5E" w:rsidRDefault="00DE5C5E" w:rsidP="00DE5C5E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DE5C5E">
        <w:rPr>
          <w:rFonts w:ascii="Times New Roman" w:hAnsi="Times New Roman" w:cs="Times New Roman"/>
          <w:b w:val="0"/>
          <w:sz w:val="24"/>
          <w:szCs w:val="24"/>
        </w:rPr>
        <w:t>от №</w:t>
      </w:r>
    </w:p>
    <w:p w:rsidR="00DE5C5E" w:rsidRDefault="00DE5C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ПОРЯДОК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рассмотрения администрацией Кочковского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области от 01.07.2015 n 583-ОЗ "Об установлении критериев,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проекты, для реализации которых предоставляются земельные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участки в аренду без проведения торгов и о внесении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изменения в статью 15 закона Новосибирской области "Об</w:t>
      </w:r>
    </w:p>
    <w:p w:rsidR="00822688" w:rsidRPr="009A337C" w:rsidRDefault="00F02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использовании земель на территории Новосибирской области"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1. </w:t>
      </w:r>
      <w:r w:rsidR="00186818" w:rsidRPr="009A337C">
        <w:rPr>
          <w:rFonts w:ascii="Times New Roman" w:hAnsi="Times New Roman" w:cs="Times New Roman"/>
          <w:sz w:val="28"/>
          <w:szCs w:val="28"/>
        </w:rPr>
        <w:t>П</w:t>
      </w:r>
      <w:r w:rsidRPr="009A337C">
        <w:rPr>
          <w:rFonts w:ascii="Times New Roman" w:hAnsi="Times New Roman" w:cs="Times New Roman"/>
          <w:sz w:val="28"/>
          <w:szCs w:val="28"/>
        </w:rPr>
        <w:t xml:space="preserve">орядок рассмотрения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администрацией Кочковского района</w:t>
      </w:r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 области ходатайств юридических лиц о реализации масштабных инвестиционных проектов и их соответствии критериям, установленным </w:t>
      </w:r>
      <w:hyperlink r:id="rId8" w:history="1">
        <w:r w:rsidRPr="009A3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 (далее - Порядок), определяет порядок действий при поступлении в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администрацию Кочковского района </w:t>
      </w:r>
      <w:r w:rsidRPr="009A337C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-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администрация</w:t>
      </w:r>
      <w:r w:rsidRPr="009A337C">
        <w:rPr>
          <w:rFonts w:ascii="Times New Roman" w:hAnsi="Times New Roman" w:cs="Times New Roman"/>
          <w:sz w:val="28"/>
          <w:szCs w:val="28"/>
        </w:rPr>
        <w:t xml:space="preserve">)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9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 (далее - Закон Новосибирской области),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 (далее - земельный участок).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9A337C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термины: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1) проект - масштабный инвестиционный проект, критерии для которого установлены </w:t>
      </w:r>
      <w:hyperlink r:id="rId10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2) ходатайство - обращение в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администрацию</w:t>
      </w:r>
      <w:r w:rsidRPr="009A337C">
        <w:rPr>
          <w:rFonts w:ascii="Times New Roman" w:hAnsi="Times New Roman" w:cs="Times New Roman"/>
          <w:sz w:val="28"/>
          <w:szCs w:val="28"/>
        </w:rPr>
        <w:t xml:space="preserve"> юридического лица о рассмотрении возможности реализации проекта на земельном участке и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проекта критериям, установленным </w:t>
      </w:r>
      <w:hyperlink r:id="rId11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3) конкурс - отбор инициатора проекта, проводимый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A337C">
        <w:rPr>
          <w:rFonts w:ascii="Times New Roman" w:hAnsi="Times New Roman" w:cs="Times New Roman"/>
          <w:sz w:val="28"/>
          <w:szCs w:val="28"/>
        </w:rPr>
        <w:t xml:space="preserve"> для реализации проекта;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4) участники строительства -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5) жилищно-строительный кооператив -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6) не завершенный строительством объект -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143" w:history="1">
        <w:r w:rsidRPr="009A337C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- договор между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администрацией</w:t>
      </w:r>
      <w:r w:rsidRPr="009A337C">
        <w:rPr>
          <w:rFonts w:ascii="Times New Roman" w:hAnsi="Times New Roman" w:cs="Times New Roman"/>
          <w:sz w:val="28"/>
          <w:szCs w:val="28"/>
        </w:rPr>
        <w:t>, инициатором проекта и жилищно-строительным кооперативом о взаимодействии, об обязательствах и порядке их исполнения при реализации проекта по форме согласно приложению к настоящему Порядку.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Термины, не приведенные в </w:t>
      </w:r>
      <w:hyperlink w:anchor="P54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Порядка, употребляются в настоящем Порядке в значении, определенном в </w:t>
      </w:r>
      <w:hyperlink r:id="rId12" w:history="1">
        <w:r w:rsidRPr="009A337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 критериям, установленным </w:t>
      </w:r>
      <w:hyperlink r:id="rId13" w:history="1">
        <w:r w:rsidRPr="009A3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утвержденным постановлением Правительства Новосибирской области от 23.11.2015 N 407-п.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3. В целях реализации проекта на земельном участке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администрация</w:t>
      </w:r>
      <w:r w:rsidRPr="009A337C">
        <w:rPr>
          <w:rFonts w:ascii="Times New Roman" w:hAnsi="Times New Roman" w:cs="Times New Roman"/>
          <w:sz w:val="28"/>
          <w:szCs w:val="28"/>
        </w:rPr>
        <w:t xml:space="preserve"> объявляет и проводит конкурс.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критериев оценки ходатайств инициаторов проекта оформляется муниципальным правовым актом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>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5. Извещение о проведении конкурса и конкурсная документация размещаются на официальном сайте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не менее чем за 30 календарных дней до даты окончания приема ходатайств.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6. Извещение о проведении конкурса содержит: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1) предмет конкурса;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3) место и порядок приема ходатайств;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lastRenderedPageBreak/>
        <w:t>4) дату, время и место вскрытия конвертов с ходатайствами.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7. Конкурсная документация включает в себя: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1) при отсутствии утвержденного проекта межевания территории -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2) информацию из соответствующего градостроительного регламента;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3) порядок оценки и сопоставления ходатайств;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4) критерии, установленные </w:t>
      </w:r>
      <w:hyperlink r:id="rId14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5) максимальный срок реализации проекта;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7) размер денежных средств, подлежащих внесению на завершение строительства не завершенного строительством объекта;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8) сведения о местонахождении, характеристиках и текущем состоянии не завершенного строительством объекта;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9) наименование и реквизиты жилищно-строительного кооператива;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10) порядок внесения денежных средств на завершение строительства не завершенного строительством объекта;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11) проект соглашения;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5" w:history="1">
        <w:r w:rsidRPr="009A337C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инициатора проекта (типовая форма);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14) перечень документов, приведенный в </w:t>
      </w:r>
      <w:hyperlink w:anchor="P86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9A337C">
        <w:rPr>
          <w:rFonts w:ascii="Times New Roman" w:hAnsi="Times New Roman" w:cs="Times New Roman"/>
          <w:sz w:val="28"/>
          <w:szCs w:val="28"/>
        </w:rPr>
        <w:t xml:space="preserve">8. Для участия в конкурсе инициатор проекта направляет ходатайство в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администрацию</w:t>
      </w:r>
      <w:r w:rsidRPr="009A337C">
        <w:rPr>
          <w:rFonts w:ascii="Times New Roman" w:hAnsi="Times New Roman" w:cs="Times New Roman"/>
          <w:sz w:val="28"/>
          <w:szCs w:val="28"/>
        </w:rPr>
        <w:t>. К ходатайству прикладываются следующие документы: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1) декларация инициатора проекта;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2) эскизный проект на бумажном носителе;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9A337C">
        <w:rPr>
          <w:rFonts w:ascii="Times New Roman" w:hAnsi="Times New Roman" w:cs="Times New Roman"/>
          <w:sz w:val="28"/>
          <w:szCs w:val="28"/>
        </w:rPr>
        <w:t xml:space="preserve"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администрацию</w:t>
      </w:r>
      <w:r w:rsidRPr="009A337C">
        <w:rPr>
          <w:rFonts w:ascii="Times New Roman" w:hAnsi="Times New Roman" w:cs="Times New Roman"/>
          <w:sz w:val="28"/>
          <w:szCs w:val="28"/>
        </w:rPr>
        <w:t>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4) копии учредительных документов инициатора проекта со всеми изменениями и дополнениями, существующими на дату представления ходатайства в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администрацию</w:t>
      </w:r>
      <w:r w:rsidRPr="009A337C">
        <w:rPr>
          <w:rFonts w:ascii="Times New Roman" w:hAnsi="Times New Roman" w:cs="Times New Roman"/>
          <w:sz w:val="28"/>
          <w:szCs w:val="28"/>
        </w:rPr>
        <w:t>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администрацию</w:t>
      </w:r>
      <w:r w:rsidRPr="009A337C">
        <w:rPr>
          <w:rFonts w:ascii="Times New Roman" w:hAnsi="Times New Roman" w:cs="Times New Roman"/>
          <w:sz w:val="28"/>
          <w:szCs w:val="28"/>
        </w:rPr>
        <w:t xml:space="preserve">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16" w:history="1">
        <w:r w:rsidRPr="009A3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от 29.11.2007 N 282-ФЗ "Об официальном статистическом учете и системе государственной статистики в Российской Федерации" форме федерального статистического наблюдения, подтверждающих наличие у инициатора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7) выписка из реестра членов саморегулируемой организации, членом которой является инициатор проекта, с указанием сведений о наличии у инициатора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17" w:history="1">
        <w:r w:rsidRPr="009A33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21.04.2006 N 233 "О нормативах оценки финансовой устойчивости деятельности застройщика",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 даты направления ходатайства прошло менее двух календарных лет;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В случае непредоставления инициатором проекта по собственной инициативе документов, указанных в </w:t>
      </w:r>
      <w:hyperlink w:anchor="P89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подпункте 3 пункта 8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9. Конкурс проводится не позднее 30 календарных дней с даты окончания приема ходатайств.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10. По результатам конкурса конкурсная комиссия в день заседания конкурсной комиссии подготавливает заключение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 xml:space="preserve"> о возможности реализации проекта на земельном участке и соответствии проекта критериям, установленным </w:t>
      </w:r>
      <w:hyperlink r:id="rId18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11. Заключение конкурсной комиссии в день заседания конкурсной комиссии оформляется протоколом заседания конкурсной комиссии (далее - протокол). Протокол размещается на официальном сайте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подписания протокола.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19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подписания протокола заключает соглашение с инициатором проекта и жилищно-строительным кооперативом.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13. В случае если по заключению конкурсной комиссии проект не соответствует критериям, установленным </w:t>
      </w:r>
      <w:hyperlink r:id="rId20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14. Основаниями для отказа в удовлетворении ходатайства являются: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1) предоставление неполного перечня сведений и (или) документов в соответствии с </w:t>
      </w:r>
      <w:hyperlink w:anchor="P86" w:history="1">
        <w:r w:rsidRPr="009A337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2) выявление в документах, представленных инициатором проекта, недостоверной информации;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3) несоответствие проекта критериям, установленным </w:t>
      </w:r>
      <w:hyperlink r:id="rId21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5)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822688" w:rsidRPr="009A337C" w:rsidRDefault="00822688" w:rsidP="00186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15. При соответствии проекта критериям, установленным </w:t>
      </w:r>
      <w:hyperlink r:id="rId22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администрация</w:t>
      </w:r>
      <w:r w:rsidRPr="009A337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проведения конкурса подготавливает обращение к Губернатору Новосибирской области.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16. В течение 5 рабочих дней с даты издания распоряжения Губернатора Новосибирской области,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уведомляет об этом инициатора проекта с указанием необходимости исполнения обязательства инициатора проекта о перечислении инициатором проекта жилищно-строительному кооперативу денежных средств на завершение строительства не завершенного строительством объекта.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17.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осуществляет предоставление земельного участка инициатору проекта в аренду без проведения торгов: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при наличии документа, подтверждающего перечисление инициатором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проекта жилищно-строительному кооперативу денежных средств на завершение строительства не завершенного строительством объекта.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Договор аренды земельного участка должен содержать: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r:id="rId23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декларации инициатора проекта;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18. Не позднее двух лет с момента заключения договора аренды земельного участка с инициатором проекта инициатор проекта предоставляет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t>отчет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19. По окончании срока реализации проекта, предусмотренного соглашением, инициатор проекта предоставляет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 xml:space="preserve"> отчет о передаче жилых помещений в собственность участникам строительства.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20. В случае полного исполнения инициатором проекта обязательств, предусмотренных соглашением,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4627" w:rsidRPr="009A337C" w:rsidRDefault="004F4627" w:rsidP="007B6C20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22688" w:rsidRPr="009A337C" w:rsidRDefault="00822688" w:rsidP="00A46655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2688" w:rsidRPr="009A337C" w:rsidRDefault="00822688" w:rsidP="00A46655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>к порядку</w:t>
      </w:r>
      <w:r w:rsidR="007B6C20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7B6C20" w:rsidRPr="009A337C">
        <w:rPr>
          <w:rFonts w:ascii="Times New Roman" w:hAnsi="Times New Roman" w:cs="Times New Roman"/>
          <w:sz w:val="24"/>
          <w:szCs w:val="24"/>
        </w:rPr>
        <w:t>администрацией Кочковского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</w:t>
      </w:r>
    </w:p>
    <w:p w:rsidR="004F4627" w:rsidRPr="009A337C" w:rsidRDefault="004F4627" w:rsidP="004F46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</w:p>
    <w:p w:rsidR="00822688" w:rsidRPr="009A337C" w:rsidRDefault="00822688" w:rsidP="004F46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СОГЛАШЕНИЕ</w:t>
      </w:r>
    </w:p>
    <w:p w:rsidR="00822688" w:rsidRPr="009A337C" w:rsidRDefault="00822688" w:rsidP="004F46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 взаимодействии в рамках реализации масштабного инвестиционного проекта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7B6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Кочковский район</w:t>
      </w:r>
      <w:r w:rsidR="00822688" w:rsidRPr="009A33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3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2688" w:rsidRPr="009A337C">
        <w:rPr>
          <w:rFonts w:ascii="Times New Roman" w:hAnsi="Times New Roman" w:cs="Times New Roman"/>
          <w:sz w:val="28"/>
          <w:szCs w:val="28"/>
        </w:rPr>
        <w:t xml:space="preserve">    "____" ______________ 201__ г.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Администрация Кочковского района</w:t>
      </w:r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области</w:t>
      </w:r>
      <w:r w:rsidR="00186818" w:rsidRPr="009A337C">
        <w:rPr>
          <w:rFonts w:ascii="Times New Roman" w:hAnsi="Times New Roman" w:cs="Times New Roman"/>
          <w:sz w:val="28"/>
          <w:szCs w:val="28"/>
        </w:rPr>
        <w:t>, именуемая</w:t>
      </w:r>
      <w:r w:rsidR="004F4627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в дальнейшем "</w:t>
      </w:r>
      <w:r w:rsidR="004F4627" w:rsidRPr="009A337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A337C">
        <w:rPr>
          <w:rFonts w:ascii="Times New Roman" w:hAnsi="Times New Roman" w:cs="Times New Roman"/>
          <w:sz w:val="28"/>
          <w:szCs w:val="28"/>
        </w:rPr>
        <w:t>", в лице _____________________,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действующего на основании ______________ и Инициатор проекта _____________,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именуемый в дальнейшем "Инициатор проекта", в лице _______________________,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действующего на основании ______________ и жилищно-строительный кооператив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__</w:t>
      </w:r>
      <w:r w:rsidR="007B6C20" w:rsidRPr="009A337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A337C">
        <w:rPr>
          <w:rFonts w:ascii="Times New Roman" w:hAnsi="Times New Roman" w:cs="Times New Roman"/>
          <w:sz w:val="28"/>
          <w:szCs w:val="28"/>
        </w:rPr>
        <w:t>__, именуемый в дальнейшем "Кооператив",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в лице _____________________, действующего на основании __________________,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совместно     именуемые    Стороны, заключили    настоящее    соглашение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(далее - Соглашение) о нижеследующем: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употребляемые в тексте настоящего Соглашения термины имеют значение,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определенное в Типовом </w:t>
      </w:r>
      <w:hyperlink w:anchor="P40" w:history="1">
        <w:r w:rsidRPr="009A337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A337C">
        <w:rPr>
          <w:rFonts w:ascii="Times New Roman" w:hAnsi="Times New Roman" w:cs="Times New Roman"/>
          <w:sz w:val="28"/>
          <w:szCs w:val="28"/>
        </w:rPr>
        <w:t>ходатайств юридических лиц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 реализации масштабных инвестиционных проектов  и  их  соответствии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4" w:history="1">
        <w:r w:rsidRPr="009A3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 области  от 01.07.2015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N 583-ОЗ</w:t>
      </w:r>
      <w:r w:rsidRPr="009A337C">
        <w:rPr>
          <w:rFonts w:ascii="Times New Roman" w:hAnsi="Times New Roman" w:cs="Times New Roman"/>
          <w:sz w:val="28"/>
          <w:szCs w:val="28"/>
        </w:rPr>
        <w:t xml:space="preserve"> "Об  установлении  критериев,  которым  должны соответствовать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масштабные инвестиционные проекты, для реализации которых предоставляются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земельные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участки  в аренду без проведения торгов и о внесении изменения в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статью 15  Закона  Новосибирской  области  "Об  использовании  земель  на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территории Новосибирской области".</w:t>
      </w:r>
    </w:p>
    <w:p w:rsidR="00822688" w:rsidRPr="009A337C" w:rsidRDefault="00822688" w:rsidP="007B6C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взаимодействие Сторон при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реализации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на    территории    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9A337C">
        <w:rPr>
          <w:rFonts w:ascii="Times New Roman" w:hAnsi="Times New Roman" w:cs="Times New Roman"/>
          <w:sz w:val="28"/>
          <w:szCs w:val="28"/>
        </w:rPr>
        <w:t>Новосибирской   области___________________________ (далее - проект).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5"/>
      <w:bookmarkEnd w:id="5"/>
      <w:r w:rsidRPr="009A337C">
        <w:rPr>
          <w:rFonts w:ascii="Times New Roman" w:hAnsi="Times New Roman" w:cs="Times New Roman"/>
          <w:sz w:val="28"/>
          <w:szCs w:val="28"/>
        </w:rPr>
        <w:t xml:space="preserve">    1.2. Проект имеет следующие характеристики:</w:t>
      </w:r>
    </w:p>
    <w:p w:rsidR="00822688" w:rsidRPr="009A337C" w:rsidRDefault="00822688" w:rsidP="004F462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9A337C">
        <w:rPr>
          <w:rFonts w:ascii="Times New Roman" w:hAnsi="Times New Roman" w:cs="Times New Roman"/>
          <w:sz w:val="28"/>
          <w:szCs w:val="28"/>
        </w:rPr>
        <w:t>на земельном участке с местоположением ________,</w:t>
      </w:r>
    </w:p>
    <w:p w:rsidR="00822688" w:rsidRPr="009A337C" w:rsidRDefault="007B6C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площадью</w:t>
      </w:r>
      <w:r w:rsidR="00822688" w:rsidRPr="009A337C">
        <w:rPr>
          <w:rFonts w:ascii="Times New Roman" w:hAnsi="Times New Roman" w:cs="Times New Roman"/>
          <w:sz w:val="28"/>
          <w:szCs w:val="28"/>
        </w:rPr>
        <w:t>__________________, разрешенным ис</w:t>
      </w:r>
      <w:r w:rsidRPr="009A337C">
        <w:rPr>
          <w:rFonts w:ascii="Times New Roman" w:hAnsi="Times New Roman" w:cs="Times New Roman"/>
          <w:sz w:val="28"/>
          <w:szCs w:val="28"/>
        </w:rPr>
        <w:t xml:space="preserve">пользованием _______________ </w:t>
      </w:r>
      <w:r w:rsidR="00822688" w:rsidRPr="009A337C">
        <w:rPr>
          <w:rFonts w:ascii="Times New Roman" w:hAnsi="Times New Roman" w:cs="Times New Roman"/>
          <w:sz w:val="28"/>
          <w:szCs w:val="28"/>
        </w:rPr>
        <w:t>(далее - земельный участок).</w:t>
      </w:r>
    </w:p>
    <w:p w:rsidR="00822688" w:rsidRPr="009A337C" w:rsidRDefault="00822688" w:rsidP="004F4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Срок реализации проекта составляет ____ года (лет).</w:t>
      </w:r>
    </w:p>
    <w:p w:rsidR="00822688" w:rsidRPr="009A337C" w:rsidRDefault="00822688" w:rsidP="004F46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Общая площадь многоквартирного дома (многоквартирных домов),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строительство которых предполагается в рамках проекта, составляет _________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квадратных метров, общая площадь жилых помещений в таких домах составляет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_________ квадратных метров.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Не завершенный строительством объект имеет следующее местоположение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___________________________________, характеристики и текущее состояние: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___________________________________ (далее - не завершенный строительством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объект). Общая сумма денежных средств, подлежащих внесению на завершение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строительства не завершенного строительством объекта, составляет __________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миллионов рублей (далее - денежные средства).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Список   участников   строительства, которым подлежат передаче в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собственность жилые помещения в рамках реализации проекта, приведен в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Общая площадь, состав и характеристика жилых помещений, подлежащих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передаче   в   собственность   участникам    строительства, приведены в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1.3.  Взаимодействие Сторон осуществляется в соответствии с </w:t>
      </w:r>
      <w:hyperlink r:id="rId25" w:history="1">
        <w:r w:rsidRPr="009A33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Новосибирской области от 01.07.2015 N 583-ОЗ "Об установлении критериев,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 для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реализации которых предоставляются земельные участки в аренду без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проведения торгов и о внесении изменения в статью 15 Закона Новосибирской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области "Об использовании земель на территории Новосибирской области",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9A33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 Правительства  Новосибирской  области от 23.11.2015 N 407-п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"Об    утверждении    порядка   рассмотрения   документов, обосновывающих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соответствие масштабного инвестиционного проекта критериям, установленным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Законом Новосибирской области от  01.07.2015 N 583-ОЗ "Об установлении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критериев, которым должны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соответствовать масштабные инвестиционные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проекты, для реализации которых предоставляются земельные участки в аренду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без проведения торгов и  о  внесении  изменения  в  статью  15  Закона</w:t>
      </w:r>
      <w:r w:rsidR="004F4627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Новосибирской области "Об использовании земель на территории Новосибирской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области", Порядком рассмотрения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администрацией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ходатайств юридических лиц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 реализации масштабных инвестиционных проектов и их соответствии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7" w:history="1">
        <w:r w:rsidRPr="009A337C">
          <w:rPr>
            <w:rFonts w:ascii="Times New Roman" w:hAnsi="Times New Roman" w:cs="Times New Roman"/>
            <w:sz w:val="28"/>
            <w:szCs w:val="28"/>
          </w:rPr>
          <w:t>подпунктом 2   пункта   1  статьи 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 Закона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Новосибирской  области  от  01.07.2015 N 583-ОЗ "Об установлении критериев,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которым 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должны  соответствовать  масштабные  инвестиционные  проекты,  для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реализации   которых   предоставляются   земельные  участки  в  аренду  без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проведения  торгов  и о внесении изменения в статью 15 Закона Новосибирской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области  "Об  использовании  земель  на  территории Новосибирской области",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утвержденным _____________________________, а также настоящим Соглашением.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1.4.  В ходе взаимодействия Стороны действуют исключительно в пределах</w:t>
      </w:r>
      <w:r w:rsidR="007B6C20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своей компетенции, определяемой соответствующими правовыми актами.</w:t>
      </w:r>
    </w:p>
    <w:p w:rsidR="00822688" w:rsidRPr="009A337C" w:rsidRDefault="008226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2.1.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вправе: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2.1.1. Запрашивать и получать информацию от Инициатора проекта с приложением подтверждающих документов: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 перечислении в полном объеме денежных средств Инициатором проекта на счет Кооператива на завершение строительства не завершенного строительством объекта;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2.1.2. Запрашивать и получать информацию от Кооператива с приложением подтверждающих документов: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 перечислении в полном объеме денежных средств Инициатором проекта на счет Кооператива на завершение строительства не завершенного строительством объекта;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2.2.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обязуется: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6"/>
      <w:bookmarkEnd w:id="6"/>
      <w:r w:rsidRPr="009A337C">
        <w:rPr>
          <w:rFonts w:ascii="Times New Roman" w:hAnsi="Times New Roman" w:cs="Times New Roman"/>
          <w:sz w:val="28"/>
          <w:szCs w:val="28"/>
        </w:rPr>
        <w:t>2.2.1.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строительства не завершенного строительством объекта.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2.2.3. Предоставить земельный участок Инициатору проекта в аренду без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проведения торгов на основании распоряжения Губернатора Новосибирской области: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при исполнении Инициатором проекта обязательства о перечислении Кооперативу в полном объеме денежных средств на завершение строительства не завершенного строительством объекта.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2.2.4. В соответствии с законодательством не разглашать персональные данные граждан, указанные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4" w:history="1"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2.3. Инициатор проекта обязуется: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администрации</w:t>
      </w:r>
      <w:r w:rsidRPr="009A337C">
        <w:rPr>
          <w:rFonts w:ascii="Times New Roman" w:hAnsi="Times New Roman" w:cs="Times New Roman"/>
          <w:sz w:val="28"/>
          <w:szCs w:val="28"/>
        </w:rPr>
        <w:t>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4"/>
      <w:bookmarkEnd w:id="7"/>
      <w:r w:rsidRPr="009A337C">
        <w:rPr>
          <w:rFonts w:ascii="Times New Roman" w:hAnsi="Times New Roman" w:cs="Times New Roman"/>
          <w:sz w:val="28"/>
          <w:szCs w:val="28"/>
        </w:rPr>
        <w:t>2.3.2. Построить на земельном участке в соответствии с эскизным проектом многоквартирный дом (многоквартирные дома) общей площадью ________ квадратных метров, общая площадь жилых помещений в таких домах будет составлять ________ квадратных метров.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5"/>
      <w:bookmarkEnd w:id="8"/>
      <w:r w:rsidRPr="009A337C">
        <w:rPr>
          <w:rFonts w:ascii="Times New Roman" w:hAnsi="Times New Roman" w:cs="Times New Roman"/>
          <w:sz w:val="28"/>
          <w:szCs w:val="28"/>
        </w:rPr>
        <w:t xml:space="preserve">2.3.3. Передать в собственность участникам строительства, указанным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________ квадратных метров жилых помещений в соответствии с приложением </w:t>
      </w:r>
      <w:r w:rsidR="006360CD" w:rsidRPr="009A337C">
        <w:rPr>
          <w:rFonts w:ascii="Times New Roman" w:hAnsi="Times New Roman" w:cs="Times New Roman"/>
          <w:sz w:val="28"/>
          <w:szCs w:val="28"/>
        </w:rPr>
        <w:t>№</w:t>
      </w:r>
      <w:r w:rsidRPr="009A337C">
        <w:rPr>
          <w:rFonts w:ascii="Times New Roman" w:hAnsi="Times New Roman" w:cs="Times New Roman"/>
          <w:sz w:val="28"/>
          <w:szCs w:val="28"/>
        </w:rPr>
        <w:t xml:space="preserve"> 1 к настоящему Соглашению.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2.3.4. В течение 10 рабочих дней с момента получения от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t xml:space="preserve">уведомления, указанного в </w:t>
      </w:r>
      <w:hyperlink w:anchor="P236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перечислить Кооперативу в полном объеме денежные средства на завершение строительства не завершенного строительством объекта.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2.3.5. Заключить договор аренды земельного участка, содержащий: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w:anchor="P244" w:history="1">
        <w:r w:rsidRPr="009A337C">
          <w:rPr>
            <w:rFonts w:ascii="Times New Roman" w:hAnsi="Times New Roman" w:cs="Times New Roman"/>
            <w:sz w:val="28"/>
            <w:szCs w:val="28"/>
          </w:rPr>
          <w:t>пунктах 2.3.2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5" w:history="1">
        <w:r w:rsidRPr="009A337C">
          <w:rPr>
            <w:rFonts w:ascii="Times New Roman" w:hAnsi="Times New Roman" w:cs="Times New Roman"/>
            <w:sz w:val="28"/>
            <w:szCs w:val="28"/>
          </w:rPr>
          <w:t>2.3.3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2.3.6. Не позднее 6 месяцев с момента заключения договора аренды земельного участка с Инициатором проекта и не реже одного раза в 6 месяцев представлять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t xml:space="preserve">информацию о ходе заключения договоров участия в долевом строительстве с участниками строительства, указанными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2.3.7. Не позднее двух лет с момента заключения договора аренды земельного участка с Инициатором проекта представить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 xml:space="preserve">отчет о заключении договоров участия в долевом строительстве с участниками строительства, указанными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2.3.8. По окончании срока реализации проекта, указанного в </w:t>
      </w:r>
      <w:hyperlink w:anchor="P175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представить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37C">
        <w:rPr>
          <w:rFonts w:ascii="Times New Roman" w:hAnsi="Times New Roman" w:cs="Times New Roman"/>
          <w:sz w:val="28"/>
          <w:szCs w:val="28"/>
        </w:rPr>
        <w:t xml:space="preserve">отчет о передаче жилых помещений в собственность участникам строительства, указанным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2.3.9. В соответствии с законодательством, не разглашать персональные данные граждан, указанные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4" w:history="1"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2.4. Кооператив обязуется: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6"/>
      <w:bookmarkEnd w:id="9"/>
      <w:r w:rsidRPr="009A337C">
        <w:rPr>
          <w:rFonts w:ascii="Times New Roman" w:hAnsi="Times New Roman" w:cs="Times New Roman"/>
          <w:sz w:val="28"/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2.4.2. Предоставить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w:anchor="P354" w:history="1">
        <w:r w:rsidRPr="009A337C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участников строительства, указанных в </w:t>
      </w:r>
      <w:hyperlink w:anchor="P256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</w:t>
      </w:r>
      <w:r w:rsidR="006360CD" w:rsidRPr="009A337C">
        <w:rPr>
          <w:rFonts w:ascii="Times New Roman" w:hAnsi="Times New Roman" w:cs="Times New Roman"/>
          <w:sz w:val="28"/>
          <w:szCs w:val="28"/>
        </w:rPr>
        <w:t>№</w:t>
      </w:r>
      <w:r w:rsidRPr="009A337C">
        <w:rPr>
          <w:rFonts w:ascii="Times New Roman" w:hAnsi="Times New Roman" w:cs="Times New Roman"/>
          <w:sz w:val="28"/>
          <w:szCs w:val="28"/>
        </w:rPr>
        <w:t xml:space="preserve"> 2 к настоящему Соглашению и письменное </w:t>
      </w:r>
      <w:hyperlink w:anchor="P424" w:history="1">
        <w:r w:rsidRPr="009A337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таких участников строительства по форме согласно приложению </w:t>
      </w:r>
      <w:r w:rsidR="006360CD" w:rsidRPr="009A337C">
        <w:rPr>
          <w:rFonts w:ascii="Times New Roman" w:hAnsi="Times New Roman" w:cs="Times New Roman"/>
          <w:sz w:val="28"/>
          <w:szCs w:val="28"/>
        </w:rPr>
        <w:t>№</w:t>
      </w:r>
      <w:r w:rsidRPr="009A337C">
        <w:rPr>
          <w:rFonts w:ascii="Times New Roman" w:hAnsi="Times New Roman" w:cs="Times New Roman"/>
          <w:sz w:val="28"/>
          <w:szCs w:val="28"/>
        </w:rPr>
        <w:t xml:space="preserve"> 3 к настоящему Соглашению.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2.4.3. В течение 5 рабочих дней с момента поступления на счет Кооператива от Инициатора проекта денежных средств в полном объеме письменно уведомить об этом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A337C">
        <w:rPr>
          <w:rFonts w:ascii="Times New Roman" w:hAnsi="Times New Roman" w:cs="Times New Roman"/>
          <w:sz w:val="28"/>
          <w:szCs w:val="28"/>
        </w:rPr>
        <w:t>с приложением подтверждающих платежных документов.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2.4.4. Направить денежные средства в полном объеме на завершение строительства не завершенного строительством объекта, исходя из необходимости достижения заданного результата и эффективности использования денежных средств, и по окончании строительства представить в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A337C">
        <w:rPr>
          <w:rFonts w:ascii="Times New Roman" w:hAnsi="Times New Roman" w:cs="Times New Roman"/>
          <w:sz w:val="28"/>
          <w:szCs w:val="28"/>
        </w:rPr>
        <w:t>отчет об использовании указанных денежных средств.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2.4.5. В соответствии с законодательством не разглашать персональные данные граждан, указанные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4" w:history="1"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822688" w:rsidRPr="009A337C" w:rsidRDefault="008226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3.2. В случае неисполнения Инициатором проекта обязательств, предусмотренных </w:t>
      </w:r>
      <w:hyperlink w:anchor="P245" w:history="1">
        <w:r w:rsidRPr="009A337C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w:anchor="P301" w:history="1">
        <w:r w:rsidRPr="009A337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360CD" w:rsidRPr="009A337C">
          <w:rPr>
            <w:rFonts w:ascii="Times New Roman" w:hAnsi="Times New Roman" w:cs="Times New Roman"/>
            <w:sz w:val="28"/>
            <w:szCs w:val="28"/>
          </w:rPr>
          <w:t>№</w:t>
        </w:r>
        <w:r w:rsidRPr="009A33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к настоящему Соглашению, денежную сумму, определяемую исходя из общей площади жилого помещения, подлежащего передаче участнику строительства,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уполномоченным Правительством Российской Федерации, на дату выплаты.</w:t>
      </w:r>
    </w:p>
    <w:p w:rsidR="00822688" w:rsidRPr="009A337C" w:rsidRDefault="008226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4.2. При неурегулировании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</w:t>
      </w:r>
      <w:r w:rsidR="00E27ED1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Соответствующие дополнительные соглашения являются неотъемлемой частью настоящего Соглашения.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4.4. В случае изменения у какой-либо из Сторон места нахождения, наименования, банковских реквизитов и прочего, она извещает в течение 10 (десяти) рабочих дней письменно об этом другие Стороны.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76"/>
      <w:bookmarkEnd w:id="10"/>
      <w:r w:rsidRPr="009A337C">
        <w:rPr>
          <w:rFonts w:ascii="Times New Roman" w:hAnsi="Times New Roman" w:cs="Times New Roman"/>
          <w:sz w:val="28"/>
          <w:szCs w:val="28"/>
        </w:rPr>
        <w:t xml:space="preserve">4.7. В случае невыполнения Инициатором проекта обязательства, указанного в </w:t>
      </w:r>
      <w:hyperlink w:anchor="P245" w:history="1">
        <w:r w:rsidRPr="009A337C">
          <w:rPr>
            <w:rFonts w:ascii="Times New Roman" w:hAnsi="Times New Roman" w:cs="Times New Roman"/>
            <w:sz w:val="28"/>
            <w:szCs w:val="28"/>
          </w:rPr>
          <w:t>пункте 2.3.3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186818" w:rsidRPr="009A337C">
        <w:rPr>
          <w:rFonts w:ascii="Times New Roman" w:hAnsi="Times New Roman" w:cs="Times New Roman"/>
          <w:sz w:val="28"/>
          <w:szCs w:val="28"/>
        </w:rPr>
        <w:t>администрация</w:t>
      </w:r>
      <w:r w:rsidRPr="009A337C">
        <w:rPr>
          <w:rFonts w:ascii="Times New Roman" w:hAnsi="Times New Roman" w:cs="Times New Roman"/>
          <w:sz w:val="28"/>
          <w:szCs w:val="28"/>
        </w:rPr>
        <w:t xml:space="preserve"> вправе расторгнуть настоящее Соглашение в одностороннем порядке.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4.8. В случае расторжения настоящего Соглашения в соответствии с </w:t>
      </w:r>
      <w:hyperlink w:anchor="P276" w:history="1">
        <w:r w:rsidRPr="009A337C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A337C">
        <w:rPr>
          <w:rFonts w:ascii="Times New Roman" w:hAnsi="Times New Roman" w:cs="Times New Roman"/>
          <w:sz w:val="28"/>
          <w:szCs w:val="28"/>
        </w:rPr>
        <w:t>и Кооператив не несут ответственности за убытки Инициатора проекта, связанные с началом реализации проекта.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822688" w:rsidRPr="009A337C" w:rsidRDefault="008226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5. Юридические адреса, банковские реквизиты и подписи Сторон</w:t>
      </w:r>
    </w:p>
    <w:p w:rsidR="00E27ED1" w:rsidRPr="009A337C" w:rsidRDefault="0018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Администрация</w:t>
      </w:r>
      <w:r w:rsidR="00822688" w:rsidRPr="009A337C">
        <w:rPr>
          <w:rFonts w:ascii="Times New Roman" w:hAnsi="Times New Roman" w:cs="Times New Roman"/>
          <w:sz w:val="28"/>
          <w:szCs w:val="28"/>
        </w:rPr>
        <w:t xml:space="preserve">                    Кооператив           Инициатор проекта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_______</w:t>
      </w:r>
      <w:r w:rsidR="00E27ED1" w:rsidRPr="009A337C">
        <w:rPr>
          <w:rFonts w:ascii="Times New Roman" w:hAnsi="Times New Roman" w:cs="Times New Roman"/>
          <w:sz w:val="28"/>
          <w:szCs w:val="28"/>
        </w:rPr>
        <w:t>_______/                   ____</w:t>
      </w:r>
      <w:r w:rsidRPr="009A337C">
        <w:rPr>
          <w:rFonts w:ascii="Times New Roman" w:hAnsi="Times New Roman" w:cs="Times New Roman"/>
          <w:sz w:val="28"/>
          <w:szCs w:val="28"/>
        </w:rPr>
        <w:t>________       ______________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______________                    ______________/      ______________/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           М.П.               ______________       ______________</w:t>
      </w:r>
    </w:p>
    <w:p w:rsidR="00822688" w:rsidRPr="009A337C" w:rsidRDefault="00822688" w:rsidP="00E27E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М.П.                 М.П.</w:t>
      </w:r>
    </w:p>
    <w:p w:rsidR="00822688" w:rsidRPr="009A337C" w:rsidRDefault="00822688">
      <w:pPr>
        <w:rPr>
          <w:rFonts w:ascii="Times New Roman" w:hAnsi="Times New Roman" w:cs="Times New Roman"/>
          <w:sz w:val="28"/>
          <w:szCs w:val="28"/>
        </w:rPr>
        <w:sectPr w:rsidR="00822688" w:rsidRPr="009A337C" w:rsidSect="00186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688" w:rsidRPr="009A337C" w:rsidRDefault="00822688" w:rsidP="00CF3A71">
      <w:pPr>
        <w:pStyle w:val="ConsPlusNormal"/>
        <w:ind w:left="1077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60CD" w:rsidRPr="009A337C">
        <w:rPr>
          <w:rFonts w:ascii="Times New Roman" w:hAnsi="Times New Roman" w:cs="Times New Roman"/>
          <w:sz w:val="24"/>
          <w:szCs w:val="24"/>
        </w:rPr>
        <w:t>№</w:t>
      </w:r>
      <w:r w:rsidRPr="009A337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2688" w:rsidRPr="009A337C" w:rsidRDefault="00822688" w:rsidP="00CF3A71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>к Соглашению</w:t>
      </w:r>
      <w:r w:rsidR="00A46655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о взаимодействии в рамках</w:t>
      </w:r>
      <w:r w:rsidR="00A46655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реализации масштабного</w:t>
      </w:r>
      <w:r w:rsidR="00A46655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01"/>
      <w:bookmarkEnd w:id="11"/>
      <w:r w:rsidRPr="009A337C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</w:t>
      </w:r>
    </w:p>
    <w:p w:rsidR="00822688" w:rsidRPr="009A337C" w:rsidRDefault="0082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подлежащих передаче в собственность участникам строительства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849"/>
        <w:gridCol w:w="2551"/>
        <w:gridCol w:w="1134"/>
        <w:gridCol w:w="4820"/>
      </w:tblGrid>
      <w:tr w:rsidR="00186818" w:rsidRPr="009A337C" w:rsidTr="007B6C20">
        <w:tc>
          <w:tcPr>
            <w:tcW w:w="624" w:type="dxa"/>
            <w:vMerge w:val="restart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5" w:type="dxa"/>
            <w:vMerge w:val="restart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строительства</w:t>
            </w:r>
          </w:p>
        </w:tc>
        <w:tc>
          <w:tcPr>
            <w:tcW w:w="1849" w:type="dxa"/>
            <w:vMerge w:val="restart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строительства</w:t>
            </w:r>
          </w:p>
        </w:tc>
        <w:tc>
          <w:tcPr>
            <w:tcW w:w="8505" w:type="dxa"/>
            <w:gridSpan w:val="3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Определение в соответствии с проектной документацией конкретного жилого помещения, право собственности на которое приобретает участник строительства в рамках реализации проекта</w:t>
            </w:r>
          </w:p>
        </w:tc>
      </w:tr>
      <w:tr w:rsidR="00186818" w:rsidRPr="009A337C" w:rsidTr="007B6C20">
        <w:tc>
          <w:tcPr>
            <w:tcW w:w="624" w:type="dxa"/>
            <w:vMerge/>
          </w:tcPr>
          <w:p w:rsidR="00822688" w:rsidRPr="009A337C" w:rsidRDefault="0082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22688" w:rsidRPr="009A337C" w:rsidRDefault="0082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22688" w:rsidRPr="009A337C" w:rsidRDefault="0082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</w:t>
            </w: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Общая площадь, кв. м</w:t>
            </w:r>
          </w:p>
        </w:tc>
      </w:tr>
      <w:tr w:rsidR="00186818" w:rsidRPr="009A337C" w:rsidTr="007B6C20">
        <w:tc>
          <w:tcPr>
            <w:tcW w:w="62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c>
          <w:tcPr>
            <w:tcW w:w="62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c>
          <w:tcPr>
            <w:tcW w:w="62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c>
          <w:tcPr>
            <w:tcW w:w="62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88" w:rsidRPr="009A337C" w:rsidTr="007B6C20">
        <w:tc>
          <w:tcPr>
            <w:tcW w:w="62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2688" w:rsidRPr="009A337C" w:rsidRDefault="00822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Общая площадь жилых помещений, подлежащих передаче участникам строительства, составляет ________.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A71" w:rsidRPr="009A337C" w:rsidRDefault="00CF3A7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F3A71" w:rsidRPr="009A337C" w:rsidRDefault="00CF3A7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 w:rsidP="00CF3A71">
      <w:pPr>
        <w:pStyle w:val="ConsPlusNormal"/>
        <w:ind w:left="1077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60CD" w:rsidRPr="009A337C">
        <w:rPr>
          <w:rFonts w:ascii="Times New Roman" w:hAnsi="Times New Roman" w:cs="Times New Roman"/>
          <w:sz w:val="24"/>
          <w:szCs w:val="24"/>
        </w:rPr>
        <w:t>№</w:t>
      </w:r>
      <w:r w:rsidRPr="009A337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2688" w:rsidRPr="009A337C" w:rsidRDefault="00822688" w:rsidP="00CF3A71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>к Соглашению</w:t>
      </w:r>
      <w:r w:rsidR="00CF3A71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о взаимодействии в рамках</w:t>
      </w:r>
      <w:r w:rsidR="00CF3A71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реализации масштабного</w:t>
      </w:r>
      <w:r w:rsidR="00CF3A71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 w:rsidP="00124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54"/>
      <w:bookmarkEnd w:id="12"/>
      <w:r w:rsidRPr="009A337C">
        <w:rPr>
          <w:rFonts w:ascii="Times New Roman" w:hAnsi="Times New Roman" w:cs="Times New Roman"/>
          <w:sz w:val="28"/>
          <w:szCs w:val="28"/>
        </w:rPr>
        <w:t>Список</w:t>
      </w:r>
      <w:r w:rsidR="00124004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участников строительства, выразивших согласие</w:t>
      </w:r>
      <w:r w:rsidR="00124004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заключить с Инициатором проекта договоры участия</w:t>
      </w:r>
      <w:r w:rsidR="00124004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в долевом строительстве многоквартирного дома на</w:t>
      </w:r>
      <w:r w:rsidR="00124004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земельном участке, предоставляемом Инициатору</w:t>
      </w:r>
      <w:r w:rsidR="00124004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проекта в рамках реализации проекта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603"/>
        <w:gridCol w:w="1603"/>
        <w:gridCol w:w="1389"/>
        <w:gridCol w:w="1863"/>
        <w:gridCol w:w="4156"/>
        <w:gridCol w:w="1379"/>
        <w:gridCol w:w="2436"/>
      </w:tblGrid>
      <w:tr w:rsidR="00186818" w:rsidRPr="009A337C" w:rsidTr="007B6C20">
        <w:trPr>
          <w:trHeight w:val="1308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строительства</w:t>
            </w: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строительства</w:t>
            </w: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N квартиры, количество жилых комнат</w:t>
            </w: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помещения, подлежащего передаче, кв. м</w:t>
            </w: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Сумма оплаты по договору, тыс. руб.</w:t>
            </w: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7C">
              <w:rPr>
                <w:rFonts w:ascii="Times New Roman" w:hAnsi="Times New Roman" w:cs="Times New Roman"/>
                <w:sz w:val="24"/>
                <w:szCs w:val="24"/>
              </w:rPr>
              <w:t>Внесено застройщику, не исполнившему свои обязательства по передаче жилого помещения, тыс. руб.</w:t>
            </w:r>
          </w:p>
        </w:tc>
      </w:tr>
      <w:tr w:rsidR="00186818" w:rsidRPr="009A337C" w:rsidTr="007B6C20">
        <w:trPr>
          <w:trHeight w:val="14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rPr>
          <w:trHeight w:val="56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rPr>
          <w:trHeight w:val="5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8" w:rsidRPr="009A337C" w:rsidTr="007B6C20">
        <w:trPr>
          <w:trHeight w:val="160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88" w:rsidRPr="009A337C" w:rsidTr="007B6C20">
        <w:trPr>
          <w:trHeight w:val="160"/>
        </w:trPr>
        <w:tc>
          <w:tcPr>
            <w:tcW w:w="76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22688" w:rsidRPr="009A337C" w:rsidRDefault="00822688" w:rsidP="007B6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Председатель жилищно-строительного кооператива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 xml:space="preserve">  (подпись, печать, дата)</w:t>
      </w:r>
    </w:p>
    <w:p w:rsidR="00822688" w:rsidRPr="009A337C" w:rsidRDefault="00822688">
      <w:pPr>
        <w:rPr>
          <w:rFonts w:ascii="Times New Roman" w:hAnsi="Times New Roman" w:cs="Times New Roman"/>
          <w:sz w:val="28"/>
          <w:szCs w:val="28"/>
        </w:rPr>
        <w:sectPr w:rsidR="00822688" w:rsidRPr="009A33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2688" w:rsidRPr="009A337C" w:rsidRDefault="00822688" w:rsidP="00B65C86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60CD" w:rsidRPr="009A337C">
        <w:rPr>
          <w:rFonts w:ascii="Times New Roman" w:hAnsi="Times New Roman" w:cs="Times New Roman"/>
          <w:sz w:val="24"/>
          <w:szCs w:val="24"/>
        </w:rPr>
        <w:t>№</w:t>
      </w:r>
      <w:r w:rsidRPr="009A337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22688" w:rsidRPr="009A337C" w:rsidRDefault="00822688" w:rsidP="00B65C86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A337C">
        <w:rPr>
          <w:rFonts w:ascii="Times New Roman" w:hAnsi="Times New Roman" w:cs="Times New Roman"/>
          <w:sz w:val="24"/>
          <w:szCs w:val="24"/>
        </w:rPr>
        <w:t>к Соглашению</w:t>
      </w:r>
      <w:r w:rsidR="00B65C86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 xml:space="preserve">о </w:t>
      </w:r>
      <w:r w:rsidR="00B65C86" w:rsidRPr="009A337C">
        <w:rPr>
          <w:rFonts w:ascii="Times New Roman" w:hAnsi="Times New Roman" w:cs="Times New Roman"/>
          <w:sz w:val="24"/>
          <w:szCs w:val="24"/>
        </w:rPr>
        <w:t>в</w:t>
      </w:r>
      <w:r w:rsidRPr="009A337C">
        <w:rPr>
          <w:rFonts w:ascii="Times New Roman" w:hAnsi="Times New Roman" w:cs="Times New Roman"/>
          <w:sz w:val="24"/>
          <w:szCs w:val="24"/>
        </w:rPr>
        <w:t>заимодействии в рамках</w:t>
      </w:r>
      <w:r w:rsidR="00B65C86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реализации масштабного</w:t>
      </w:r>
      <w:r w:rsidR="00B65C86" w:rsidRPr="009A337C">
        <w:rPr>
          <w:rFonts w:ascii="Times New Roman" w:hAnsi="Times New Roman" w:cs="Times New Roman"/>
          <w:sz w:val="24"/>
          <w:szCs w:val="24"/>
        </w:rPr>
        <w:t xml:space="preserve"> </w:t>
      </w:r>
      <w:r w:rsidRPr="009A337C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 w:rsidP="007B6C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24"/>
      <w:bookmarkEnd w:id="13"/>
      <w:r w:rsidRPr="009A337C">
        <w:rPr>
          <w:rFonts w:ascii="Times New Roman" w:hAnsi="Times New Roman" w:cs="Times New Roman"/>
          <w:sz w:val="28"/>
          <w:szCs w:val="28"/>
        </w:rPr>
        <w:t>СОГЛАСИЕ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</w:rPr>
      </w:pPr>
      <w:r w:rsidRPr="009A337C">
        <w:rPr>
          <w:rFonts w:ascii="Times New Roman" w:hAnsi="Times New Roman" w:cs="Times New Roman"/>
        </w:rPr>
        <w:t xml:space="preserve">         (фамилия, имя, отчество (при наличии), дата рождения гражданина)</w:t>
      </w:r>
      <w:r w:rsidR="00202DB2" w:rsidRPr="009A337C">
        <w:rPr>
          <w:rFonts w:ascii="Times New Roman" w:hAnsi="Times New Roman" w:cs="Times New Roman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</w:rPr>
      </w:pPr>
      <w:r w:rsidRPr="009A337C">
        <w:rPr>
          <w:rFonts w:ascii="Times New Roman" w:hAnsi="Times New Roman" w:cs="Times New Roman"/>
        </w:rPr>
        <w:t xml:space="preserve"> (наименование основного документа, удостоверяющего личность, и его реквизиты)</w:t>
      </w:r>
      <w:r w:rsidR="00202DB2" w:rsidRPr="009A337C">
        <w:rPr>
          <w:rFonts w:ascii="Times New Roman" w:hAnsi="Times New Roman" w:cs="Times New Roman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проживающий(ая) по ад</w:t>
      </w:r>
      <w:r w:rsidR="00F17EAA" w:rsidRPr="009A337C">
        <w:rPr>
          <w:rFonts w:ascii="Times New Roman" w:hAnsi="Times New Roman" w:cs="Times New Roman"/>
          <w:sz w:val="28"/>
          <w:szCs w:val="28"/>
        </w:rPr>
        <w:t>ресу, ______</w:t>
      </w:r>
      <w:r w:rsidRPr="009A337C">
        <w:rPr>
          <w:rFonts w:ascii="Times New Roman" w:hAnsi="Times New Roman" w:cs="Times New Roman"/>
          <w:sz w:val="28"/>
          <w:szCs w:val="28"/>
        </w:rPr>
        <w:t>_________________________________,</w:t>
      </w:r>
      <w:r w:rsidR="00202DB2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выражаю соглас</w:t>
      </w:r>
      <w:r w:rsidR="00F17EAA" w:rsidRPr="009A337C">
        <w:rPr>
          <w:rFonts w:ascii="Times New Roman" w:hAnsi="Times New Roman" w:cs="Times New Roman"/>
          <w:sz w:val="28"/>
          <w:szCs w:val="28"/>
        </w:rPr>
        <w:t>ие на заключение с ______</w:t>
      </w:r>
      <w:r w:rsidRPr="009A337C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</w:rPr>
      </w:pPr>
      <w:r w:rsidRPr="009A337C">
        <w:rPr>
          <w:rFonts w:ascii="Times New Roman" w:hAnsi="Times New Roman" w:cs="Times New Roman"/>
        </w:rPr>
        <w:t xml:space="preserve">                                  (указать наименование инициатора проекта)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далее именуемый Инициатор проекта, договора участия в долевом строительстве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многоквартирного дома на земельном участке _______________________________,</w:t>
      </w:r>
    </w:p>
    <w:p w:rsidR="00822688" w:rsidRPr="009A337C" w:rsidRDefault="00822688" w:rsidP="00F17EAA">
      <w:pPr>
        <w:pStyle w:val="ConsPlusNonformat"/>
        <w:rPr>
          <w:rFonts w:ascii="Times New Roman" w:hAnsi="Times New Roman" w:cs="Times New Roman"/>
        </w:rPr>
      </w:pPr>
      <w:r w:rsidRPr="009A337C">
        <w:rPr>
          <w:rFonts w:ascii="Times New Roman" w:hAnsi="Times New Roman" w:cs="Times New Roman"/>
        </w:rPr>
        <w:t xml:space="preserve">       </w:t>
      </w:r>
      <w:r w:rsidR="00F17EAA" w:rsidRPr="009A337C">
        <w:rPr>
          <w:rFonts w:ascii="Times New Roman" w:hAnsi="Times New Roman" w:cs="Times New Roman"/>
        </w:rPr>
        <w:t xml:space="preserve"> (указать местоположение </w:t>
      </w:r>
      <w:r w:rsidRPr="009A337C">
        <w:rPr>
          <w:rFonts w:ascii="Times New Roman" w:hAnsi="Times New Roman" w:cs="Times New Roman"/>
        </w:rPr>
        <w:t>земельного участка)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предоставленном Инициатору проекта в рамках реализации масштабного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инвестиционного проекта, при условии передачи мне _______-комнатной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квартиры  </w:t>
      </w:r>
      <w:hyperlink w:anchor="P486" w:history="1">
        <w:r w:rsidRPr="009A337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9A337C">
        <w:rPr>
          <w:rFonts w:ascii="Times New Roman" w:hAnsi="Times New Roman" w:cs="Times New Roman"/>
          <w:sz w:val="28"/>
          <w:szCs w:val="28"/>
        </w:rPr>
        <w:t xml:space="preserve">,  общей  площадью не менее ______ кв. м </w:t>
      </w:r>
      <w:hyperlink w:anchor="P487" w:history="1">
        <w:r w:rsidRPr="009A337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9A337C">
        <w:rPr>
          <w:rFonts w:ascii="Times New Roman" w:hAnsi="Times New Roman" w:cs="Times New Roman"/>
          <w:sz w:val="28"/>
          <w:szCs w:val="28"/>
        </w:rPr>
        <w:t>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Настоящим обязуюсь заключить договор уступки Инициатору 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проекта в </w:t>
      </w:r>
      <w:r w:rsidRPr="009A337C">
        <w:rPr>
          <w:rFonts w:ascii="Times New Roman" w:hAnsi="Times New Roman" w:cs="Times New Roman"/>
          <w:sz w:val="28"/>
          <w:szCs w:val="28"/>
        </w:rPr>
        <w:t xml:space="preserve">полном объеме прав требований по договору от ______________ N ____ </w:t>
      </w:r>
      <w:hyperlink w:anchor="P488" w:history="1">
        <w:r w:rsidRPr="009A337C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или договор на передачу Инициатору проекта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, </w:t>
      </w:r>
      <w:r w:rsidRPr="009A337C">
        <w:rPr>
          <w:rFonts w:ascii="Times New Roman" w:hAnsi="Times New Roman" w:cs="Times New Roman"/>
          <w:sz w:val="28"/>
          <w:szCs w:val="28"/>
        </w:rPr>
        <w:t>принадлежащего мне права общей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долевой собственности на не завершенный строительством   объект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местоположением ____________</w:t>
      </w:r>
      <w:r w:rsidR="00F17EAA" w:rsidRPr="009A337C">
        <w:rPr>
          <w:rFonts w:ascii="Times New Roman" w:hAnsi="Times New Roman" w:cs="Times New Roman"/>
          <w:sz w:val="28"/>
          <w:szCs w:val="28"/>
        </w:rPr>
        <w:t>___________________</w:t>
      </w:r>
      <w:r w:rsidRPr="009A337C">
        <w:rPr>
          <w:rFonts w:ascii="Times New Roman" w:hAnsi="Times New Roman" w:cs="Times New Roman"/>
          <w:sz w:val="28"/>
          <w:szCs w:val="28"/>
        </w:rPr>
        <w:t>__________.</w:t>
      </w:r>
    </w:p>
    <w:p w:rsidR="00822688" w:rsidRPr="009A337C" w:rsidRDefault="00822688" w:rsidP="0018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</w:t>
      </w:r>
      <w:r w:rsidR="00186818" w:rsidRPr="009A337C">
        <w:rPr>
          <w:rFonts w:ascii="Times New Roman" w:hAnsi="Times New Roman" w:cs="Times New Roman"/>
          <w:sz w:val="28"/>
          <w:szCs w:val="28"/>
        </w:rPr>
        <w:t>Настоящим выражаю согласие</w:t>
      </w:r>
      <w:r w:rsidRPr="009A337C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186818" w:rsidRPr="009A337C">
        <w:rPr>
          <w:rFonts w:ascii="Times New Roman" w:hAnsi="Times New Roman" w:cs="Times New Roman"/>
          <w:sz w:val="28"/>
          <w:szCs w:val="28"/>
        </w:rPr>
        <w:t xml:space="preserve"> администрацией Кочковского района</w:t>
      </w:r>
      <w:r w:rsidRPr="009A33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</w:rPr>
      </w:pPr>
      <w:r w:rsidRPr="009A337C">
        <w:rPr>
          <w:rFonts w:ascii="Times New Roman" w:hAnsi="Times New Roman" w:cs="Times New Roman"/>
        </w:rPr>
        <w:t xml:space="preserve">              (указывается наименование и юридический адрес)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далее именуемым "Оператор", всех действий с моими персональными данными,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указанными в настоящем Согласии, включая сбор, запись, систематизацию,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 изменение),  извлечение,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  доступ),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уничтожение, обработку  моих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персональных данных с помощью автоматизированных систем,  посредством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включения их в электронные базы данных, а также неавтоматизированным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способом  в  целях  осуществления  учета  моих  прав  в рамках реализации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масштабного инвестиционного проекта, а также  совершения сделок по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приобретению жилого  помещения  и  исполнения  обязательств,  связанных  с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приобретением    жилого   помещения   в   рамках   реализации   масштабного</w:t>
      </w:r>
      <w:r w:rsidR="00202DB2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Выражаю свое согласие на то, что в указанных выше целях Оператор в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 имеет право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поручать совершение отдельных действий с моими персональными  данными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третьим  лицам,  в  том числе Инициатору проекта, участвующему в реализации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проекта, при условии  </w:t>
      </w:r>
      <w:r w:rsidRPr="009A337C">
        <w:rPr>
          <w:rFonts w:ascii="Times New Roman" w:hAnsi="Times New Roman" w:cs="Times New Roman"/>
          <w:sz w:val="28"/>
          <w:szCs w:val="28"/>
        </w:rPr>
        <w:lastRenderedPageBreak/>
        <w:t>обязательства Инициатора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проекта обеспечить безопасность моих персональных данных при их обработке 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предотвращение  разглашения  моих  персональных  данных. При этом Инициатор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проекта имеет право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9A337C">
        <w:rPr>
          <w:rFonts w:ascii="Times New Roman" w:hAnsi="Times New Roman" w:cs="Times New Roman"/>
          <w:sz w:val="28"/>
          <w:szCs w:val="28"/>
        </w:rPr>
        <w:t>те же действия  (операции)  с  моими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персональными данными, которые вправе осуществлять Оператор.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Я могу отозвать согласие на обработку персональных данных, предоставив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Оператору заявление в простой письменной форме.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В   случае отзыва  мною  согласия  на  обработку  персональных  данных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Оператор, а также Инициатор проекта, осуществляющий обработку персональных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данных  по  поручению  Оператора  на  условиях  настоящего Согласия, вправе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продолжить  обработку  персональных  данных  без моего согласия при наличии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оснований,   установленных   законодательством  Российской  Федерации,  при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условии, что на дату отзыва настоящего Согласия я включен в список граждан,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которым   подлежат  передаче  в  собственность  жилые  помещения  в  рамках</w:t>
      </w:r>
      <w:r w:rsidR="00F17EAA" w:rsidRPr="009A337C">
        <w:rPr>
          <w:rFonts w:ascii="Times New Roman" w:hAnsi="Times New Roman" w:cs="Times New Roman"/>
          <w:sz w:val="28"/>
          <w:szCs w:val="28"/>
        </w:rPr>
        <w:t xml:space="preserve"> </w:t>
      </w:r>
      <w:r w:rsidRPr="009A337C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проекта.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"____" ______________ 20__ г.             _________________________________</w:t>
      </w:r>
    </w:p>
    <w:p w:rsidR="00822688" w:rsidRPr="009A337C" w:rsidRDefault="008226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 xml:space="preserve">                                             подпись/расшифровка подписи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7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86"/>
      <w:bookmarkEnd w:id="14"/>
      <w:r w:rsidRPr="009A337C">
        <w:rPr>
          <w:rFonts w:ascii="Times New Roman" w:hAnsi="Times New Roman" w:cs="Times New Roman"/>
          <w:sz w:val="28"/>
          <w:szCs w:val="28"/>
        </w:rPr>
        <w:t>&lt;*&gt;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22688" w:rsidRPr="009A337C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87"/>
      <w:bookmarkEnd w:id="15"/>
      <w:r w:rsidRPr="009A337C">
        <w:rPr>
          <w:rFonts w:ascii="Times New Roman" w:hAnsi="Times New Roman" w:cs="Times New Roman"/>
          <w:sz w:val="28"/>
          <w:szCs w:val="28"/>
        </w:rPr>
        <w:t>&lt;**&gt;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22688" w:rsidRPr="00186818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88"/>
      <w:bookmarkEnd w:id="16"/>
      <w:r w:rsidRPr="009A337C">
        <w:rPr>
          <w:rFonts w:ascii="Times New Roman" w:hAnsi="Times New Roman" w:cs="Times New Roman"/>
          <w:sz w:val="28"/>
          <w:szCs w:val="28"/>
        </w:rPr>
        <w:t>&lt;***&gt;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822688" w:rsidRPr="00186818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186818" w:rsidRDefault="00822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688" w:rsidRPr="00186818" w:rsidRDefault="008226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73C06" w:rsidRPr="00186818" w:rsidRDefault="00773C06">
      <w:pPr>
        <w:rPr>
          <w:rFonts w:ascii="Times New Roman" w:hAnsi="Times New Roman" w:cs="Times New Roman"/>
          <w:sz w:val="28"/>
          <w:szCs w:val="28"/>
        </w:rPr>
      </w:pPr>
    </w:p>
    <w:sectPr w:rsidR="00773C06" w:rsidRPr="00186818" w:rsidSect="0018681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FF" w:rsidRDefault="001F55FF" w:rsidP="00DE5C5E">
      <w:pPr>
        <w:spacing w:after="0" w:line="240" w:lineRule="auto"/>
      </w:pPr>
      <w:r>
        <w:separator/>
      </w:r>
    </w:p>
  </w:endnote>
  <w:endnote w:type="continuationSeparator" w:id="0">
    <w:p w:rsidR="001F55FF" w:rsidRDefault="001F55FF" w:rsidP="00D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FF" w:rsidRDefault="001F55FF" w:rsidP="00DE5C5E">
      <w:pPr>
        <w:spacing w:after="0" w:line="240" w:lineRule="auto"/>
      </w:pPr>
      <w:r>
        <w:separator/>
      </w:r>
    </w:p>
  </w:footnote>
  <w:footnote w:type="continuationSeparator" w:id="0">
    <w:p w:rsidR="001F55FF" w:rsidRDefault="001F55FF" w:rsidP="00DE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7E6D"/>
    <w:multiLevelType w:val="hybridMultilevel"/>
    <w:tmpl w:val="FDA4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88"/>
    <w:rsid w:val="00107D1C"/>
    <w:rsid w:val="00120FD7"/>
    <w:rsid w:val="00124004"/>
    <w:rsid w:val="00186818"/>
    <w:rsid w:val="001F55FF"/>
    <w:rsid w:val="00202DB2"/>
    <w:rsid w:val="00244A6A"/>
    <w:rsid w:val="00336D8F"/>
    <w:rsid w:val="004E3FDE"/>
    <w:rsid w:val="004F4627"/>
    <w:rsid w:val="00583EC7"/>
    <w:rsid w:val="006360CD"/>
    <w:rsid w:val="00693A5A"/>
    <w:rsid w:val="006F5E10"/>
    <w:rsid w:val="00773C06"/>
    <w:rsid w:val="007B6C20"/>
    <w:rsid w:val="00822688"/>
    <w:rsid w:val="009A337C"/>
    <w:rsid w:val="00A46655"/>
    <w:rsid w:val="00B65C86"/>
    <w:rsid w:val="00C830C3"/>
    <w:rsid w:val="00CF3A71"/>
    <w:rsid w:val="00DE5C5E"/>
    <w:rsid w:val="00E27ED1"/>
    <w:rsid w:val="00E750AF"/>
    <w:rsid w:val="00E77A7F"/>
    <w:rsid w:val="00ED2D53"/>
    <w:rsid w:val="00EF5C9C"/>
    <w:rsid w:val="00F02E82"/>
    <w:rsid w:val="00F17EAA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9B2"/>
  <w15:docId w15:val="{4F03E916-BF92-4C1E-AFA9-B9EE5F64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93A5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2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2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6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3A5A"/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">
    <w:name w:val="Сетка таблицы1"/>
    <w:basedOn w:val="a1"/>
    <w:next w:val="a3"/>
    <w:uiPriority w:val="39"/>
    <w:rsid w:val="006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C5E"/>
  </w:style>
  <w:style w:type="paragraph" w:styleId="a6">
    <w:name w:val="footer"/>
    <w:basedOn w:val="a"/>
    <w:link w:val="a7"/>
    <w:uiPriority w:val="99"/>
    <w:unhideWhenUsed/>
    <w:rsid w:val="00DE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F2A3D32F61F80439C7898D6E85EA526A701F89D0DFE13E4282CB109BD27D3a6H8J" TargetMode="External"/><Relationship Id="rId13" Type="http://schemas.openxmlformats.org/officeDocument/2006/relationships/hyperlink" Target="consultantplus://offline/ref=62AF2A3D32F61F80439C7898D6E85EA526A701F89D0DFE13E4282CB109BD27D3a6H8J" TargetMode="External"/><Relationship Id="rId18" Type="http://schemas.openxmlformats.org/officeDocument/2006/relationships/hyperlink" Target="consultantplus://offline/ref=62AF2A3D32F61F80439C7898D6E85EA526A701F89D0DFE13E4282CB109BD27D368A6994B3109F520EAECBBaDHAJ" TargetMode="External"/><Relationship Id="rId26" Type="http://schemas.openxmlformats.org/officeDocument/2006/relationships/hyperlink" Target="consultantplus://offline/ref=62AF2A3D32F61F80439C7898D6E85EA526A701F89D0DF01DE2282CB109BD27D3a6H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AF2A3D32F61F80439C7898D6E85EA526A701F89D0DFE13E4282CB109BD27D368A6994B3109F520EAECBBaDHA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AF2A3D32F61F80439C7898D6E85EA526A701F89D0DF01DE2282CB109BD27D368A6994B3109F520EAECBBaDH8J" TargetMode="External"/><Relationship Id="rId17" Type="http://schemas.openxmlformats.org/officeDocument/2006/relationships/hyperlink" Target="consultantplus://offline/ref=62AF2A3D32F61F80439C788ED58400AC29A95CFD9206A048B12E7BEEa5H9J" TargetMode="External"/><Relationship Id="rId25" Type="http://schemas.openxmlformats.org/officeDocument/2006/relationships/hyperlink" Target="consultantplus://offline/ref=62AF2A3D32F61F80439C7898D6E85EA526A701F89D0DFE13E4282CB109BD27D3a6H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AF2A3D32F61F80439C788ED58400AC2EA856FD970AFD42B97777EC5EaBH4J" TargetMode="External"/><Relationship Id="rId20" Type="http://schemas.openxmlformats.org/officeDocument/2006/relationships/hyperlink" Target="consultantplus://offline/ref=62AF2A3D32F61F80439C7898D6E85EA526A701F89D0DFE13E4282CB109BD27D368A6994B3109F520EAECBBaDHA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AF2A3D32F61F80439C7898D6E85EA526A701F89D0DFE13E4282CB109BD27D368A6994B3109F520EAECBBaDHAJ" TargetMode="External"/><Relationship Id="rId24" Type="http://schemas.openxmlformats.org/officeDocument/2006/relationships/hyperlink" Target="consultantplus://offline/ref=62AF2A3D32F61F80439C7898D6E85EA526A701F89D0DFE13E4282CB109BD27D3a6H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AF2A3D32F61F80439C7898D6E85EA526A701F89D0DF01DE2282CB109BD27D368A6994B3109F520EAECBCaDH2J" TargetMode="External"/><Relationship Id="rId23" Type="http://schemas.openxmlformats.org/officeDocument/2006/relationships/hyperlink" Target="consultantplus://offline/ref=62AF2A3D32F61F80439C7898D6E85EA526A701F89D0DF01DE2282CB109BD27D368A6994B3109F520EAECB3aDHA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AF2A3D32F61F80439C7898D6E85EA526A701F89D0DFE13E4282CB109BD27D368A6994B3109F520EAECBBaDHAJ" TargetMode="External"/><Relationship Id="rId19" Type="http://schemas.openxmlformats.org/officeDocument/2006/relationships/hyperlink" Target="consultantplus://offline/ref=62AF2A3D32F61F80439C7898D6E85EA526A701F89D0DFE13E4282CB109BD27D368A6994B3109F520EAECBBaDH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AF2A3D32F61F80439C7898D6E85EA526A701F89D0DFE13E4282CB109BD27D368A6994B3109F520EAECBBaDHAJ" TargetMode="External"/><Relationship Id="rId14" Type="http://schemas.openxmlformats.org/officeDocument/2006/relationships/hyperlink" Target="consultantplus://offline/ref=62AF2A3D32F61F80439C7898D6E85EA526A701F89D0DFE13E4282CB109BD27D368A6994B3109F520EAECBBaDHAJ" TargetMode="External"/><Relationship Id="rId22" Type="http://schemas.openxmlformats.org/officeDocument/2006/relationships/hyperlink" Target="consultantplus://offline/ref=62AF2A3D32F61F80439C7898D6E85EA526A701F89D0DFE13E4282CB109BD27D368A6994B3109F520EAECBBaDHAJ" TargetMode="External"/><Relationship Id="rId27" Type="http://schemas.openxmlformats.org/officeDocument/2006/relationships/hyperlink" Target="consultantplus://offline/ref=62AF2A3D32F61F80439C7898D6E85EA526A701F89D0DFE13E4282CB109BD27D368A6994B3109F520EAECBBaD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6147</Words>
  <Characters>35041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Евгений Юрьевич</cp:lastModifiedBy>
  <cp:revision>20</cp:revision>
  <dcterms:created xsi:type="dcterms:W3CDTF">2016-08-26T09:07:00Z</dcterms:created>
  <dcterms:modified xsi:type="dcterms:W3CDTF">2016-08-31T05:45:00Z</dcterms:modified>
</cp:coreProperties>
</file>