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832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проведения публичных консультаций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 xml:space="preserve"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правового акта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сводному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отчету о проведении оценки регулирующего воздействия </w:t>
      </w:r>
      <w:r>
        <w:rPr>
          <w:rFonts w:ascii="Times New Roman" w:hAnsi="Times New Roman"/>
          <w:sz w:val="28"/>
          <w:szCs w:val="28"/>
        </w:rPr>
        <w:t xml:space="preserve"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правового акта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Пожалуйста, запол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ните и направьте данный бланк на адрес электронной почты </w:t>
      </w:r>
      <w:r>
        <w:rPr>
          <w:rFonts w:ascii="Times New Roman" w:hAnsi="Times New Roman" w:eastAsia="Times New Roman"/>
          <w:sz w:val="24"/>
          <w:szCs w:val="24"/>
          <w:highlight w:val="none"/>
          <w:lang w:val="en-US" w:eastAsia="ru-RU"/>
        </w:rPr>
        <w:t xml:space="preserve">shta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@</w:t>
      </w:r>
      <w:r>
        <w:rPr>
          <w:rFonts w:ascii="Times New Roman" w:hAnsi="Times New Roman" w:eastAsia="Times New Roman"/>
          <w:sz w:val="24"/>
          <w:szCs w:val="24"/>
          <w:highlight w:val="none"/>
          <w:lang w:val="en-US" w:eastAsia="ru-RU"/>
        </w:rPr>
        <w:t xml:space="preserve">nso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none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не позднее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"</w:t>
      </w:r>
      <w:r>
        <w:rPr>
          <w:rFonts w:ascii="Times New Roman" w:hAnsi="Times New Roman" w:eastAsia="Times New Roman"/>
          <w:sz w:val="24"/>
          <w:szCs w:val="24"/>
          <w:highlight w:val="none"/>
          <w:u w:val="single"/>
          <w:lang w:eastAsia="ru-RU"/>
        </w:rPr>
        <w:t xml:space="preserve">09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"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_</w:t>
      </w:r>
      <w:r>
        <w:rPr>
          <w:rFonts w:ascii="Times New Roman" w:hAnsi="Times New Roman" w:eastAsia="Times New Roman"/>
          <w:sz w:val="24"/>
          <w:szCs w:val="24"/>
          <w:highlight w:val="none"/>
          <w:u w:val="single"/>
          <w:lang w:eastAsia="ru-RU"/>
        </w:rPr>
        <w:t xml:space="preserve">сентября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_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20_</w:t>
      </w:r>
      <w:r>
        <w:rPr>
          <w:rFonts w:ascii="Times New Roman" w:hAnsi="Times New Roman" w:eastAsia="Times New Roman"/>
          <w:sz w:val="24"/>
          <w:szCs w:val="24"/>
          <w:highlight w:val="none"/>
          <w:u w:val="single"/>
          <w:lang w:eastAsia="ru-RU"/>
        </w:rPr>
        <w:t xml:space="preserve">24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_ г. Разработчик проекта акта не будет иметь возможности проанализировать позиции, направл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енные ему после указанной даты.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Общие сведения о проекте акта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5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Сфера государственного регулирования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450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доли преступлений и правонарушений в Новосибирской области, совершенных иностранными гражданами, от общего количества преступлений и правонарушений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Вид и наименование проекта нормативного правового акта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450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роект постановления Губернатора Новосибирской области «Об установлении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2025 год запрета на привлечение хозяйствующими субъектами, осуществляющими деятельность на территории Новосибирской области, иностранных граждан, осуществляющих трудовую деятельность на основании патентов, по отдельным видам экономической деятельности»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 постановления)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Разработчик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45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Адрес страницы в ГИС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Электронная демократия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на которой размещалось уведомление о необходимости разработки проекта нормативного право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вого акта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5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https://dem.nso.ru/#/npa/bills/ad5a3810-7b60-4087-921b-e27945cf9bad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</w:r>
      <w:r>
        <w:rPr>
          <w:rFonts w:eastAsia="Times New Roman" w:cs="Calibri"/>
          <w:lang w:eastAsia="ru-RU"/>
        </w:rPr>
      </w:r>
      <w:r>
        <w:rPr>
          <w:rFonts w:eastAsia="Times New Roman" w:cs="Calibri"/>
          <w:lang w:eastAsia="ru-RU"/>
        </w:rPr>
      </w:r>
    </w:p>
    <w:p>
      <w:pPr>
        <w:pStyle w:val="832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2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проекту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сводному отчету о проведении оценки регулирующего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воздействия проекта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</w:r>
      <w:r>
        <w:rPr>
          <w:rFonts w:eastAsia="Times New Roman" w:cs="Calibri"/>
          <w:lang w:eastAsia="ru-RU"/>
        </w:rPr>
      </w:r>
      <w:r>
        <w:rPr>
          <w:rFonts w:eastAsia="Times New Roman" w:cs="Calibri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5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45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</w:r>
            <w:r>
              <w:rPr>
                <w:rFonts w:eastAsia="Times New Roman" w:cs="Calibri"/>
                <w:lang w:eastAsia="ru-RU"/>
              </w:rPr>
            </w:r>
            <w:r>
              <w:rPr>
                <w:rFonts w:eastAsia="Times New Roman" w:cs="Calibri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Сфера деятельности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45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</w:r>
            <w:r>
              <w:rPr>
                <w:rFonts w:eastAsia="Times New Roman" w:cs="Calibri"/>
                <w:lang w:eastAsia="ru-RU"/>
              </w:rPr>
            </w:r>
            <w:r>
              <w:rPr>
                <w:rFonts w:eastAsia="Times New Roman" w:cs="Calibri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Ф.И.О. (отчество при наличии) контактного лица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45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</w:r>
            <w:r>
              <w:rPr>
                <w:rFonts w:eastAsia="Times New Roman" w:cs="Calibri"/>
                <w:lang w:eastAsia="ru-RU"/>
              </w:rPr>
            </w:r>
            <w:r>
              <w:rPr>
                <w:rFonts w:eastAsia="Times New Roman" w:cs="Calibri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Номер контактного телефона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45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</w:r>
            <w:r>
              <w:rPr>
                <w:rFonts w:eastAsia="Times New Roman" w:cs="Calibri"/>
                <w:lang w:eastAsia="ru-RU"/>
              </w:rPr>
            </w:r>
            <w:r>
              <w:rPr>
                <w:rFonts w:eastAsia="Times New Roman" w:cs="Calibri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45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</w:r>
            <w:r>
              <w:rPr>
                <w:rFonts w:eastAsia="Times New Roman" w:cs="Calibri"/>
                <w:lang w:eastAsia="ru-RU"/>
              </w:rPr>
            </w:r>
            <w:r>
              <w:rPr>
                <w:rFonts w:eastAsia="Times New Roman" w:cs="Calibri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Согласие на указание Ф.И.О. (отчество при наличии) в сводке замечаний и предложений, поступивших в ходе проведения публичн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области, а также в заключении об оценке регулирующего воздействия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45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</w:r>
            <w:r>
              <w:rPr>
                <w:rFonts w:eastAsia="Times New Roman" w:cs="Calibri"/>
                <w:lang w:eastAsia="ru-RU"/>
              </w:rPr>
            </w:r>
            <w:r>
              <w:rPr>
                <w:rFonts w:eastAsia="Times New Roman" w:cs="Calibri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</w:r>
      <w:r>
        <w:rPr>
          <w:rFonts w:eastAsia="Times New Roman" w:cs="Calibri"/>
          <w:lang w:eastAsia="ru-RU"/>
        </w:rPr>
      </w:r>
      <w:r>
        <w:rPr>
          <w:rFonts w:eastAsia="Times New Roman" w:cs="Calibri"/>
          <w:lang w:eastAsia="ru-RU"/>
        </w:rPr>
      </w:r>
    </w:p>
    <w:p>
      <w:pPr>
        <w:pStyle w:val="832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2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2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сводному отчету о проведении оценки регулирующего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воздействия проекта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Затрагивает ли проект акта Вашу/Вашей организации деятельность?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Если нет, пропустите вопросы 1.1 - 1.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1.1. Понятно ли Вам содержание обязанно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стей, предусмотренных проектом постановления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Если нет, приведите эти обязанности или ссылку на соответствующий абзац, подпункт, пункт, часть, статью, раздел (главу) проекта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1.2. Достаточен ли предусмотренный проектом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срок исполнения обязанностей Вами/Вашей организацией? Если нет, какой срок был бы, на Ваш взгляд, приемлем и почему срок, содержащийся в проекте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недостаточен?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Какие из документов/сведений, предоставление которых предусматривает проект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избыточны? Почему Вы так считаете?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 Предусматривает ли проект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избыточные обязанности, запреты и ограничения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Содержит ли проект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избыточные полномочия какого-либо органа власти? Если да, укажите их и по возможности обоснуйте избыточность.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5. Содержит ли проект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6. Содержит ли проект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 Содержит ли проект постановления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положения, которые могут отрицательно воздействовать на состояние конку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ренции в Новосибирской области?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частности: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7.2. Вводят прямые или косвенные ограничения на продажу товаров, выполнение работ, оказание услуг: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7.3. Иные положения: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проекте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10. Иные недостатки проекта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не указанные выше: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Известны ли Вам способы регулирования, альтернативные содержанию проекта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Если да, ответьте также на вопросы 13.1 - 13.2.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13.1. Насколько верно, на Ваш взгляд, в п. 1.1 сводного отчета сформулирована проблема, для решения которой разработан проект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? Актуальна ли такая проблема?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ind w:firstLine="540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--------------------------------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Текст выноски"/>
    <w:basedOn w:val="832"/>
    <w:next w:val="836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>
    <w:name w:val="Текст выноски Знак"/>
    <w:next w:val="837"/>
    <w:link w:val="836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 Татьяна Александровна</dc:creator>
  <cp:revision>22</cp:revision>
  <dcterms:created xsi:type="dcterms:W3CDTF">2024-02-28T01:29:00Z</dcterms:created>
  <dcterms:modified xsi:type="dcterms:W3CDTF">2024-08-12T02:34:36Z</dcterms:modified>
  <cp:version>983040</cp:version>
</cp:coreProperties>
</file>