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396059" w:rsidRPr="00396059" w:rsidRDefault="00396059" w:rsidP="00396059">
      <w:pPr>
        <w:pStyle w:val="aa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6059">
        <w:rPr>
          <w:rFonts w:ascii="Times New Roman" w:hAnsi="Times New Roman"/>
          <w:sz w:val="24"/>
          <w:szCs w:val="24"/>
          <w:u w:val="single"/>
        </w:rPr>
        <w:t>Административный регламент предоставления муниципальной услуги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Земельных кодексом случаях, утвержденный постановлением администрации Барабинского района от 18.01.2017 г. № 43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94EA9" w:rsidRDefault="00396059" w:rsidP="003960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CA2747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96059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отделе экономики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Барабинского района</w:t>
      </w:r>
      <w:r w:rsidR="00396059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CA2747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6059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2747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019F-C799-45D7-94A1-CBCFA53C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19</cp:revision>
  <cp:lastPrinted>2020-09-09T08:22:00Z</cp:lastPrinted>
  <dcterms:created xsi:type="dcterms:W3CDTF">2016-06-06T08:37:00Z</dcterms:created>
  <dcterms:modified xsi:type="dcterms:W3CDTF">2020-09-09T08:23:00Z</dcterms:modified>
</cp:coreProperties>
</file>