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601DFD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муниципальной программы «Управление муниципальным имуществом Маслянинского района Новосибирской области на 2024-2026 годы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3E0C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83E0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C1" w:rsidRDefault="00A340C1" w:rsidP="00A80CE8">
      <w:pPr>
        <w:spacing w:after="0" w:line="240" w:lineRule="auto"/>
      </w:pPr>
      <w:r>
        <w:separator/>
      </w:r>
    </w:p>
  </w:endnote>
  <w:endnote w:type="continuationSeparator" w:id="1">
    <w:p w:rsidR="00A340C1" w:rsidRDefault="00A340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C1" w:rsidRDefault="00A340C1" w:rsidP="00A80CE8">
      <w:pPr>
        <w:spacing w:after="0" w:line="240" w:lineRule="auto"/>
      </w:pPr>
      <w:r>
        <w:separator/>
      </w:r>
    </w:p>
  </w:footnote>
  <w:footnote w:type="continuationSeparator" w:id="1">
    <w:p w:rsidR="00A340C1" w:rsidRDefault="00A340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2645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1DFD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3E0C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0C1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2023-10-19T08:25:00Z</dcterms:modified>
</cp:coreProperties>
</file>