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85292B" w:rsidRDefault="00F262E0" w:rsidP="00A44D0C">
            <w:pPr>
              <w:jc w:val="both"/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>администрации города Искитима Новосибирской области «</w:t>
            </w:r>
            <w:r w:rsidR="006919BE" w:rsidRPr="006919BE">
      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      </w:r>
            <w:r w:rsidR="008E0FD1">
              <w:t xml:space="preserve"> отдельным категориям граждан</w:t>
            </w:r>
            <w:r w:rsidR="00A44D0C" w:rsidRPr="0085292B">
              <w:t>».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proofErr w:type="spellStart"/>
            <w:r w:rsidR="006919BE" w:rsidRPr="006919BE">
              <w:rPr>
                <w:b/>
                <w:lang w:val="en-US"/>
              </w:rPr>
              <w:t>ui</w:t>
            </w:r>
            <w:proofErr w:type="spellEnd"/>
            <w:r w:rsidR="006919BE" w:rsidRPr="006919BE">
              <w:rPr>
                <w:b/>
              </w:rPr>
              <w:t>_</w:t>
            </w:r>
            <w:proofErr w:type="spellStart"/>
            <w:r w:rsidR="006919BE" w:rsidRPr="006919BE">
              <w:rPr>
                <w:b/>
                <w:lang w:val="en-US"/>
              </w:rPr>
              <w:t>iskitim</w:t>
            </w:r>
            <w:proofErr w:type="spellEnd"/>
            <w:r w:rsidR="006919BE" w:rsidRPr="006919BE">
              <w:rPr>
                <w:b/>
              </w:rPr>
              <w:t>@</w:t>
            </w:r>
            <w:r w:rsidR="006919BE" w:rsidRPr="006919BE">
              <w:rPr>
                <w:b/>
                <w:lang w:val="en-US"/>
              </w:rPr>
              <w:t>mail</w:t>
            </w:r>
            <w:r w:rsidR="006919BE" w:rsidRPr="006919BE">
              <w:rPr>
                <w:b/>
              </w:rPr>
              <w:t>.</w:t>
            </w:r>
            <w:proofErr w:type="spellStart"/>
            <w:r w:rsidR="006919BE" w:rsidRPr="006919BE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6919BE">
              <w:rPr>
                <w:b/>
              </w:rPr>
              <w:t>2</w:t>
            </w:r>
            <w:r w:rsidR="008E0FD1">
              <w:rPr>
                <w:b/>
              </w:rPr>
              <w:t>1</w:t>
            </w:r>
            <w:bookmarkStart w:id="0" w:name="_GoBack"/>
            <w:bookmarkEnd w:id="0"/>
            <w:r w:rsidR="005105E4" w:rsidRPr="005105E4">
              <w:rPr>
                <w:b/>
              </w:rPr>
              <w:t>.</w:t>
            </w:r>
            <w:r w:rsidR="006919BE">
              <w:rPr>
                <w:b/>
              </w:rPr>
              <w:t>02</w:t>
            </w:r>
            <w:r w:rsidR="005105E4" w:rsidRPr="005105E4">
              <w:rPr>
                <w:b/>
              </w:rPr>
              <w:t>.201</w:t>
            </w:r>
            <w:r w:rsidR="006919BE">
              <w:rPr>
                <w:b/>
              </w:rPr>
              <w:t>8</w:t>
            </w:r>
            <w:r w:rsidR="00F53ECB">
              <w:rPr>
                <w:b/>
              </w:rPr>
              <w:t> 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466A7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 корректно разработчик Программы определил те факторы, которые обуславливают необходимость муниципального вмешательства? Насколько цель муниципального регулирования соответствует сложившейся проблемной ситуации?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9A613F" w:rsidRDefault="00F262E0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 обязанность (в том числе по предоставлению необходимых документов)</w:t>
            </w:r>
            <w:r w:rsidR="0065075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перечень необходимых документов, ответственность адресатов муниципального регулирования, а также административные процедуры, реализуемые администрацией города Искитима? </w:t>
            </w: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lastRenderedPageBreak/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174335" w:rsidRDefault="00CE1C93" w:rsidP="00174335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174335">
              <w:rPr>
                <w:i/>
              </w:rPr>
              <w:t xml:space="preserve">Как изменятся издержки субъектов предпринимательской деятельности, возникающие при введении предлагаемого регулирования? </w:t>
            </w:r>
            <w:r w:rsidR="00174335" w:rsidRPr="00174335">
              <w:rPr>
                <w:i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650754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Наличие в </w:t>
            </w:r>
            <w:r>
              <w:rPr>
                <w:i/>
              </w:rPr>
              <w:t>проекте</w:t>
            </w:r>
            <w:r w:rsidRPr="00650754">
              <w:rPr>
                <w:i/>
              </w:rPr>
              <w:t xml:space="preserve"> положений, способствующих возникновению необоснованных расходов бюджета города Искитима.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7E" w:rsidRDefault="008A127E" w:rsidP="00F262E0">
      <w:r>
        <w:separator/>
      </w:r>
    </w:p>
  </w:endnote>
  <w:endnote w:type="continuationSeparator" w:id="0">
    <w:p w:rsidR="008A127E" w:rsidRDefault="008A127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7E" w:rsidRDefault="008A127E" w:rsidP="00F262E0">
      <w:r>
        <w:separator/>
      </w:r>
    </w:p>
  </w:footnote>
  <w:footnote w:type="continuationSeparator" w:id="0">
    <w:p w:rsidR="008A127E" w:rsidRDefault="008A127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E0FD1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50A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19BE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127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0FD1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15F5A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2F7B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748357-38E0-497B-837F-06C9D135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4</cp:revision>
  <cp:lastPrinted>2018-02-12T04:54:00Z</cp:lastPrinted>
  <dcterms:created xsi:type="dcterms:W3CDTF">2018-01-11T04:18:00Z</dcterms:created>
  <dcterms:modified xsi:type="dcterms:W3CDTF">2018-02-13T09:36:00Z</dcterms:modified>
</cp:coreProperties>
</file>