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widowControl w:val="off"/>
        <w:rPr>
          <w:b/>
          <w:sz w:val="28"/>
          <w:szCs w:val="28"/>
          <w:lang w:eastAsia="en-US"/>
        </w:rPr>
        <w:outlineLvl w:val="0"/>
      </w:pPr>
      <w:r>
        <w:rPr>
          <w:b/>
          <w:sz w:val="28"/>
          <w:szCs w:val="28"/>
          <w:lang w:eastAsia="en-US"/>
        </w:rPr>
        <w:t xml:space="preserve">Уведомление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keepNext/>
        <w:widowControl w:val="off"/>
        <w:rPr>
          <w:sz w:val="28"/>
          <w:szCs w:val="22"/>
          <w:lang w:eastAsia="en-US"/>
        </w:rPr>
        <w:outlineLvl w:val="0"/>
      </w:pPr>
      <w:r>
        <w:rPr>
          <w:sz w:val="28"/>
          <w:szCs w:val="22"/>
          <w:lang w:eastAsia="en-US"/>
        </w:rPr>
        <w:t xml:space="preserve">о необходимости разработки проекта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jc w:val="center"/>
        <w:keepNext/>
        <w:widowControl w:val="off"/>
        <w:rPr>
          <w:sz w:val="28"/>
          <w:szCs w:val="22"/>
          <w:lang w:eastAsia="en-US"/>
        </w:rPr>
        <w:outlineLvl w:val="0"/>
      </w:pPr>
      <w:r>
        <w:rPr>
          <w:sz w:val="28"/>
          <w:szCs w:val="22"/>
          <w:lang w:eastAsia="en-US"/>
        </w:rPr>
        <w:t xml:space="preserve">приказа министерства экономического развития Новосибирской области 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jc w:val="center"/>
        <w:keepNext/>
        <w:widowControl w:val="off"/>
        <w:rPr>
          <w:sz w:val="28"/>
          <w:szCs w:val="22"/>
          <w:lang w:eastAsia="en-US"/>
        </w:rPr>
        <w:outlineLvl w:val="0"/>
      </w:pPr>
      <w:r>
        <w:rPr>
          <w:sz w:val="28"/>
          <w:szCs w:val="22"/>
          <w:lang w:eastAsia="en-US"/>
        </w:rPr>
        <w:t xml:space="preserve">«</w:t>
      </w:r>
      <w:r>
        <w:rPr>
          <w:sz w:val="28"/>
          <w:szCs w:val="22"/>
          <w:lang w:eastAsia="en-US"/>
        </w:rPr>
        <w:t xml:space="preserve">О внесе</w:t>
      </w:r>
      <w:r>
        <w:rPr>
          <w:sz w:val="28"/>
          <w:szCs w:val="22"/>
          <w:lang w:eastAsia="en-US"/>
        </w:rPr>
        <w:t xml:space="preserve">нии изменений в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</w:t>
      </w:r>
      <w:r>
        <w:rPr>
          <w:sz w:val="28"/>
          <w:szCs w:val="22"/>
          <w:lang w:eastAsia="en-US"/>
        </w:rPr>
        <w:t xml:space="preserve">монопрофильного</w:t>
      </w:r>
      <w:r>
        <w:rPr>
          <w:sz w:val="28"/>
          <w:szCs w:val="22"/>
          <w:lang w:eastAsia="en-US"/>
        </w:rPr>
        <w:t xml:space="preserve"> муниципального образования Новосибирской области (моногорода)»</w:t>
      </w:r>
      <w:r>
        <w:rPr>
          <w:sz w:val="28"/>
          <w:szCs w:val="22"/>
          <w:lang w:eastAsia="en-US"/>
        </w:rPr>
        <w:t xml:space="preserve">»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jc w:val="center"/>
        <w:keepNext/>
        <w:widowControl w:val="off"/>
        <w:rPr>
          <w:sz w:val="28"/>
          <w:szCs w:val="22"/>
          <w:lang w:eastAsia="en-US"/>
        </w:rPr>
        <w:outlineLvl w:val="0"/>
      </w:pP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numPr>
          <w:ilvl w:val="0"/>
          <w:numId w:val="1"/>
        </w:numPr>
        <w:ind w:firstLine="709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Наименование разработчика</w:t>
      </w:r>
      <w:r>
        <w:rPr>
          <w:sz w:val="28"/>
          <w:szCs w:val="28"/>
          <w:lang w:eastAsia="en-US"/>
        </w:rPr>
        <w:t xml:space="preserve">: министерство экономического развития Новосибирской области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Контактное лицо, телефон: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Романченко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Анастасия</w:t>
      </w:r>
      <w:r>
        <w:rPr>
          <w:sz w:val="28"/>
          <w:szCs w:val="28"/>
          <w:highlight w:val="white"/>
          <w:lang w:eastAsia="en-US"/>
        </w:rPr>
        <w:t xml:space="preserve"> Евгеньевна</w:t>
      </w:r>
      <w:r>
        <w:rPr>
          <w:sz w:val="28"/>
          <w:szCs w:val="28"/>
          <w:highlight w:val="white"/>
          <w:lang w:eastAsia="en-US"/>
        </w:rPr>
        <w:t xml:space="preserve"> – </w:t>
      </w:r>
      <w:r>
        <w:rPr>
          <w:sz w:val="28"/>
          <w:szCs w:val="28"/>
          <w:highlight w:val="white"/>
          <w:lang w:eastAsia="en-US"/>
        </w:rPr>
        <w:t xml:space="preserve">менеджер Центра Регионального Развития Новосибирской области</w:t>
      </w:r>
      <w:r>
        <w:rPr>
          <w:sz w:val="28"/>
          <w:szCs w:val="28"/>
          <w:highlight w:val="white"/>
          <w:lang w:eastAsia="en-US"/>
        </w:rPr>
        <w:t xml:space="preserve">, тел.: +7(383) 228-62-</w:t>
      </w:r>
      <w:r>
        <w:rPr>
          <w:sz w:val="28"/>
          <w:szCs w:val="28"/>
          <w:highlight w:val="white"/>
          <w:lang w:eastAsia="en-US"/>
        </w:rPr>
        <w:t xml:space="preserve">90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ind w:firstLine="709"/>
        <w:jc w:val="both"/>
        <w:spacing w:before="120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Описание проблем, для решения которых разработчик намерен разработать проект акта, и их негативные эффекты (последствия):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Style w:val="857"/>
        <w:tblW w:w="0" w:type="auto"/>
        <w:tblLayout w:type="fixed"/>
        <w:tblLook w:val="06A0" w:firstRow="1" w:lastRow="0" w:firstColumn="1" w:lastColumn="0" w:noHBand="1" w:noVBand="1"/>
      </w:tblPr>
      <w:tblGrid>
        <w:gridCol w:w="642"/>
        <w:gridCol w:w="4740"/>
        <w:gridCol w:w="4398"/>
      </w:tblGrid>
      <w:tr>
        <w:tblPrEx/>
        <w:trPr/>
        <w:tc>
          <w:tcPr>
            <w:tcW w:w="6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№ п/п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74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Проблема, для решения которой</w:t>
            </w:r>
            <w:r>
              <w:rPr>
                <w:rFonts w:ascii="Calibri" w:hAnsi="Calibri"/>
                <w:lang w:eastAsia="en-US"/>
              </w:rPr>
              <w:br/>
            </w:r>
            <w:r>
              <w:rPr>
                <w:lang w:eastAsia="en-US"/>
              </w:rPr>
              <w:t xml:space="preserve">планируется разработать проект акта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3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Негативные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эффекты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(последствия), вызванные проблемой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642" w:type="dxa"/>
            <w:vAlign w:val="center"/>
            <w:textDirection w:val="lrTb"/>
            <w:noWrap w:val="false"/>
          </w:tcPr>
          <w:p>
            <w:pPr>
              <w:pStyle w:val="859"/>
              <w:ind w:left="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lang w:eastAsia="en-US"/>
              </w:rPr>
              <w:t xml:space="preserve">Действующий </w:t>
            </w:r>
            <w:r>
              <w:rPr>
                <w:lang w:eastAsia="en-US"/>
              </w:rPr>
              <w:t xml:space="preserve">п</w:t>
            </w:r>
            <w:r>
              <w:rPr>
                <w:lang w:eastAsia="en-US"/>
              </w:rPr>
              <w:t xml:space="preserve">риказ министерства экономического развития Новосибирской области от 15.08.2018 № 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</w:t>
            </w:r>
            <w:r>
              <w:rPr>
                <w:lang w:eastAsia="en-US"/>
              </w:rPr>
              <w:t xml:space="preserve">униципального образования Новосибирской области (моногорода)» (далее – Приказ № 81) </w:t>
            </w:r>
            <w:r>
              <w:rPr>
                <w:lang w:eastAsia="en-US"/>
              </w:rPr>
              <w:t xml:space="preserve">не </w:t>
            </w:r>
            <w:r>
              <w:rPr>
                <w:lang w:val="ru-RU"/>
              </w:rPr>
              <w:t xml:space="preserve">приведен в соответствии</w:t>
            </w:r>
            <w:r>
              <w:rPr>
                <w:lang w:eastAsia="en-US"/>
              </w:rPr>
              <w:t xml:space="preserve"> с изменениями, принятыми Федеральным законом «</w:t>
            </w:r>
            <w:r>
              <w:rPr>
                <w:lang w:eastAsia="en-US"/>
              </w:rPr>
              <w:t xml:space="preserve">О внесении изменений </w:t>
            </w:r>
            <w:r>
              <w:rPr>
                <w:lang w:eastAsia="en-US"/>
              </w:rPr>
              <w:t xml:space="preserve">в Федеральный закон «О территориях опережающего </w:t>
            </w:r>
            <w:r>
              <w:rPr>
                <w:lang w:eastAsia="en-US"/>
              </w:rPr>
              <w:t xml:space="preserve">социально-экономического развития в Российской Федерации» </w:t>
            </w:r>
            <w:r>
              <w:rPr>
                <w:lang w:eastAsia="en-US"/>
              </w:rPr>
              <w:t xml:space="preserve">и отдельные законодательные акты Российской Федерации» от 14.07.2022 от 271-ФЗ в части исключения слов </w:t>
            </w:r>
            <w:r>
              <w:t xml:space="preserve">«социально-экономического»</w:t>
            </w:r>
            <w:r>
              <w:rPr>
                <w:lang w:eastAsia="en-US"/>
              </w:rPr>
            </w:r>
            <w:r/>
          </w:p>
        </w:tc>
        <w:tc>
          <w:tcPr>
            <w:tcW w:w="4398" w:type="dxa"/>
            <w:textDirection w:val="lrTb"/>
            <w:noWrap w:val="false"/>
          </w:tcPr>
          <w:p>
            <w:pPr>
              <w:ind w:firstLine="57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Несоответствие Приказа № 81 федеральным нормативным правовым актам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642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ind w:left="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74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  <w:t xml:space="preserve">В действующем </w:t>
            </w:r>
            <w:r>
              <w:rPr>
                <w:lang w:eastAsia="en-US"/>
              </w:rPr>
              <w:t xml:space="preserve">Порядке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(«моногорода»)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(далее – Порядок) отсутствует установленный срок подписания резидентом проекта </w:t>
            </w:r>
            <w:r>
              <w:rPr>
                <w:highlight w:val="none"/>
                <w:lang w:eastAsia="en-US"/>
              </w:rPr>
              <w:t xml:space="preserve">соглашения об осуществлении деятельности на ТОР, полученного от министерства экономического развития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398" w:type="dxa"/>
            <w:vMerge w:val="restart"/>
            <w:textDirection w:val="lrTb"/>
            <w:noWrap w:val="false"/>
          </w:tcPr>
          <w:p>
            <w:pPr>
              <w:ind w:firstLine="57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  <w:t xml:space="preserve">Увеличение срока подписания </w:t>
            </w:r>
            <w:r>
              <w:rPr>
                <w:lang w:eastAsia="en-US"/>
              </w:rPr>
              <w:t xml:space="preserve">проекта </w:t>
            </w:r>
            <w:r>
              <w:rPr>
                <w:lang w:eastAsia="en-US"/>
              </w:rPr>
              <w:t xml:space="preserve">соглашения о реализации деятельности на ТО</w:t>
            </w:r>
            <w:r>
              <w:rPr>
                <w:lang w:eastAsia="en-US"/>
              </w:rPr>
              <w:t xml:space="preserve">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642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ind w:left="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74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В действующем Порядке отсутствует уточняющая информация о присвоении статуса резидента</w:t>
            </w:r>
            <w:r/>
          </w:p>
        </w:tc>
        <w:tc>
          <w:tcPr>
            <w:tcW w:w="439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42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ind w:left="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74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В действующем Порядке отсутствует информация о средствах контроля за выполнением резидентом условий соглашения</w:t>
            </w:r>
            <w:r/>
          </w:p>
        </w:tc>
        <w:tc>
          <w:tcPr>
            <w:tcW w:w="4398" w:type="dxa"/>
            <w:vMerge w:val="restart"/>
            <w:textDirection w:val="lrTb"/>
            <w:noWrap w:val="false"/>
          </w:tcPr>
          <w:p>
            <w:pPr>
              <w:ind w:left="0" w:right="0" w:firstLine="0"/>
              <w:tabs>
                <w:tab w:val="left" w:pos="1080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Предписание прокуратуры Новосибирской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r/>
            <w:r/>
          </w:p>
        </w:tc>
      </w:tr>
      <w:tr>
        <w:tblPrEx/>
        <w:trPr/>
        <w:tc>
          <w:tcPr>
            <w:tcW w:w="642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ind w:left="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74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действующем </w:t>
            </w:r>
            <w:r>
              <w:rPr>
                <w:sz w:val="24"/>
                <w:szCs w:val="24"/>
                <w:lang w:eastAsia="en-US"/>
              </w:rPr>
              <w:t xml:space="preserve">типовом </w:t>
            </w:r>
            <w:r>
              <w:rPr>
                <w:sz w:val="24"/>
                <w:szCs w:val="24"/>
                <w:lang w:eastAsia="en-US"/>
              </w:rPr>
              <w:t xml:space="preserve">соглашении об </w:t>
            </w:r>
            <w:r>
              <w:rPr>
                <w:sz w:val="24"/>
                <w:szCs w:val="24"/>
                <w:lang w:eastAsia="en-US"/>
              </w:rPr>
              <w:t xml:space="preserve"> осуществлении деятельности на ТОР</w:t>
            </w:r>
            <w:r>
              <w:rPr>
                <w:sz w:val="24"/>
                <w:szCs w:val="24"/>
                <w:lang w:eastAsia="en-US"/>
              </w:rPr>
              <w:t xml:space="preserve">, созданной на территории </w:t>
            </w:r>
            <w:r>
              <w:rPr>
                <w:sz w:val="24"/>
                <w:szCs w:val="24"/>
                <w:lang w:eastAsia="en-US"/>
              </w:rPr>
              <w:t xml:space="preserve">монопрофильного</w:t>
            </w:r>
            <w:r>
              <w:rPr>
                <w:sz w:val="24"/>
                <w:szCs w:val="24"/>
                <w:lang w:eastAsia="en-US"/>
              </w:rPr>
              <w:t xml:space="preserve"> муниципального образования Новосибирской области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(далее – типовое Соглашение) отсутствует существенное нарушение условий соглашения в случае неоднократного нарушения сроков предоставления отчетности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8" w:type="dxa"/>
            <w:vMerge w:val="restart"/>
            <w:textDirection w:val="lrTb"/>
            <w:noWrap w:val="false"/>
          </w:tcPr>
          <w:p>
            <w:pPr>
              <w:ind w:left="0" w:right="0" w:firstLine="0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Нарушение сроков предоставления отчетной информации Минэкономразвития России Правительством Новосибирской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642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ind w:left="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74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В действующем типовом Соглашении отсутствует существенное нарушение условий соглашения в неподписании</w:t>
            </w:r>
            <w:r>
              <w:t xml:space="preserve"> резидентом дополнительных соглашений к соглашению об осуществлении деятельности на ТОР в случае внесения изменений в типовое Соглашение</w:t>
            </w:r>
            <w:r/>
          </w:p>
        </w:tc>
        <w:tc>
          <w:tcPr>
            <w:tcW w:w="4398" w:type="dxa"/>
            <w:vMerge w:val="restart"/>
            <w:textDirection w:val="lrTb"/>
            <w:noWrap w:val="false"/>
          </w:tcPr>
          <w:p>
            <w:r>
              <w:t xml:space="preserve">Нарушение Приказа № 81</w:t>
            </w:r>
            <w:r/>
          </w:p>
        </w:tc>
      </w:tr>
    </w:tbl>
    <w:p>
      <w:pPr>
        <w:ind w:firstLine="709"/>
        <w:jc w:val="both"/>
        <w:spacing w:before="120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 </w:t>
      </w:r>
      <w:r>
        <w:rPr>
          <w:sz w:val="28"/>
          <w:szCs w:val="28"/>
          <w:lang w:eastAsia="en-US"/>
        </w:rPr>
        <w:t xml:space="preserve">Основные группы субъектов предпринимательской и (или) инвестиционной деятельности, затрагиваемые предлагаемым регулированием: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0" w:right="0" w:firstLine="709"/>
        <w:jc w:val="both"/>
        <w:spacing w:before="120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Юридические лица, намеренные реализовать на ТОР Новосибирской области инвестиционные проекты по видам деятельности, указанным в постановлениях Правительства Российской Федерации о присвоении статуса ТОР </w:t>
      </w:r>
      <w:r>
        <w:rPr>
          <w:sz w:val="28"/>
          <w:szCs w:val="28"/>
          <w:lang w:eastAsia="en-US"/>
        </w:rPr>
        <w:t xml:space="preserve">монопрофильным</w:t>
      </w:r>
      <w:r>
        <w:rPr>
          <w:sz w:val="28"/>
          <w:szCs w:val="28"/>
          <w:lang w:eastAsia="en-US"/>
        </w:rPr>
        <w:t xml:space="preserve"> муниципальным образованиям Новосибирской области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numPr>
          <w:ilvl w:val="0"/>
          <w:numId w:val="1"/>
        </w:numPr>
        <w:ind w:firstLine="709"/>
        <w:jc w:val="both"/>
        <w:spacing w:before="120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Известные разработчику способы решения каждой из указанных проблем: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Style w:val="857"/>
        <w:tblW w:w="9895" w:type="dxa"/>
        <w:tblLook w:val="06A0" w:firstRow="1" w:lastRow="0" w:firstColumn="1" w:lastColumn="0" w:noHBand="1" w:noVBand="1"/>
      </w:tblPr>
      <w:tblGrid>
        <w:gridCol w:w="3114"/>
        <w:gridCol w:w="6781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Проблема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67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Известные способы решения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31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1 - 6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678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</w:t>
            </w:r>
            <w:r>
              <w:rPr>
                <w:lang w:eastAsia="en-US"/>
              </w:rPr>
              <w:t xml:space="preserve">приказа министерства экономического развития Новосибирской области «</w:t>
            </w:r>
            <w:r>
              <w:rPr>
                <w:lang w:eastAsia="en-US"/>
              </w:rPr>
              <w:t xml:space="preserve">О внесении изменений в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</w:t>
            </w:r>
            <w:r>
              <w:rPr>
                <w:lang w:eastAsia="en-US"/>
              </w:rPr>
              <w:t xml:space="preserve">социально-экономического развития, созданной на территории </w:t>
            </w:r>
            <w:r>
              <w:rPr>
                <w:lang w:eastAsia="en-US"/>
              </w:rPr>
              <w:t xml:space="preserve">монопрофильного</w:t>
            </w:r>
            <w:r>
              <w:rPr>
                <w:lang w:eastAsia="en-US"/>
              </w:rPr>
              <w:t xml:space="preserve"> муниципального образования Новосибирской области (моногорода)»»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859"/>
        <w:numPr>
          <w:ilvl w:val="0"/>
          <w:numId w:val="1"/>
        </w:numPr>
        <w:ind w:firstLine="709"/>
        <w:jc w:val="both"/>
        <w:spacing w:before="120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Адреса для направления предложений и замечаний по выявленным проблемам 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способам их решения: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 </w:t>
      </w:r>
      <w:r>
        <w:rPr>
          <w:sz w:val="28"/>
          <w:szCs w:val="28"/>
          <w:lang w:eastAsia="en-US"/>
        </w:rPr>
        <w:t xml:space="preserve">адрес почтовый: 630</w:t>
      </w:r>
      <w:r>
        <w:rPr>
          <w:sz w:val="28"/>
          <w:szCs w:val="28"/>
          <w:lang w:eastAsia="en-US"/>
        </w:rPr>
        <w:t xml:space="preserve">007</w:t>
      </w:r>
      <w:r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 xml:space="preserve">Красный проспект, 18</w:t>
      </w:r>
      <w:r>
        <w:rPr>
          <w:sz w:val="28"/>
          <w:szCs w:val="28"/>
          <w:lang w:eastAsia="en-US"/>
        </w:rPr>
        <w:t xml:space="preserve">, министерство экономического развития Новосибирской области;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 xml:space="preserve">– </w:t>
      </w:r>
      <w:r>
        <w:rPr>
          <w:sz w:val="28"/>
          <w:szCs w:val="28"/>
          <w:lang w:eastAsia="en-US"/>
        </w:rPr>
        <w:t xml:space="preserve">адрес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электронной почты: </w:t>
      </w:r>
      <w:hyperlink r:id="rId10" w:tooltip="mailto:mineconom@nso.ru" w:history="1">
        <w:r>
          <w:rPr>
            <w:rStyle w:val="860"/>
            <w:sz w:val="28"/>
            <w:szCs w:val="28"/>
            <w:lang w:eastAsia="en-US"/>
          </w:rPr>
          <w:t xml:space="preserve">mineconom@nso.ru</w:t>
        </w:r>
      </w:hyperlink>
      <w:r>
        <w:rPr>
          <w:sz w:val="28"/>
          <w:szCs w:val="28"/>
          <w:lang w:eastAsia="en-US"/>
        </w:rPr>
        <w:t xml:space="preserve">, romae</w:t>
      </w:r>
      <w:r>
        <w:t xml:space="preserve">@</w:t>
      </w:r>
      <w:r>
        <w:rPr>
          <w:sz w:val="28"/>
          <w:szCs w:val="28"/>
        </w:rPr>
        <w:t xml:space="preserve">nso.ru.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spacing w:after="12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 xml:space="preserve">НСО</w:t>
      </w:r>
      <w:r>
        <w:rPr>
          <w:sz w:val="28"/>
          <w:szCs w:val="28"/>
          <w:lang w:eastAsia="en-US"/>
        </w:rPr>
        <w:t xml:space="preserve"> «Электронная демократия Новос</w:t>
      </w:r>
      <w:r>
        <w:rPr>
          <w:sz w:val="28"/>
          <w:szCs w:val="28"/>
          <w:highlight w:val="white"/>
          <w:lang w:eastAsia="en-US"/>
        </w:rPr>
        <w:t xml:space="preserve">ибирской области», на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которой размещено настоящее уведомление.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08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  <w:lang w:eastAsia="en-US"/>
        </w:rPr>
        <w:t xml:space="preserve">5. </w:t>
      </w:r>
      <w:r>
        <w:rPr>
          <w:sz w:val="28"/>
          <w:szCs w:val="28"/>
          <w:highlight w:val="white"/>
          <w:lang w:eastAsia="en-US"/>
        </w:rPr>
        <w:t xml:space="preserve">Срок, в течение которого принимаются предложения и замечания в связи с р</w:t>
      </w:r>
      <w:r>
        <w:rPr>
          <w:sz w:val="28"/>
          <w:szCs w:val="28"/>
          <w:lang w:eastAsia="en-US"/>
        </w:rPr>
        <w:t xml:space="preserve">азмещением уведомления: </w:t>
      </w:r>
      <w:r>
        <w:rPr>
          <w:b/>
          <w:sz w:val="28"/>
          <w:szCs w:val="28"/>
          <w:highlight w:val="white"/>
          <w:lang w:eastAsia="en-US"/>
        </w:rPr>
        <w:t xml:space="preserve">с 04.07.2024 </w:t>
      </w:r>
      <w:r>
        <w:rPr>
          <w:b/>
          <w:sz w:val="28"/>
          <w:szCs w:val="28"/>
          <w:highlight w:val="none"/>
          <w:lang w:eastAsia="en-US"/>
        </w:rPr>
        <w:t xml:space="preserve">по 12.07.2024</w:t>
      </w:r>
      <w:r>
        <w:rPr>
          <w:sz w:val="28"/>
          <w:szCs w:val="28"/>
          <w:highlight w:val="yellow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55727560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9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9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3"/>
    <w:next w:val="85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4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3"/>
    <w:next w:val="853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4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4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4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4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4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4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4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3"/>
    <w:next w:val="85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4"/>
    <w:link w:val="699"/>
    <w:uiPriority w:val="10"/>
    <w:rPr>
      <w:sz w:val="48"/>
      <w:szCs w:val="48"/>
    </w:rPr>
  </w:style>
  <w:style w:type="paragraph" w:styleId="701">
    <w:name w:val="Subtitle"/>
    <w:basedOn w:val="853"/>
    <w:next w:val="85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4"/>
    <w:link w:val="701"/>
    <w:uiPriority w:val="11"/>
    <w:rPr>
      <w:sz w:val="24"/>
      <w:szCs w:val="24"/>
    </w:rPr>
  </w:style>
  <w:style w:type="paragraph" w:styleId="703">
    <w:name w:val="Quote"/>
    <w:basedOn w:val="853"/>
    <w:next w:val="853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3"/>
    <w:next w:val="853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4"/>
    <w:link w:val="863"/>
    <w:uiPriority w:val="99"/>
  </w:style>
  <w:style w:type="character" w:styleId="708">
    <w:name w:val="Footer Char"/>
    <w:basedOn w:val="854"/>
    <w:link w:val="865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5"/>
    <w:uiPriority w:val="99"/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Сетка таблицы3"/>
    <w:basedOn w:val="855"/>
    <w:next w:val="858"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8">
    <w:name w:val="Table Grid"/>
    <w:basedOn w:val="8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9">
    <w:name w:val="List Paragraph"/>
    <w:basedOn w:val="853"/>
    <w:uiPriority w:val="34"/>
    <w:qFormat/>
    <w:pPr>
      <w:contextualSpacing/>
      <w:ind w:left="720"/>
    </w:pPr>
  </w:style>
  <w:style w:type="character" w:styleId="860">
    <w:name w:val="Hyperlink"/>
    <w:basedOn w:val="854"/>
    <w:uiPriority w:val="99"/>
    <w:unhideWhenUsed/>
    <w:rPr>
      <w:color w:val="0563c1" w:themeColor="hyperlink"/>
      <w:u w:val="single"/>
    </w:rPr>
  </w:style>
  <w:style w:type="paragraph" w:styleId="861">
    <w:name w:val="Balloon Text"/>
    <w:basedOn w:val="853"/>
    <w:link w:val="86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54"/>
    <w:link w:val="86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3">
    <w:name w:val="Header"/>
    <w:basedOn w:val="853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54"/>
    <w:link w:val="86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>
    <w:name w:val="Footer"/>
    <w:basedOn w:val="853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4"/>
    <w:link w:val="86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mineconom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revision>7</cp:revision>
  <dcterms:created xsi:type="dcterms:W3CDTF">2022-04-18T08:55:00Z</dcterms:created>
  <dcterms:modified xsi:type="dcterms:W3CDTF">2024-07-03T03:26:23Z</dcterms:modified>
</cp:coreProperties>
</file>