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8E" w:rsidRDefault="0092778E" w:rsidP="0092778E">
      <w:pPr>
        <w:spacing w:line="276" w:lineRule="auto"/>
        <w:jc w:val="center"/>
        <w:rPr>
          <w:b/>
        </w:rPr>
      </w:pPr>
    </w:p>
    <w:p w:rsidR="0092778E" w:rsidRDefault="0092778E" w:rsidP="0092778E">
      <w:pPr>
        <w:spacing w:line="276" w:lineRule="auto"/>
        <w:jc w:val="center"/>
        <w:rPr>
          <w:b/>
        </w:rPr>
      </w:pPr>
    </w:p>
    <w:p w:rsidR="0092778E" w:rsidRPr="0092778E" w:rsidRDefault="0092778E" w:rsidP="0092778E">
      <w:pPr>
        <w:spacing w:line="276" w:lineRule="auto"/>
        <w:jc w:val="center"/>
        <w:rPr>
          <w:b/>
        </w:rPr>
      </w:pPr>
      <w:r w:rsidRPr="0092778E">
        <w:rPr>
          <w:b/>
        </w:rPr>
        <w:t>СВОДНЫЙ ОТЧЕТ</w:t>
      </w:r>
    </w:p>
    <w:p w:rsidR="0092778E" w:rsidRPr="0092778E" w:rsidRDefault="0092778E" w:rsidP="009277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78E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проведения оценки регулирующего воздействия </w:t>
      </w:r>
    </w:p>
    <w:p w:rsidR="0092778E" w:rsidRPr="0092778E" w:rsidRDefault="0092778E" w:rsidP="009277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78E">
        <w:rPr>
          <w:rFonts w:ascii="Times New Roman" w:hAnsi="Times New Roman" w:cs="Times New Roman"/>
          <w:b/>
          <w:sz w:val="28"/>
          <w:szCs w:val="28"/>
        </w:rPr>
        <w:t>проекта нормативного правового акта</w:t>
      </w: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lace">
        <w:r w:rsidRPr="0092778E"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92778E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92778E">
        <w:rPr>
          <w:rFonts w:ascii="Times New Roman" w:hAnsi="Times New Roman" w:cs="Times New Roman"/>
          <w:sz w:val="28"/>
          <w:szCs w:val="28"/>
        </w:rPr>
        <w:t> Общая информация</w:t>
      </w:r>
    </w:p>
    <w:p w:rsidR="00763C56" w:rsidRDefault="0092778E" w:rsidP="00763C56">
      <w:pPr>
        <w:jc w:val="both"/>
      </w:pPr>
      <w:r w:rsidRPr="0092778E">
        <w:t xml:space="preserve">1.1. Вид и наименование проекта нормативного правового акта: </w:t>
      </w:r>
      <w:r>
        <w:t>«</w:t>
      </w:r>
      <w:r w:rsidR="00763C56">
        <w:t xml:space="preserve">Об утверждении Положения о размещении нестационарных торговых объектов </w:t>
      </w:r>
    </w:p>
    <w:p w:rsidR="0092778E" w:rsidRPr="00763C56" w:rsidRDefault="00763C56" w:rsidP="00763C56">
      <w:pPr>
        <w:jc w:val="both"/>
      </w:pPr>
      <w:r>
        <w:t>на территории Чановского района Новосибирской области</w:t>
      </w:r>
      <w:r w:rsidR="0092778E">
        <w:t>»</w:t>
      </w:r>
      <w:r>
        <w:t>.</w:t>
      </w:r>
    </w:p>
    <w:p w:rsidR="0092778E" w:rsidRPr="0092778E" w:rsidRDefault="0092778E" w:rsidP="00763C56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b w:val="0"/>
          <w:sz w:val="28"/>
          <w:szCs w:val="28"/>
        </w:rPr>
      </w:pPr>
      <w:r w:rsidRPr="0092778E">
        <w:rPr>
          <w:rFonts w:ascii="Times New Roman" w:hAnsi="Times New Roman" w:cs="Times New Roman"/>
          <w:b w:val="0"/>
          <w:sz w:val="28"/>
          <w:szCs w:val="28"/>
        </w:rPr>
        <w:t xml:space="preserve">1.2. Разработчик проекта нормативного правового акта: </w:t>
      </w:r>
      <w:r>
        <w:rPr>
          <w:rFonts w:ascii="Times New Roman" w:hAnsi="Times New Roman" w:cs="Times New Roman"/>
          <w:b w:val="0"/>
          <w:sz w:val="28"/>
          <w:szCs w:val="28"/>
        </w:rPr>
        <w:t>Управление экономического развития, трудовых, земельных и имущественных отношений администрации Чановского района Новосибирской области</w:t>
      </w: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b w:val="0"/>
          <w:sz w:val="28"/>
          <w:szCs w:val="28"/>
        </w:rPr>
      </w:pPr>
      <w:r w:rsidRPr="0092778E">
        <w:rPr>
          <w:rFonts w:ascii="Times New Roman" w:hAnsi="Times New Roman" w:cs="Times New Roman"/>
          <w:b w:val="0"/>
          <w:sz w:val="28"/>
          <w:szCs w:val="28"/>
        </w:rPr>
        <w:t>1.3. Контактная информация разработчика нормативного правового акта (органа, осуществляющего полномочия разработчика акта):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  <w:r w:rsidRPr="0092778E">
        <w:rPr>
          <w:rFonts w:ascii="Times New Roman" w:hAnsi="Times New Roman" w:cs="Times New Roman"/>
          <w:b w:val="0"/>
          <w:sz w:val="28"/>
          <w:szCs w:val="28"/>
        </w:rPr>
        <w:t xml:space="preserve">Ф.И.О.: </w:t>
      </w:r>
      <w:r>
        <w:rPr>
          <w:rFonts w:ascii="Times New Roman" w:hAnsi="Times New Roman" w:cs="Times New Roman"/>
          <w:b w:val="0"/>
          <w:sz w:val="28"/>
          <w:szCs w:val="28"/>
        </w:rPr>
        <w:t>Соколова Наталья Васильевна</w:t>
      </w: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  <w:r w:rsidRPr="0092778E">
        <w:rPr>
          <w:rFonts w:ascii="Times New Roman" w:hAnsi="Times New Roman" w:cs="Times New Roman"/>
          <w:b w:val="0"/>
          <w:sz w:val="28"/>
          <w:szCs w:val="28"/>
        </w:rPr>
        <w:t xml:space="preserve">Должность: </w:t>
      </w:r>
      <w:r w:rsidR="00763C56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управления экономического развития, трудовых, земельных и имущественных отношений администрации Чановского района.</w:t>
      </w: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  <w:r w:rsidRPr="0092778E">
        <w:rPr>
          <w:rFonts w:ascii="Times New Roman" w:hAnsi="Times New Roman" w:cs="Times New Roman"/>
          <w:b w:val="0"/>
          <w:sz w:val="28"/>
          <w:szCs w:val="28"/>
        </w:rPr>
        <w:t xml:space="preserve">Телефон, адрес электронной почты: </w:t>
      </w:r>
      <w:r w:rsidR="00763C56">
        <w:rPr>
          <w:rFonts w:ascii="Times New Roman" w:hAnsi="Times New Roman" w:cs="Times New Roman"/>
          <w:b w:val="0"/>
          <w:sz w:val="28"/>
          <w:szCs w:val="28"/>
        </w:rPr>
        <w:t>8(38367)21-151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7" w:history="1">
        <w:r w:rsidRPr="00F93E55">
          <w:rPr>
            <w:rStyle w:val="a9"/>
            <w:rFonts w:ascii="Times New Roman" w:hAnsi="Times New Roman"/>
            <w:b w:val="0"/>
            <w:sz w:val="28"/>
            <w:szCs w:val="28"/>
            <w:lang w:val="en-US"/>
          </w:rPr>
          <w:t>hlev</w:t>
        </w:r>
        <w:r w:rsidRPr="0092778E">
          <w:rPr>
            <w:rStyle w:val="a9"/>
            <w:rFonts w:ascii="Times New Roman" w:hAnsi="Times New Roman"/>
            <w:b w:val="0"/>
            <w:sz w:val="28"/>
            <w:szCs w:val="28"/>
          </w:rPr>
          <w:t>.</w:t>
        </w:r>
        <w:r w:rsidRPr="00F93E55">
          <w:rPr>
            <w:rStyle w:val="a9"/>
            <w:rFonts w:ascii="Times New Roman" w:hAnsi="Times New Roman"/>
            <w:b w:val="0"/>
            <w:sz w:val="28"/>
            <w:szCs w:val="28"/>
            <w:lang w:val="en-US"/>
          </w:rPr>
          <w:t>adm</w:t>
        </w:r>
        <w:r w:rsidRPr="0092778E">
          <w:rPr>
            <w:rStyle w:val="a9"/>
            <w:rFonts w:ascii="Times New Roman" w:hAnsi="Times New Roman"/>
            <w:b w:val="0"/>
            <w:sz w:val="28"/>
            <w:szCs w:val="28"/>
          </w:rPr>
          <w:t>@</w:t>
        </w:r>
        <w:r w:rsidRPr="00F93E55">
          <w:rPr>
            <w:rStyle w:val="a9"/>
            <w:rFonts w:ascii="Times New Roman" w:hAnsi="Times New Roman"/>
            <w:b w:val="0"/>
            <w:sz w:val="28"/>
            <w:szCs w:val="28"/>
            <w:lang w:val="en-US"/>
          </w:rPr>
          <w:t>yandex</w:t>
        </w:r>
        <w:r w:rsidRPr="0092778E">
          <w:rPr>
            <w:rStyle w:val="a9"/>
            <w:rFonts w:ascii="Times New Roman" w:hAnsi="Times New Roman"/>
            <w:b w:val="0"/>
            <w:sz w:val="28"/>
            <w:szCs w:val="28"/>
          </w:rPr>
          <w:t>.</w:t>
        </w:r>
        <w:r w:rsidRPr="00F93E55">
          <w:rPr>
            <w:rStyle w:val="a9"/>
            <w:rFonts w:ascii="Times New Roman" w:hAnsi="Times New Roman"/>
            <w:b w:val="0"/>
            <w:sz w:val="28"/>
            <w:szCs w:val="28"/>
            <w:lang w:val="en-US"/>
          </w:rPr>
          <w:t>ru</w:t>
        </w:r>
      </w:hyperlink>
      <w:r w:rsidRPr="009277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I</w:t>
      </w:r>
      <w:r w:rsidRPr="009277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2778E">
        <w:rPr>
          <w:rFonts w:ascii="Times New Roman" w:hAnsi="Times New Roman" w:cs="Times New Roman"/>
          <w:sz w:val="28"/>
          <w:szCs w:val="28"/>
        </w:rPr>
        <w:t>. Описание проблем и предлагаемого регулирования</w:t>
      </w: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1. Краткая характеристика проблем, на решение которых направлен проект нормативного правового акта, и способов их решения</w:t>
      </w:r>
    </w:p>
    <w:p w:rsidR="0092778E" w:rsidRPr="0092778E" w:rsidRDefault="0092778E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</w:p>
    <w:p w:rsidR="0092778E" w:rsidRPr="00EE63A6" w:rsidRDefault="0092778E" w:rsidP="00763C56">
      <w:pPr>
        <w:pStyle w:val="ConsPlusNormal"/>
        <w:ind w:firstLine="540"/>
        <w:jc w:val="both"/>
      </w:pPr>
      <w:r w:rsidRPr="0092778E">
        <w:t>1.1. Проблемы и их негативные эффекты</w:t>
      </w:r>
      <w:r w:rsidR="00EE63A6">
        <w:t xml:space="preserve">: </w:t>
      </w:r>
      <w:r w:rsidR="00763C56">
        <w:t xml:space="preserve">порядок предоставления мест для размещения </w:t>
      </w:r>
      <w:r w:rsidR="00EE63A6">
        <w:t xml:space="preserve">торговых объектов на территории Чановского района Новосибирской области, неэффективное использование мест для размещения нестационарных торговых объектов. </w:t>
      </w:r>
      <w:r w:rsidR="00763C56">
        <w:t>Подготовка акта направлена на определение порядка</w:t>
      </w:r>
      <w:r w:rsidR="00763C56" w:rsidRPr="000F0953">
        <w:t xml:space="preserve"> заключения договоров на право размещения, приемки в эксплуатацию, демонтажа и осуществления контроля за размещением и эксплуатацией нестационарных</w:t>
      </w:r>
      <w:r w:rsidR="00763C56">
        <w:t xml:space="preserve"> торговых</w:t>
      </w:r>
      <w:r w:rsidR="00763C56" w:rsidRPr="000F0953">
        <w:t xml:space="preserve"> объектов.</w:t>
      </w:r>
    </w:p>
    <w:p w:rsidR="0092778E" w:rsidRDefault="0092778E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1.2. Способы решения заявленных проблем</w:t>
      </w:r>
      <w:r w:rsidR="00EE63A6">
        <w:rPr>
          <w:rFonts w:ascii="Times New Roman" w:hAnsi="Times New Roman" w:cs="Times New Roman"/>
          <w:sz w:val="28"/>
          <w:szCs w:val="28"/>
        </w:rPr>
        <w:t xml:space="preserve">: утверждение </w:t>
      </w:r>
      <w:r w:rsidR="00763C56">
        <w:rPr>
          <w:rFonts w:ascii="Times New Roman" w:hAnsi="Times New Roman" w:cs="Times New Roman"/>
          <w:sz w:val="28"/>
          <w:szCs w:val="28"/>
        </w:rPr>
        <w:t>положения</w:t>
      </w:r>
      <w:r w:rsidR="00EE63A6">
        <w:rPr>
          <w:rFonts w:ascii="Times New Roman" w:hAnsi="Times New Roman" w:cs="Times New Roman"/>
          <w:sz w:val="28"/>
          <w:szCs w:val="28"/>
        </w:rPr>
        <w:t xml:space="preserve"> </w:t>
      </w:r>
      <w:r w:rsidR="00763C56">
        <w:rPr>
          <w:rFonts w:ascii="Times New Roman" w:hAnsi="Times New Roman" w:cs="Times New Roman"/>
          <w:sz w:val="28"/>
          <w:szCs w:val="28"/>
        </w:rPr>
        <w:t>о размещении</w:t>
      </w:r>
      <w:r w:rsidR="00EE63A6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Чановского района.</w:t>
      </w:r>
    </w:p>
    <w:p w:rsidR="00763C56" w:rsidRDefault="00763C56" w:rsidP="00763C56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1.3.Характеристика негативных эффектов, возникающих в связи с наличием проблемы, их количественная оценка: н</w:t>
      </w:r>
      <w:r w:rsidRPr="003B0A35">
        <w:t>ет</w:t>
      </w:r>
      <w:r>
        <w:rPr>
          <w:highlight w:val="yellow"/>
        </w:rPr>
        <w:t xml:space="preserve"> </w:t>
      </w:r>
    </w:p>
    <w:p w:rsidR="00763C56" w:rsidRPr="00DC3C44" w:rsidRDefault="00763C56" w:rsidP="00763C56">
      <w:pPr>
        <w:pStyle w:val="ConsPlusNormal"/>
        <w:spacing w:before="220"/>
        <w:ind w:firstLine="540"/>
        <w:jc w:val="both"/>
      </w:pPr>
      <w:r w:rsidRPr="00326C20">
        <w:t xml:space="preserve">2.1.Формулировка проблемы: </w:t>
      </w:r>
      <w:r w:rsidRPr="000F0953">
        <w:t>Настоящее Положение применяется при размещении нестационарных</w:t>
      </w:r>
      <w:r>
        <w:t xml:space="preserve"> торговых</w:t>
      </w:r>
      <w:r w:rsidRPr="000F0953">
        <w:t xml:space="preserve"> объектов на земельных участках, находящихся в муниципальной собственности, а также земельных участках, государственная собственность на которые не разграничена.</w:t>
      </w:r>
    </w:p>
    <w:p w:rsidR="00763C56" w:rsidRPr="0092778E" w:rsidRDefault="00763C56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</w:p>
    <w:p w:rsidR="0092778E" w:rsidRPr="0092778E" w:rsidRDefault="0092778E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</w:p>
    <w:p w:rsidR="0092778E" w:rsidRPr="0092778E" w:rsidRDefault="0092778E" w:rsidP="0092778E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2. Предлагаемое регулирование</w:t>
      </w:r>
    </w:p>
    <w:p w:rsidR="0092778E" w:rsidRPr="0092778E" w:rsidRDefault="0092778E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2.1. Описание предлагаемого регулирования</w:t>
      </w:r>
    </w:p>
    <w:p w:rsidR="0092778E" w:rsidRPr="0092778E" w:rsidRDefault="00EE63A6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63C56">
        <w:rPr>
          <w:rFonts w:ascii="Times New Roman" w:hAnsi="Times New Roman" w:cs="Times New Roman"/>
          <w:sz w:val="28"/>
          <w:szCs w:val="28"/>
        </w:rPr>
        <w:t>Размещение</w:t>
      </w:r>
      <w:r w:rsidRPr="00EE63A6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земельных участках, в зданиях, строениях, сооружениях, находящихся в государственной </w:t>
      </w:r>
      <w:r w:rsidRPr="00EE63A6">
        <w:rPr>
          <w:rFonts w:ascii="Times New Roman" w:hAnsi="Times New Roman" w:cs="Times New Roman"/>
          <w:sz w:val="28"/>
          <w:szCs w:val="28"/>
        </w:rPr>
        <w:lastRenderedPageBreak/>
        <w:t>собственности или муниципальной собственности</w:t>
      </w:r>
      <w:r w:rsidR="00763C56">
        <w:rPr>
          <w:rFonts w:ascii="Times New Roman" w:hAnsi="Times New Roman" w:cs="Times New Roman"/>
          <w:sz w:val="28"/>
          <w:szCs w:val="28"/>
        </w:rPr>
        <w:t xml:space="preserve"> </w:t>
      </w:r>
      <w:r w:rsidRPr="00EE63A6">
        <w:rPr>
          <w:rFonts w:ascii="Times New Roman" w:hAnsi="Times New Roman" w:cs="Times New Roman"/>
          <w:sz w:val="28"/>
          <w:szCs w:val="28"/>
        </w:rPr>
        <w:t xml:space="preserve">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объектов. </w:t>
      </w:r>
    </w:p>
    <w:p w:rsidR="0092778E" w:rsidRPr="0092778E" w:rsidRDefault="0092778E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i/>
          <w:sz w:val="28"/>
          <w:szCs w:val="28"/>
        </w:rPr>
      </w:pPr>
    </w:p>
    <w:p w:rsidR="00313287" w:rsidRPr="0092778E" w:rsidRDefault="0092778E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2.2. Обоснование соответствия целей предлагаемого регулирования программным документам нормативного характера</w:t>
      </w:r>
      <w:r w:rsidR="00313287">
        <w:rPr>
          <w:rFonts w:ascii="Times New Roman" w:hAnsi="Times New Roman" w:cs="Times New Roman"/>
          <w:sz w:val="28"/>
          <w:szCs w:val="28"/>
        </w:rPr>
        <w:t>:</w:t>
      </w:r>
      <w:r w:rsidR="00F920D2">
        <w:rPr>
          <w:rFonts w:ascii="Times New Roman" w:hAnsi="Times New Roman" w:cs="Times New Roman"/>
          <w:sz w:val="28"/>
          <w:szCs w:val="28"/>
        </w:rPr>
        <w:t xml:space="preserve"> В соответствии с Порядком разработки и утверждения органами местного самоуправления в Новосибирской области схемы размещения нестационарных торговых объектов, утвержденным приказом Министерства промышленности, торговли и развития предпринимательства новосибирской области от 24.01.2011 № 10. </w:t>
      </w:r>
    </w:p>
    <w:p w:rsidR="0092778E" w:rsidRPr="0092778E" w:rsidRDefault="0092778E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92778E" w:rsidRPr="0092778E" w:rsidRDefault="0092778E" w:rsidP="0092778E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after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3. Заинтересованные лица</w:t>
      </w:r>
    </w:p>
    <w:p w:rsidR="007C1DAF" w:rsidRPr="00F51BC9" w:rsidRDefault="0092778E" w:rsidP="007C1DAF">
      <w:pPr>
        <w:ind w:firstLine="567"/>
        <w:jc w:val="both"/>
      </w:pPr>
      <w:bookmarkStart w:id="0" w:name="bookmark6"/>
      <w:r w:rsidRPr="0092778E">
        <w:t>3.1. </w:t>
      </w:r>
      <w:bookmarkEnd w:id="0"/>
      <w:r w:rsidR="007C1DAF">
        <w:t xml:space="preserve">- </w:t>
      </w:r>
      <w:r w:rsidR="007C1DAF" w:rsidRPr="00F51BC9">
        <w:t>Индивидуальные предприниматели, физические и юридические лица, заинтересованные в пользовании нестационарными то</w:t>
      </w:r>
      <w:r w:rsidR="007C1DAF">
        <w:t>р</w:t>
      </w:r>
      <w:r w:rsidR="007C1DAF" w:rsidRPr="00F51BC9">
        <w:t>говыми объектами</w:t>
      </w:r>
    </w:p>
    <w:p w:rsidR="0092778E" w:rsidRPr="0092778E" w:rsidRDefault="0092778E" w:rsidP="007C1DAF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after="0"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2778E" w:rsidRPr="0092778E" w:rsidRDefault="0092778E" w:rsidP="0092778E">
      <w:pPr>
        <w:pStyle w:val="2"/>
        <w:shd w:val="clear" w:color="auto" w:fill="auto"/>
        <w:tabs>
          <w:tab w:val="left" w:pos="973"/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3.2. Вводимые или изменяемые обязанности, ограничения субъектов предпринимательской (инвестиционной) деятельности, требования к ним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00"/>
        <w:gridCol w:w="3293"/>
        <w:gridCol w:w="3323"/>
      </w:tblGrid>
      <w:tr w:rsidR="0092778E" w:rsidRPr="0092778E" w:rsidTr="00814A6F">
        <w:tc>
          <w:tcPr>
            <w:tcW w:w="3300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293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323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92778E" w:rsidRPr="0092778E" w:rsidTr="00814A6F">
        <w:tc>
          <w:tcPr>
            <w:tcW w:w="9916" w:type="dxa"/>
            <w:gridSpan w:val="3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Fonts w:ascii="Times New Roman" w:hAnsi="Times New Roman" w:cs="Times New Roman"/>
                <w:b/>
                <w:sz w:val="24"/>
                <w:szCs w:val="24"/>
              </w:rPr>
              <w:t>Группа участников (по пункту 3.1)</w:t>
            </w:r>
          </w:p>
        </w:tc>
      </w:tr>
      <w:tr w:rsidR="00814A6F" w:rsidRPr="0092778E" w:rsidTr="00E8712A">
        <w:tc>
          <w:tcPr>
            <w:tcW w:w="9916" w:type="dxa"/>
            <w:gridSpan w:val="3"/>
          </w:tcPr>
          <w:p w:rsidR="00814A6F" w:rsidRPr="0092778E" w:rsidRDefault="00814A6F" w:rsidP="00814A6F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92778E" w:rsidRPr="0092778E" w:rsidRDefault="0092778E" w:rsidP="0092778E">
      <w:pPr>
        <w:pStyle w:val="2"/>
        <w:shd w:val="clear" w:color="auto" w:fill="auto"/>
        <w:tabs>
          <w:tab w:val="left" w:pos="973"/>
          <w:tab w:val="left" w:pos="1560"/>
          <w:tab w:val="left" w:pos="3261"/>
        </w:tabs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92778E" w:rsidRPr="0092778E" w:rsidRDefault="0092778E" w:rsidP="0092778E">
      <w:pPr>
        <w:pStyle w:val="2"/>
        <w:shd w:val="clear" w:color="auto" w:fill="auto"/>
        <w:tabs>
          <w:tab w:val="left" w:pos="973"/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3.3. Новые, изменяемые или отменяемые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6"/>
        <w:gridCol w:w="2252"/>
        <w:gridCol w:w="2586"/>
        <w:gridCol w:w="2862"/>
      </w:tblGrid>
      <w:tr w:rsidR="0092778E" w:rsidRPr="0092778E" w:rsidTr="00814A6F">
        <w:tc>
          <w:tcPr>
            <w:tcW w:w="2216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Функция, полномочия, право, обязанность</w:t>
            </w:r>
          </w:p>
        </w:tc>
        <w:tc>
          <w:tcPr>
            <w:tcW w:w="2252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Характер</w:t>
            </w:r>
          </w:p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Style w:val="a7"/>
                <w:rFonts w:cs="Times New Roman"/>
                <w:bCs/>
                <w:i w:val="0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воздействия</w:t>
            </w:r>
          </w:p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92778E">
              <w:rPr>
                <w:rStyle w:val="1"/>
                <w:rFonts w:cs="Times New Roman"/>
                <w:b/>
              </w:rPr>
              <w:t>(Введение/ Изменение/ Отмена)</w:t>
            </w:r>
          </w:p>
        </w:tc>
        <w:tc>
          <w:tcPr>
            <w:tcW w:w="2586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Предполагаемый</w:t>
            </w:r>
          </w:p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порядок</w:t>
            </w:r>
          </w:p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реализации</w:t>
            </w:r>
          </w:p>
        </w:tc>
        <w:tc>
          <w:tcPr>
            <w:tcW w:w="2862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Расходы</w:t>
            </w:r>
            <w:r w:rsidRPr="0092778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 xml:space="preserve"> консолидированного бюджета Новосибирской области</w:t>
            </w:r>
          </w:p>
        </w:tc>
      </w:tr>
      <w:tr w:rsidR="0092778E" w:rsidRPr="0092778E" w:rsidTr="00814A6F">
        <w:tc>
          <w:tcPr>
            <w:tcW w:w="9916" w:type="dxa"/>
            <w:gridSpan w:val="4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iCs/>
                <w:sz w:val="24"/>
                <w:szCs w:val="24"/>
              </w:rPr>
              <w:t>Органы местного самоуправления</w:t>
            </w:r>
          </w:p>
        </w:tc>
      </w:tr>
      <w:tr w:rsidR="00814A6F" w:rsidRPr="0092778E" w:rsidTr="00366435">
        <w:tc>
          <w:tcPr>
            <w:tcW w:w="9916" w:type="dxa"/>
            <w:gridSpan w:val="4"/>
          </w:tcPr>
          <w:p w:rsidR="00814A6F" w:rsidRPr="0092778E" w:rsidRDefault="00814A6F" w:rsidP="00814A6F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92778E" w:rsidRPr="0092778E" w:rsidRDefault="0092778E" w:rsidP="0092778E">
      <w:pPr>
        <w:pStyle w:val="2"/>
        <w:shd w:val="clear" w:color="auto" w:fill="auto"/>
        <w:tabs>
          <w:tab w:val="left" w:pos="973"/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i/>
          <w:sz w:val="28"/>
          <w:szCs w:val="28"/>
        </w:rPr>
      </w:pPr>
    </w:p>
    <w:p w:rsidR="0092778E" w:rsidRPr="00814A6F" w:rsidRDefault="0092778E" w:rsidP="00814A6F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3.4. Описание расходов бюджета Чановского района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</w:t>
      </w:r>
      <w:r w:rsidRPr="00814A6F">
        <w:rPr>
          <w:rFonts w:ascii="Times New Roman" w:hAnsi="Times New Roman" w:cs="Times New Roman"/>
          <w:sz w:val="28"/>
          <w:szCs w:val="28"/>
        </w:rPr>
        <w:t>)</w:t>
      </w:r>
      <w:r w:rsidR="00814A6F" w:rsidRPr="00814A6F">
        <w:rPr>
          <w:rFonts w:ascii="Times New Roman" w:hAnsi="Times New Roman" w:cs="Times New Roman"/>
          <w:sz w:val="28"/>
          <w:szCs w:val="28"/>
        </w:rPr>
        <w:t>: отсутствуют</w:t>
      </w:r>
    </w:p>
    <w:p w:rsidR="0092778E" w:rsidRPr="0092778E" w:rsidRDefault="0092778E" w:rsidP="0092778E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i/>
          <w:sz w:val="28"/>
          <w:szCs w:val="28"/>
        </w:rPr>
      </w:pPr>
    </w:p>
    <w:p w:rsidR="0092778E" w:rsidRPr="0092778E" w:rsidRDefault="0092778E" w:rsidP="0092778E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3.5. Описание расходов бюджета Чановского района на организационно-технические, методологические и иные мероприятия</w:t>
      </w:r>
      <w:r w:rsidR="00814A6F">
        <w:rPr>
          <w:rFonts w:ascii="Times New Roman" w:hAnsi="Times New Roman" w:cs="Times New Roman"/>
          <w:sz w:val="28"/>
          <w:szCs w:val="28"/>
        </w:rPr>
        <w:t>: отсутствуют</w:t>
      </w:r>
    </w:p>
    <w:p w:rsidR="0092778E" w:rsidRPr="0092778E" w:rsidRDefault="0092778E" w:rsidP="0092778E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line="240" w:lineRule="auto"/>
        <w:ind w:left="20"/>
        <w:rPr>
          <w:rFonts w:ascii="Times New Roman" w:hAnsi="Times New Roman" w:cs="Times New Roman"/>
          <w:i/>
          <w:sz w:val="28"/>
          <w:szCs w:val="28"/>
        </w:rPr>
      </w:pPr>
    </w:p>
    <w:p w:rsidR="0092778E" w:rsidRPr="0092778E" w:rsidRDefault="0092778E" w:rsidP="0092778E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3.6. Оценка возможных поступлений бюджета Чановского района Новосибирской области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2"/>
        <w:gridCol w:w="3303"/>
        <w:gridCol w:w="3331"/>
      </w:tblGrid>
      <w:tr w:rsidR="0092778E" w:rsidRPr="0092778E" w:rsidTr="00EF7B18">
        <w:tc>
          <w:tcPr>
            <w:tcW w:w="3466" w:type="dxa"/>
            <w:vAlign w:val="center"/>
          </w:tcPr>
          <w:p w:rsidR="0092778E" w:rsidRPr="0092778E" w:rsidRDefault="0092778E" w:rsidP="00EF7B18">
            <w:pPr>
              <w:pStyle w:val="2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бюджета бюджетной системы</w:t>
            </w:r>
          </w:p>
        </w:tc>
        <w:tc>
          <w:tcPr>
            <w:tcW w:w="3468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Источник поступлений</w:t>
            </w:r>
          </w:p>
        </w:tc>
        <w:tc>
          <w:tcPr>
            <w:tcW w:w="3470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Количественная оценка и периодичность возможных </w:t>
            </w:r>
            <w:r w:rsidRPr="00927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поступлений</w:t>
            </w:r>
          </w:p>
        </w:tc>
      </w:tr>
      <w:tr w:rsidR="0092778E" w:rsidRPr="0092778E" w:rsidTr="00EF7B18">
        <w:tc>
          <w:tcPr>
            <w:tcW w:w="3466" w:type="dxa"/>
          </w:tcPr>
          <w:p w:rsidR="0092778E" w:rsidRDefault="0092778E" w:rsidP="00EF7B18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A6F" w:rsidRPr="0092778E" w:rsidRDefault="00814A6F" w:rsidP="00EF7B18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платежи</w:t>
            </w:r>
          </w:p>
        </w:tc>
        <w:tc>
          <w:tcPr>
            <w:tcW w:w="3468" w:type="dxa"/>
          </w:tcPr>
          <w:p w:rsidR="0092778E" w:rsidRPr="0092778E" w:rsidRDefault="00814A6F" w:rsidP="00EF7B18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поступления доходов: арендная плата на земельный налог</w:t>
            </w:r>
          </w:p>
        </w:tc>
        <w:tc>
          <w:tcPr>
            <w:tcW w:w="3470" w:type="dxa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78E" w:rsidRPr="0092778E" w:rsidRDefault="0092778E" w:rsidP="0092778E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line="240" w:lineRule="auto"/>
        <w:ind w:left="20"/>
        <w:rPr>
          <w:rFonts w:ascii="Times New Roman" w:hAnsi="Times New Roman" w:cs="Times New Roman"/>
          <w:i/>
          <w:sz w:val="28"/>
          <w:szCs w:val="28"/>
        </w:rPr>
      </w:pPr>
    </w:p>
    <w:p w:rsidR="0092778E" w:rsidRPr="0092778E" w:rsidRDefault="0092778E" w:rsidP="0092778E">
      <w:pPr>
        <w:ind w:left="20" w:firstLine="547"/>
        <w:jc w:val="both"/>
      </w:pPr>
      <w:r w:rsidRPr="0092778E">
        <w:t>3.7. Обоснование</w:t>
      </w:r>
      <w:r w:rsidRPr="0092778E">
        <w:tab/>
        <w:t xml:space="preserve">количественной оценки поступлений </w:t>
      </w:r>
      <w:r w:rsidR="00814A6F">
        <w:t xml:space="preserve">в </w:t>
      </w:r>
      <w:r w:rsidRPr="0092778E">
        <w:t>бюджет Чановского района Новосибирской области</w:t>
      </w:r>
    </w:p>
    <w:p w:rsidR="0092778E" w:rsidRPr="0092778E" w:rsidRDefault="00814A6F" w:rsidP="0092778E">
      <w:pPr>
        <w:tabs>
          <w:tab w:val="left" w:pos="1560"/>
          <w:tab w:val="left" w:pos="3261"/>
        </w:tabs>
        <w:ind w:left="20"/>
        <w:jc w:val="both"/>
      </w:pPr>
      <w:r>
        <w:t xml:space="preserve">Количественная оценка зависит от  суммы арендной платы за арендуемый земельный участок. </w:t>
      </w:r>
    </w:p>
    <w:p w:rsidR="0092778E" w:rsidRPr="0092778E" w:rsidRDefault="0092778E" w:rsidP="0092778E">
      <w:pPr>
        <w:ind w:firstLine="567"/>
        <w:jc w:val="both"/>
        <w:rPr>
          <w:i/>
        </w:rPr>
      </w:pPr>
    </w:p>
    <w:p w:rsidR="0092778E" w:rsidRPr="0092778E" w:rsidRDefault="00814A6F" w:rsidP="0092778E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778E" w:rsidRPr="0092778E">
        <w:rPr>
          <w:rFonts w:ascii="Times New Roman" w:hAnsi="Times New Roman" w:cs="Times New Roman"/>
          <w:sz w:val="28"/>
          <w:szCs w:val="28"/>
        </w:rPr>
        <w:t>. Порядок введения регулирования</w:t>
      </w:r>
    </w:p>
    <w:p w:rsidR="0092778E" w:rsidRPr="0092778E" w:rsidRDefault="00814A6F" w:rsidP="0092778E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after="0" w:line="240" w:lineRule="auto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92778E" w:rsidRPr="0092778E">
        <w:rPr>
          <w:rFonts w:ascii="Times New Roman" w:hAnsi="Times New Roman" w:cs="Times New Roman"/>
          <w:b w:val="0"/>
          <w:sz w:val="28"/>
          <w:szCs w:val="28"/>
        </w:rPr>
        <w:t>.1. Обоснование (отсутствия) необходимости установления переходного периода</w:t>
      </w:r>
    </w:p>
    <w:p w:rsidR="0092778E" w:rsidRPr="0092778E" w:rsidRDefault="00814A6F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Необходимости установления переходного периода или отсрочки введения предлагаемого регулирования нет. </w:t>
      </w:r>
    </w:p>
    <w:p w:rsidR="0092778E" w:rsidRPr="0092778E" w:rsidRDefault="0092778E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2778E" w:rsidRPr="0092778E" w:rsidRDefault="00814A6F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778E" w:rsidRPr="0092778E">
        <w:rPr>
          <w:rFonts w:ascii="Times New Roman" w:hAnsi="Times New Roman" w:cs="Times New Roman"/>
          <w:sz w:val="28"/>
          <w:szCs w:val="28"/>
        </w:rPr>
        <w:t>.2. Обоснование (отсутствия) необходимости распространения предлагаемого регулирования на ранее возникшие отношения</w:t>
      </w:r>
    </w:p>
    <w:p w:rsidR="0092778E" w:rsidRPr="0092778E" w:rsidRDefault="00080903" w:rsidP="0092778E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 необходимость распространения предлагаемого регулирования на ранее возникшие отношения.</w:t>
      </w:r>
    </w:p>
    <w:p w:rsidR="0092778E" w:rsidRPr="0092778E" w:rsidRDefault="00814A6F" w:rsidP="0092778E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778E" w:rsidRPr="0092778E">
        <w:rPr>
          <w:rFonts w:ascii="Times New Roman" w:hAnsi="Times New Roman" w:cs="Times New Roman"/>
          <w:sz w:val="28"/>
          <w:szCs w:val="28"/>
        </w:rPr>
        <w:t>.3. Предполагаемая дата вступления в силу проекта акта</w:t>
      </w:r>
    </w:p>
    <w:p w:rsidR="0092778E" w:rsidRPr="0092778E" w:rsidRDefault="00080903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подписания нормативного правового акта.</w:t>
      </w:r>
    </w:p>
    <w:p w:rsidR="0092778E" w:rsidRPr="0092778E" w:rsidRDefault="0092778E" w:rsidP="0092778E">
      <w:pPr>
        <w:pStyle w:val="ConsPlusNormal"/>
        <w:jc w:val="both"/>
        <w:rPr>
          <w:color w:val="000000"/>
        </w:rPr>
      </w:pPr>
    </w:p>
    <w:p w:rsidR="0092778E" w:rsidRPr="0092778E" w:rsidRDefault="0092778E" w:rsidP="0092778E">
      <w:pPr>
        <w:pStyle w:val="ConsPlusNormal"/>
        <w:ind w:firstLine="567"/>
        <w:jc w:val="both"/>
      </w:pPr>
      <w:r w:rsidRPr="0092778E">
        <w:rPr>
          <w:b/>
        </w:rPr>
        <w:t>6. Иные сведения, которые, по мнению разработчика акта, позволяют оценить обоснованность предлагаемого регулирования</w:t>
      </w:r>
    </w:p>
    <w:p w:rsidR="0092778E" w:rsidRPr="0092778E" w:rsidRDefault="00080903" w:rsidP="0092778E">
      <w:pPr>
        <w:pStyle w:val="ConsPlusNormal"/>
        <w:jc w:val="both"/>
        <w:sectPr w:rsidR="0092778E" w:rsidRPr="0092778E" w:rsidSect="00EA2929">
          <w:pgSz w:w="11909" w:h="16838"/>
          <w:pgMar w:top="426" w:right="749" w:bottom="851" w:left="1440" w:header="0" w:footer="6" w:gutter="0"/>
          <w:cols w:space="720"/>
        </w:sectPr>
      </w:pPr>
      <w:r>
        <w:t>Отсутствуют.</w:t>
      </w:r>
    </w:p>
    <w:p w:rsidR="0092778E" w:rsidRPr="0092778E" w:rsidRDefault="0092778E" w:rsidP="0092778E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78E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Pr="0092778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2778E">
        <w:rPr>
          <w:rFonts w:ascii="Times New Roman" w:hAnsi="Times New Roman" w:cs="Times New Roman"/>
          <w:b/>
          <w:sz w:val="28"/>
          <w:szCs w:val="28"/>
        </w:rPr>
        <w:t>. Обоснование проблем и способы их решения</w:t>
      </w:r>
    </w:p>
    <w:p w:rsidR="0092778E" w:rsidRPr="0092778E" w:rsidRDefault="0092778E" w:rsidP="0092778E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" w:name="bookmark7"/>
      <w:r w:rsidRPr="0092778E">
        <w:rPr>
          <w:rFonts w:ascii="Times New Roman" w:hAnsi="Times New Roman" w:cs="Times New Roman"/>
          <w:b/>
          <w:sz w:val="28"/>
          <w:szCs w:val="28"/>
        </w:rPr>
        <w:t>1. Описание проблем, негативных эффектов и их обоснование</w:t>
      </w:r>
      <w:bookmarkEnd w:id="1"/>
    </w:p>
    <w:p w:rsidR="0092778E" w:rsidRPr="0092778E" w:rsidRDefault="0092778E" w:rsidP="0092778E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778E">
        <w:rPr>
          <w:rFonts w:ascii="Times New Roman" w:hAnsi="Times New Roman" w:cs="Times New Roman"/>
          <w:b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0"/>
        <w:gridCol w:w="2945"/>
        <w:gridCol w:w="2430"/>
        <w:gridCol w:w="2387"/>
        <w:gridCol w:w="2335"/>
      </w:tblGrid>
      <w:tr w:rsidR="0092778E" w:rsidRPr="0092778E" w:rsidTr="00EF7B18">
        <w:tc>
          <w:tcPr>
            <w:tcW w:w="959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977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проблемы</w:t>
            </w:r>
          </w:p>
        </w:tc>
        <w:tc>
          <w:tcPr>
            <w:tcW w:w="2835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Fonts w:ascii="Times New Roman" w:hAnsi="Times New Roman" w:cs="Times New Roman"/>
                <w:b/>
                <w:sz w:val="24"/>
                <w:szCs w:val="24"/>
              </w:rPr>
              <w:t>Негативные эффекты</w:t>
            </w:r>
          </w:p>
        </w:tc>
        <w:tc>
          <w:tcPr>
            <w:tcW w:w="3620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негативных эффектов</w:t>
            </w:r>
          </w:p>
        </w:tc>
      </w:tr>
      <w:tr w:rsidR="0092778E" w:rsidRPr="0092778E" w:rsidTr="00EF7B18">
        <w:tc>
          <w:tcPr>
            <w:tcW w:w="959" w:type="dxa"/>
          </w:tcPr>
          <w:p w:rsidR="0092778E" w:rsidRPr="0092778E" w:rsidRDefault="00080903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92778E" w:rsidRPr="0092778E" w:rsidRDefault="007C1DAF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порядка предоставления</w:t>
            </w:r>
            <w:r w:rsidR="00080903">
              <w:rPr>
                <w:rFonts w:ascii="Times New Roman" w:hAnsi="Times New Roman" w:cs="Times New Roman"/>
                <w:sz w:val="28"/>
                <w:szCs w:val="28"/>
              </w:rPr>
              <w:t xml:space="preserve"> мест нестационарных торговых объектов на территории Чановского района Новосибирской области</w:t>
            </w:r>
          </w:p>
        </w:tc>
        <w:tc>
          <w:tcPr>
            <w:tcW w:w="2977" w:type="dxa"/>
          </w:tcPr>
          <w:p w:rsidR="0092778E" w:rsidRPr="00EB5986" w:rsidRDefault="00EB5986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8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использования мест для размещения нестационарных торговых объектов, находящихся в муниципальной собственности Чановского района. </w:t>
            </w:r>
          </w:p>
        </w:tc>
        <w:tc>
          <w:tcPr>
            <w:tcW w:w="2835" w:type="dxa"/>
          </w:tcPr>
          <w:p w:rsidR="0092778E" w:rsidRPr="00EB5986" w:rsidRDefault="00080903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86">
              <w:rPr>
                <w:rFonts w:ascii="Times New Roman" w:hAnsi="Times New Roman" w:cs="Times New Roman"/>
                <w:sz w:val="28"/>
                <w:szCs w:val="28"/>
              </w:rPr>
              <w:t xml:space="preserve">Неэффективное использование мест для размещения нестационарных торговых объектов. </w:t>
            </w:r>
          </w:p>
        </w:tc>
        <w:tc>
          <w:tcPr>
            <w:tcW w:w="3620" w:type="dxa"/>
          </w:tcPr>
          <w:p w:rsidR="0092778E" w:rsidRPr="00EB5986" w:rsidRDefault="00EB5986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8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92778E" w:rsidRPr="0092778E" w:rsidRDefault="0092778E" w:rsidP="0092778E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778E" w:rsidRPr="0092778E" w:rsidRDefault="0092778E" w:rsidP="0092778E">
      <w:pPr>
        <w:pStyle w:val="23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9"/>
      <w:r w:rsidRPr="0092778E">
        <w:rPr>
          <w:rFonts w:ascii="Times New Roman" w:hAnsi="Times New Roman" w:cs="Times New Roman"/>
          <w:sz w:val="28"/>
          <w:szCs w:val="28"/>
        </w:rPr>
        <w:t>2. Описание иных способов решения заявленных проблем</w:t>
      </w:r>
      <w:bookmarkEnd w:id="2"/>
    </w:p>
    <w:p w:rsidR="0092778E" w:rsidRPr="0092778E" w:rsidRDefault="0092778E" w:rsidP="0092778E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ind w:left="20" w:firstLine="547"/>
        <w:rPr>
          <w:rStyle w:val="a8"/>
          <w:rFonts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 xml:space="preserve">заявленные проблемы могут быть решены также иными </w:t>
      </w:r>
      <w:r w:rsidRPr="0092778E">
        <w:rPr>
          <w:rStyle w:val="a8"/>
          <w:rFonts w:cs="Times New Roman"/>
          <w:sz w:val="28"/>
          <w:szCs w:val="28"/>
        </w:rPr>
        <w:t xml:space="preserve">способами (в том числе </w:t>
      </w:r>
      <w:r w:rsidRPr="0092778E">
        <w:rPr>
          <w:rStyle w:val="a8"/>
          <w:rFonts w:cs="Times New Roman"/>
          <w:sz w:val="28"/>
          <w:szCs w:val="28"/>
        </w:rPr>
        <w:lastRenderedPageBreak/>
        <w:t>без введения нового регулирования)</w:t>
      </w:r>
      <w:r w:rsidRPr="0092778E">
        <w:rPr>
          <w:rStyle w:val="a6"/>
          <w:rFonts w:ascii="Times New Roman" w:hAnsi="Times New Roman" w:cs="Times New Roman"/>
        </w:rPr>
        <w:footnoteReference w:id="3"/>
      </w:r>
      <w:r w:rsidRPr="0092778E">
        <w:rPr>
          <w:rStyle w:val="a8"/>
          <w:rFonts w:cs="Times New Roman"/>
          <w:sz w:val="28"/>
          <w:szCs w:val="28"/>
        </w:rPr>
        <w:t>:</w:t>
      </w:r>
    </w:p>
    <w:p w:rsidR="0092778E" w:rsidRPr="0092778E" w:rsidRDefault="0092778E" w:rsidP="0092778E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jc w:val="right"/>
        <w:rPr>
          <w:rStyle w:val="a8"/>
          <w:rFonts w:cs="Times New Roman"/>
          <w:b/>
          <w:sz w:val="28"/>
          <w:szCs w:val="28"/>
        </w:rPr>
      </w:pPr>
      <w:r w:rsidRPr="0092778E">
        <w:rPr>
          <w:rStyle w:val="a8"/>
          <w:rFonts w:cs="Times New Roman"/>
          <w:b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7"/>
        <w:gridCol w:w="2160"/>
        <w:gridCol w:w="3671"/>
        <w:gridCol w:w="2269"/>
      </w:tblGrid>
      <w:tr w:rsidR="0092778E" w:rsidRPr="0092778E" w:rsidTr="00EF7B18">
        <w:tc>
          <w:tcPr>
            <w:tcW w:w="3369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2778E">
              <w:rPr>
                <w:rFonts w:ascii="Times New Roman" w:hAnsi="Times New Roman" w:cs="Times New Roman"/>
                <w:b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5812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Примечания</w:t>
            </w:r>
          </w:p>
        </w:tc>
      </w:tr>
      <w:tr w:rsidR="00EB5986" w:rsidRPr="0092778E" w:rsidTr="004C7B1A">
        <w:tc>
          <w:tcPr>
            <w:tcW w:w="15069" w:type="dxa"/>
            <w:gridSpan w:val="4"/>
          </w:tcPr>
          <w:p w:rsidR="00EB5986" w:rsidRPr="0092778E" w:rsidRDefault="00EB5986" w:rsidP="00EB5986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92778E" w:rsidRPr="0092778E" w:rsidRDefault="0092778E" w:rsidP="0092778E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92778E" w:rsidRPr="0092778E" w:rsidRDefault="0092778E" w:rsidP="0092778E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3" w:name="bookmark10"/>
      <w:r w:rsidRPr="0092778E">
        <w:rPr>
          <w:rFonts w:ascii="Times New Roman" w:hAnsi="Times New Roman" w:cs="Times New Roman"/>
          <w:bCs/>
          <w:sz w:val="28"/>
          <w:szCs w:val="28"/>
        </w:rPr>
        <w:t>3.</w:t>
      </w:r>
      <w:r w:rsidRPr="0092778E">
        <w:rPr>
          <w:rFonts w:ascii="Times New Roman" w:hAnsi="Times New Roman" w:cs="Times New Roman"/>
          <w:bCs/>
          <w:i/>
          <w:sz w:val="28"/>
          <w:szCs w:val="28"/>
        </w:rPr>
        <w:t> </w:t>
      </w:r>
      <w:r w:rsidRPr="0092778E">
        <w:rPr>
          <w:rFonts w:ascii="Times New Roman" w:hAnsi="Times New Roman" w:cs="Times New Roman"/>
          <w:sz w:val="28"/>
          <w:szCs w:val="28"/>
        </w:rPr>
        <w:t>Способы решения заявленных проблем без введения нового регулирования</w:t>
      </w:r>
      <w:bookmarkEnd w:id="3"/>
    </w:p>
    <w:p w:rsidR="0092778E" w:rsidRPr="0092778E" w:rsidRDefault="0092778E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Следующие из перечисленных в таблицах</w:t>
      </w:r>
      <w:hyperlink r:id="rId8" w:anchor="bookmark8" w:tooltip="Current Document" w:history="1">
        <w:r w:rsidRPr="0092778E">
          <w:rPr>
            <w:rStyle w:val="a9"/>
            <w:rFonts w:ascii="Times New Roman" w:hAnsi="Times New Roman"/>
            <w:sz w:val="28"/>
            <w:szCs w:val="28"/>
          </w:rPr>
          <w:t xml:space="preserve"> 2</w:t>
        </w:r>
      </w:hyperlink>
      <w:r w:rsidRPr="0092778E">
        <w:rPr>
          <w:rFonts w:ascii="Times New Roman" w:hAnsi="Times New Roman" w:cs="Times New Roman"/>
          <w:sz w:val="28"/>
          <w:szCs w:val="28"/>
        </w:rPr>
        <w:t>, настоящей части способов решения заявленных проблем не требуют введения нового регулирования:</w:t>
      </w:r>
    </w:p>
    <w:p w:rsidR="0092778E" w:rsidRPr="0092778E" w:rsidRDefault="0092778E" w:rsidP="0092778E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778E">
        <w:rPr>
          <w:rFonts w:ascii="Times New Roman" w:hAnsi="Times New Roman" w:cs="Times New Roman"/>
          <w:b/>
          <w:sz w:val="28"/>
          <w:szCs w:val="28"/>
        </w:rPr>
        <w:t>Таблица 3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8"/>
        <w:gridCol w:w="2411"/>
        <w:gridCol w:w="2720"/>
        <w:gridCol w:w="2668"/>
      </w:tblGrid>
      <w:tr w:rsidR="0092778E" w:rsidRPr="0092778E" w:rsidTr="00EF7B18">
        <w:tc>
          <w:tcPr>
            <w:tcW w:w="4057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Таблица и номер способа решения проблемы</w:t>
            </w:r>
          </w:p>
        </w:tc>
        <w:tc>
          <w:tcPr>
            <w:tcW w:w="3833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Style w:val="a7"/>
                <w:rFonts w:cs="Times New Roman"/>
                <w:bCs/>
                <w:i w:val="0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92778E" w:rsidRPr="0092778E" w:rsidRDefault="0092778E" w:rsidP="00EF7B18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8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EB5986" w:rsidRPr="0092778E" w:rsidTr="00574ED2">
        <w:tc>
          <w:tcPr>
            <w:tcW w:w="15333" w:type="dxa"/>
            <w:gridSpan w:val="4"/>
          </w:tcPr>
          <w:p w:rsidR="00EB5986" w:rsidRPr="0092778E" w:rsidRDefault="00EB5986" w:rsidP="00EB5986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92778E" w:rsidRDefault="0092778E" w:rsidP="0092778E">
      <w:pPr>
        <w:rPr>
          <w:i/>
        </w:rPr>
      </w:pPr>
    </w:p>
    <w:p w:rsidR="007C1DAF" w:rsidRPr="00326C20" w:rsidRDefault="007C1DAF" w:rsidP="007C1DAF">
      <w:pPr>
        <w:jc w:val="center"/>
        <w:rPr>
          <w:b/>
        </w:rPr>
      </w:pPr>
      <w:r w:rsidRPr="00326C20">
        <w:rPr>
          <w:b/>
        </w:rPr>
        <w:t xml:space="preserve">7. Результат размещения уведомления </w:t>
      </w:r>
      <w:r>
        <w:rPr>
          <w:b/>
        </w:rPr>
        <w:t>о</w:t>
      </w:r>
      <w:r w:rsidRPr="00326C20">
        <w:rPr>
          <w:b/>
        </w:rPr>
        <w:t xml:space="preserve"> проведени</w:t>
      </w:r>
      <w:r>
        <w:rPr>
          <w:b/>
        </w:rPr>
        <w:t>и</w:t>
      </w:r>
      <w:r w:rsidRPr="00326C20">
        <w:rPr>
          <w:b/>
        </w:rPr>
        <w:t xml:space="preserve"> публичных консультаций по проекту муниципального  нормативного правового акта</w:t>
      </w:r>
    </w:p>
    <w:p w:rsidR="007C1DAF" w:rsidRDefault="007C1DAF" w:rsidP="007C1DAF">
      <w:pPr>
        <w:rPr>
          <w:b/>
        </w:rPr>
      </w:pPr>
    </w:p>
    <w:p w:rsidR="007C1DAF" w:rsidRDefault="007C1DAF" w:rsidP="007C1DAF">
      <w:r>
        <w:t xml:space="preserve">7.1. Информация о сроках размещения уведомления </w:t>
      </w:r>
      <w:r w:rsidRPr="00F138A3">
        <w:t>о  проведении публичных консультаций по проекту муниципально</w:t>
      </w:r>
      <w:r>
        <w:t xml:space="preserve">го  нормативного правового акта на официальном сайте «Электронная демократия Новосибирской области» </w:t>
      </w:r>
      <w:hyperlink r:id="rId9" w:history="1">
        <w:r w:rsidRPr="005D1FD2">
          <w:rPr>
            <w:rStyle w:val="a9"/>
          </w:rPr>
          <w:t>http://dem.nso.ru</w:t>
        </w:r>
      </w:hyperlink>
      <w:r>
        <w:t>, администрации Чановского района Новосибирской области  с 24.05.2019 по 06.06.2019 г.</w:t>
      </w:r>
    </w:p>
    <w:p w:rsidR="007C1DAF" w:rsidRDefault="007C1DAF" w:rsidP="007C1DAF"/>
    <w:p w:rsidR="006B34C8" w:rsidRDefault="006B34C8" w:rsidP="0092778E">
      <w:pPr>
        <w:rPr>
          <w:i/>
        </w:rPr>
      </w:pPr>
    </w:p>
    <w:p w:rsidR="006B34C8" w:rsidRDefault="006B34C8" w:rsidP="0092778E">
      <w:pPr>
        <w:rPr>
          <w:i/>
        </w:rPr>
      </w:pPr>
    </w:p>
    <w:p w:rsidR="006B34C8" w:rsidRPr="0092778E" w:rsidRDefault="006B34C8" w:rsidP="006B3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>Разработчик</w:t>
      </w:r>
    </w:p>
    <w:p w:rsidR="006B34C8" w:rsidRPr="0092778E" w:rsidRDefault="006B34C8" w:rsidP="006B3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34C8" w:rsidRPr="0092778E" w:rsidRDefault="00965FC7" w:rsidP="006B3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Соколова Н.В.              </w:t>
      </w:r>
      <w:r w:rsidR="007C1DAF">
        <w:rPr>
          <w:rFonts w:ascii="Times New Roman" w:hAnsi="Times New Roman" w:cs="Times New Roman"/>
          <w:sz w:val="28"/>
          <w:szCs w:val="28"/>
        </w:rPr>
        <w:t xml:space="preserve">                              23.05.2019</w:t>
      </w:r>
      <w:r w:rsidR="006B34C8" w:rsidRPr="0092778E">
        <w:rPr>
          <w:rFonts w:ascii="Times New Roman" w:hAnsi="Times New Roman" w:cs="Times New Roman"/>
          <w:sz w:val="28"/>
          <w:szCs w:val="28"/>
        </w:rPr>
        <w:t xml:space="preserve">         _________________</w:t>
      </w:r>
    </w:p>
    <w:p w:rsidR="006B34C8" w:rsidRDefault="006B34C8" w:rsidP="006B3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778E">
        <w:rPr>
          <w:rFonts w:ascii="Times New Roman" w:hAnsi="Times New Roman" w:cs="Times New Roman"/>
          <w:sz w:val="28"/>
          <w:szCs w:val="28"/>
        </w:rPr>
        <w:t xml:space="preserve">  (инициалы, фамилия)                                   Дата                                  Подпись</w:t>
      </w:r>
    </w:p>
    <w:p w:rsidR="00E15424" w:rsidRPr="006B34C8" w:rsidRDefault="00E15424" w:rsidP="006B3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E15424" w:rsidRPr="006B34C8" w:rsidSect="006B34C8">
          <w:type w:val="continuous"/>
          <w:pgSz w:w="11909" w:h="16838"/>
          <w:pgMar w:top="1134" w:right="567" w:bottom="567" w:left="851" w:header="283" w:footer="6" w:gutter="0"/>
          <w:cols w:space="720"/>
          <w:docGrid w:linePitch="381"/>
        </w:sectPr>
      </w:pPr>
    </w:p>
    <w:p w:rsidR="00E279E4" w:rsidRDefault="00E279E4" w:rsidP="00E15424"/>
    <w:sectPr w:rsidR="00E279E4" w:rsidSect="00E27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EF4" w:rsidRDefault="00173EF4" w:rsidP="0092778E">
      <w:r>
        <w:separator/>
      </w:r>
    </w:p>
  </w:endnote>
  <w:endnote w:type="continuationSeparator" w:id="1">
    <w:p w:rsidR="00173EF4" w:rsidRDefault="00173EF4" w:rsidP="00927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EF4" w:rsidRDefault="00173EF4" w:rsidP="0092778E">
      <w:r>
        <w:separator/>
      </w:r>
    </w:p>
  </w:footnote>
  <w:footnote w:type="continuationSeparator" w:id="1">
    <w:p w:rsidR="00173EF4" w:rsidRDefault="00173EF4" w:rsidP="0092778E">
      <w:r>
        <w:continuationSeparator/>
      </w:r>
    </w:p>
  </w:footnote>
  <w:footnote w:id="2">
    <w:p w:rsidR="0092778E" w:rsidRDefault="0092778E" w:rsidP="0092778E">
      <w:pPr>
        <w:pStyle w:val="a3"/>
        <w:jc w:val="both"/>
      </w:pPr>
      <w:r>
        <w:rPr>
          <w:rStyle w:val="a6"/>
          <w:rFonts w:eastAsia="Calibri"/>
        </w:rPr>
        <w:footnoteRef/>
      </w:r>
      <w:r>
        <w:rPr>
          <w:rFonts w:ascii="Times New Roman" w:hAnsi="Times New Roman" w:cs="Times New Roman"/>
        </w:rPr>
        <w:t>В случае отмены функций, высвобождения трудовых и иных ресурсов информацию рекомендуется указать в разделе 6.</w:t>
      </w:r>
    </w:p>
  </w:footnote>
  <w:footnote w:id="3">
    <w:p w:rsidR="0092778E" w:rsidRDefault="0092778E" w:rsidP="0092778E">
      <w:pPr>
        <w:pStyle w:val="a3"/>
      </w:pPr>
      <w:r>
        <w:rPr>
          <w:rStyle w:val="a6"/>
          <w:rFonts w:eastAsia="Calibri"/>
        </w:rPr>
        <w:footnoteRef/>
      </w:r>
      <w:r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778E"/>
    <w:rsid w:val="00080903"/>
    <w:rsid w:val="00173EF4"/>
    <w:rsid w:val="00313287"/>
    <w:rsid w:val="004549B1"/>
    <w:rsid w:val="006377ED"/>
    <w:rsid w:val="006B34C8"/>
    <w:rsid w:val="0072166A"/>
    <w:rsid w:val="00763C56"/>
    <w:rsid w:val="007B593B"/>
    <w:rsid w:val="007C1DAF"/>
    <w:rsid w:val="00814A6F"/>
    <w:rsid w:val="0092778E"/>
    <w:rsid w:val="00965FC7"/>
    <w:rsid w:val="00E15424"/>
    <w:rsid w:val="00E279E4"/>
    <w:rsid w:val="00EB5986"/>
    <w:rsid w:val="00EE63A6"/>
    <w:rsid w:val="00F920D2"/>
    <w:rsid w:val="00FC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8E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2778E"/>
    <w:pPr>
      <w:widowControl w:val="0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2778E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9277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5">
    <w:name w:val="Основной текст_"/>
    <w:link w:val="2"/>
    <w:locked/>
    <w:rsid w:val="0092778E"/>
    <w:rPr>
      <w:sz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92778E"/>
    <w:pPr>
      <w:widowControl w:val="0"/>
      <w:shd w:val="clear" w:color="auto" w:fill="FFFFFF"/>
      <w:spacing w:before="180" w:line="322" w:lineRule="exact"/>
      <w:jc w:val="both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3">
    <w:name w:val="Основной текст (3)_"/>
    <w:link w:val="30"/>
    <w:locked/>
    <w:rsid w:val="0092778E"/>
    <w:rPr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2778E"/>
    <w:pPr>
      <w:widowControl w:val="0"/>
      <w:shd w:val="clear" w:color="auto" w:fill="FFFFFF"/>
      <w:spacing w:after="660" w:line="322" w:lineRule="exact"/>
      <w:ind w:firstLine="400"/>
      <w:jc w:val="both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20">
    <w:name w:val="Заголовок №2_"/>
    <w:link w:val="21"/>
    <w:locked/>
    <w:rsid w:val="0092778E"/>
    <w:rPr>
      <w:b/>
      <w:sz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92778E"/>
    <w:pPr>
      <w:widowControl w:val="0"/>
      <w:shd w:val="clear" w:color="auto" w:fill="FFFFFF"/>
      <w:spacing w:before="600" w:after="480" w:line="240" w:lineRule="atLeast"/>
      <w:jc w:val="both"/>
      <w:outlineLvl w:val="1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22">
    <w:name w:val="Подпись к таблице (2)_"/>
    <w:link w:val="23"/>
    <w:locked/>
    <w:rsid w:val="0092778E"/>
    <w:rPr>
      <w:b/>
      <w:sz w:val="26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92778E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paragraph" w:customStyle="1" w:styleId="ConsPlusNormal">
    <w:name w:val="ConsPlusNormal"/>
    <w:link w:val="ConsPlusNormal0"/>
    <w:rsid w:val="009277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footnote reference"/>
    <w:basedOn w:val="a0"/>
    <w:semiHidden/>
    <w:rsid w:val="0092778E"/>
    <w:rPr>
      <w:vertAlign w:val="superscript"/>
    </w:rPr>
  </w:style>
  <w:style w:type="character" w:customStyle="1" w:styleId="1">
    <w:name w:val="Основной текст1"/>
    <w:rsid w:val="0092778E"/>
    <w:rPr>
      <w:rFonts w:ascii="Times New Roman" w:hAnsi="Times New Roman"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a7">
    <w:name w:val="Основной текст + Полужирный"/>
    <w:rsid w:val="0092778E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effect w:val="none"/>
      <w:shd w:val="clear" w:color="auto" w:fill="FFFFFF"/>
      <w:lang w:val="ru-RU" w:eastAsia="ru-RU"/>
    </w:rPr>
  </w:style>
  <w:style w:type="character" w:customStyle="1" w:styleId="a8">
    <w:name w:val="Подпись к таблице"/>
    <w:rsid w:val="0092778E"/>
    <w:rPr>
      <w:rFonts w:ascii="Times New Roman" w:hAnsi="Times New Roman"/>
      <w:color w:val="000000"/>
      <w:spacing w:val="0"/>
      <w:w w:val="100"/>
      <w:position w:val="0"/>
      <w:sz w:val="26"/>
      <w:u w:val="single"/>
      <w:lang w:val="ru-RU" w:eastAsia="ru-RU"/>
    </w:rPr>
  </w:style>
  <w:style w:type="character" w:styleId="a9">
    <w:name w:val="Hyperlink"/>
    <w:basedOn w:val="a0"/>
    <w:rsid w:val="0092778E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6B34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B34C8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B34C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B34C8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763C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rsid w:val="00763C56"/>
    <w:pPr>
      <w:widowControl w:val="0"/>
      <w:suppressAutoHyphens/>
      <w:autoSpaceDE w:val="0"/>
      <w:spacing w:after="120"/>
      <w:ind w:firstLine="720"/>
      <w:jc w:val="both"/>
    </w:pPr>
    <w:rPr>
      <w:rFonts w:ascii="Arial" w:eastAsia="Times New Roman" w:hAnsi="Arial" w:cs="Arial"/>
      <w:sz w:val="20"/>
      <w:szCs w:val="20"/>
      <w:lang w:eastAsia="hi-IN" w:bidi="hi-IN"/>
    </w:rPr>
  </w:style>
  <w:style w:type="character" w:customStyle="1" w:styleId="af">
    <w:name w:val="Основной текст Знак"/>
    <w:basedOn w:val="a0"/>
    <w:link w:val="ae"/>
    <w:rsid w:val="00763C56"/>
    <w:rPr>
      <w:rFonts w:ascii="Arial" w:eastAsia="Times New Roman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&#1052;&#1086;&#1080;%20&#1076;&#1086;&#1082;&#1091;&#1084;&#1077;&#1085;&#1090;&#1099;\&#1041;&#1072;&#1089;&#1072;&#1083;&#1072;&#1077;&#1074;&#1072;\&#1054;&#1056;&#1042;\&#1086;&#1088;&#1074;\&#1055;&#1086;&#1088;&#1103;&#1076;&#1086;&#1082;.do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lev.adm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em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B94F1-8B72-4FD2-AF7E-0D9A40C37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Eko</cp:lastModifiedBy>
  <cp:revision>4</cp:revision>
  <cp:lastPrinted>2017-12-19T07:12:00Z</cp:lastPrinted>
  <dcterms:created xsi:type="dcterms:W3CDTF">2017-12-18T05:37:00Z</dcterms:created>
  <dcterms:modified xsi:type="dcterms:W3CDTF">2019-05-23T10:15:00Z</dcterms:modified>
</cp:coreProperties>
</file>