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0A" w:rsidRPr="006A280A" w:rsidRDefault="006A280A" w:rsidP="006A280A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 проекта муниципального нормативного правового акта</w:t>
      </w: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80A">
        <w:rPr>
          <w:rFonts w:ascii="Times New Roman" w:hAnsi="Times New Roman" w:cs="Times New Roman"/>
          <w:sz w:val="28"/>
          <w:szCs w:val="28"/>
        </w:rPr>
        <w:t>. Общая информация</w:t>
      </w: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117FDF" w:rsidRPr="00117FDF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 xml:space="preserve">1.1. Вид и наименование проекта муниципального нормативного правового акта: </w:t>
      </w:r>
      <w:r w:rsidR="00117FDF" w:rsidRPr="00117FDF">
        <w:rPr>
          <w:rFonts w:ascii="Times New Roman" w:hAnsi="Times New Roman" w:cs="Times New Roman"/>
          <w:sz w:val="28"/>
          <w:szCs w:val="28"/>
        </w:rPr>
        <w:t>п</w:t>
      </w:r>
      <w:r w:rsidR="00117FDF">
        <w:rPr>
          <w:rFonts w:ascii="Times New Roman" w:hAnsi="Times New Roman" w:cs="Times New Roman"/>
          <w:sz w:val="28"/>
          <w:szCs w:val="28"/>
        </w:rPr>
        <w:t>остановление</w:t>
      </w:r>
      <w:r w:rsidR="00117FDF" w:rsidRPr="00117FDF">
        <w:rPr>
          <w:rFonts w:ascii="Times New Roman" w:hAnsi="Times New Roman" w:cs="Times New Roman"/>
          <w:sz w:val="28"/>
          <w:szCs w:val="28"/>
        </w:rPr>
        <w:t xml:space="preserve"> администрации Ново</w:t>
      </w:r>
      <w:r w:rsidR="00117FDF">
        <w:rPr>
          <w:rFonts w:ascii="Times New Roman" w:hAnsi="Times New Roman" w:cs="Times New Roman"/>
          <w:sz w:val="28"/>
          <w:szCs w:val="28"/>
        </w:rPr>
        <w:t>сибирского района Новосибирской </w:t>
      </w:r>
      <w:r w:rsidR="00117FDF" w:rsidRPr="00117FDF">
        <w:rPr>
          <w:rFonts w:ascii="Times New Roman" w:hAnsi="Times New Roman" w:cs="Times New Roman"/>
          <w:sz w:val="28"/>
          <w:szCs w:val="28"/>
        </w:rPr>
        <w:t>области от 21.03.2017 г. № 421-па «Об утверждении административного регламента предоставления муниципальной услуги по продлению срока действия разрешения на строительство».</w:t>
      </w:r>
    </w:p>
    <w:p w:rsidR="006A280A" w:rsidRPr="006A280A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 xml:space="preserve">1.2. Разработчик проекта муниципального нормативного правового акта: </w:t>
      </w:r>
      <w:r w:rsidR="00117FDF" w:rsidRPr="00117FDF">
        <w:rPr>
          <w:rFonts w:ascii="Times New Roman" w:hAnsi="Times New Roman" w:cs="Times New Roman"/>
          <w:sz w:val="28"/>
          <w:szCs w:val="28"/>
        </w:rPr>
        <w:t>Администрация Новосибирского района Новосибирской области (далее – администрация Новосибирского района)</w:t>
      </w:r>
      <w:r w:rsidR="00117FDF">
        <w:rPr>
          <w:rFonts w:ascii="Times New Roman" w:hAnsi="Times New Roman" w:cs="Times New Roman"/>
          <w:sz w:val="28"/>
          <w:szCs w:val="28"/>
        </w:rPr>
        <w:t>.</w:t>
      </w:r>
    </w:p>
    <w:p w:rsidR="006A280A" w:rsidRPr="006A280A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1.3. Контактная информация разработчика проекта муниципального нормативного правового акта (органа, осуществляющего полномочия разработчика акта):</w:t>
      </w:r>
    </w:p>
    <w:p w:rsidR="00117FDF" w:rsidRDefault="00117FDF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Ф.И.О.:Ищенко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Анд</w:t>
      </w:r>
      <w:r w:rsidR="007321B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ей Васильевич.</w:t>
      </w:r>
    </w:p>
    <w:p w:rsidR="00117FDF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17FDF">
        <w:rPr>
          <w:rFonts w:ascii="Times New Roman" w:hAnsi="Times New Roman" w:cs="Times New Roman"/>
          <w:sz w:val="28"/>
          <w:szCs w:val="28"/>
        </w:rPr>
        <w:t xml:space="preserve">Ведущий юрисконсульт </w:t>
      </w:r>
    </w:p>
    <w:p w:rsidR="006A280A" w:rsidRPr="00657C1E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Телефон, адрес электронной почты</w:t>
      </w:r>
      <w:r w:rsidR="00117FDF">
        <w:rPr>
          <w:rFonts w:ascii="Times New Roman" w:hAnsi="Times New Roman" w:cs="Times New Roman"/>
          <w:sz w:val="28"/>
          <w:szCs w:val="28"/>
        </w:rPr>
        <w:t xml:space="preserve">: </w:t>
      </w:r>
      <w:r w:rsidR="00117FDF" w:rsidRPr="00A57F44">
        <w:rPr>
          <w:rFonts w:ascii="Times New Roman" w:eastAsia="Times New Roman" w:hAnsi="Times New Roman" w:cs="Times New Roman"/>
          <w:sz w:val="28"/>
          <w:szCs w:val="28"/>
        </w:rPr>
        <w:t>8 (383)</w:t>
      </w:r>
      <w:r w:rsidR="00117FDF">
        <w:rPr>
          <w:rFonts w:ascii="Times New Roman" w:eastAsia="Times New Roman" w:hAnsi="Times New Roman" w:cs="Times New Roman"/>
          <w:sz w:val="28"/>
          <w:szCs w:val="28"/>
        </w:rPr>
        <w:t xml:space="preserve"> 349 54 86; </w:t>
      </w:r>
      <w:hyperlink r:id="rId7" w:history="1">
        <w:r w:rsidR="00657C1E" w:rsidRPr="00FE523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zemelnoeburo</w:t>
        </w:r>
        <w:r w:rsidR="00657C1E" w:rsidRPr="00657C1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@</w:t>
        </w:r>
        <w:r w:rsidR="00657C1E" w:rsidRPr="00FE523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r w:rsidR="00657C1E" w:rsidRPr="00657C1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.</w:t>
        </w:r>
        <w:r w:rsidR="00657C1E" w:rsidRPr="00FE523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657C1E" w:rsidRPr="00657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I</w:t>
      </w:r>
      <w:r w:rsidRPr="006A28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80A">
        <w:rPr>
          <w:rFonts w:ascii="Times New Roman" w:hAnsi="Times New Roman" w:cs="Times New Roman"/>
          <w:sz w:val="28"/>
          <w:szCs w:val="28"/>
        </w:rPr>
        <w:t>. Описание проблем и предлагаемого регулирования</w:t>
      </w:r>
    </w:p>
    <w:p w:rsidR="006A280A" w:rsidRDefault="006A280A" w:rsidP="00CA6A55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560"/>
          <w:tab w:val="left" w:pos="3261"/>
          <w:tab w:val="left" w:pos="1020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Краткая характеристика проблем, на решение которых направлен проект муниципального нормативного право</w:t>
      </w:r>
      <w:r w:rsidR="00CA6A55">
        <w:rPr>
          <w:rFonts w:ascii="Times New Roman" w:hAnsi="Times New Roman" w:cs="Times New Roman"/>
          <w:sz w:val="28"/>
          <w:szCs w:val="28"/>
        </w:rPr>
        <w:t>вого акта, и способов их решения:</w:t>
      </w:r>
    </w:p>
    <w:p w:rsidR="00CA6A55" w:rsidRPr="006A280A" w:rsidRDefault="00CA6A55" w:rsidP="00CA6A55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A280A" w:rsidRDefault="00CA6A55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117FD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Pr="00117FDF">
        <w:rPr>
          <w:sz w:val="28"/>
          <w:szCs w:val="28"/>
        </w:rPr>
        <w:t>администрации Ново</w:t>
      </w:r>
      <w:r>
        <w:rPr>
          <w:sz w:val="28"/>
          <w:szCs w:val="28"/>
        </w:rPr>
        <w:t>сибирского района Новосибирской </w:t>
      </w:r>
      <w:r w:rsidRPr="00117FDF">
        <w:rPr>
          <w:sz w:val="28"/>
          <w:szCs w:val="28"/>
        </w:rPr>
        <w:t>области от 21.03.2017 г. № 421-па «Об утверждении административного регламента предоставления муниципальной услуги по продлению срока действия разрешения на строительство»</w:t>
      </w:r>
      <w:r>
        <w:rPr>
          <w:sz w:val="28"/>
          <w:szCs w:val="28"/>
        </w:rPr>
        <w:t xml:space="preserve"> (далее – </w:t>
      </w:r>
      <w:r w:rsidR="000A66D9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) разработано с целью упорядочения </w:t>
      </w:r>
      <w:r w:rsidRPr="005D0539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D0539">
        <w:rPr>
          <w:sz w:val="28"/>
          <w:szCs w:val="28"/>
        </w:rPr>
        <w:t xml:space="preserve"> муниципальной услуги по продлению срока действия разрешения на строительство</w:t>
      </w:r>
    </w:p>
    <w:p w:rsidR="00CA6A55" w:rsidRPr="006A280A" w:rsidRDefault="00CA6A55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</w:p>
    <w:p w:rsidR="006A280A" w:rsidRDefault="006A280A" w:rsidP="00CA6A55">
      <w:pPr>
        <w:pStyle w:val="21"/>
        <w:numPr>
          <w:ilvl w:val="1"/>
          <w:numId w:val="1"/>
        </w:numPr>
        <w:shd w:val="clear" w:color="auto" w:fill="auto"/>
        <w:tabs>
          <w:tab w:val="left" w:pos="1560"/>
          <w:tab w:val="left" w:pos="3261"/>
        </w:tabs>
        <w:spacing w:before="0" w:after="0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Проблемы и их негативные эффекты</w:t>
      </w:r>
    </w:p>
    <w:p w:rsidR="00CA6A55" w:rsidRDefault="00CA6A55" w:rsidP="00CA6A55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jc w:val="left"/>
        <w:rPr>
          <w:sz w:val="28"/>
          <w:szCs w:val="28"/>
        </w:rPr>
      </w:pPr>
    </w:p>
    <w:p w:rsidR="006A280A" w:rsidRPr="006A280A" w:rsidRDefault="00CA6A55" w:rsidP="000A66D9">
      <w:pPr>
        <w:pStyle w:val="21"/>
        <w:shd w:val="clear" w:color="auto" w:fill="auto"/>
        <w:tabs>
          <w:tab w:val="left" w:pos="709"/>
          <w:tab w:val="left" w:pos="3261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6A280A" w:rsidRPr="006A280A">
        <w:rPr>
          <w:sz w:val="28"/>
          <w:szCs w:val="28"/>
        </w:rPr>
        <w:t>Описание проблем и негативных эффектов приведено в таблице</w:t>
      </w:r>
      <w:hyperlink w:anchor="bookmark7">
        <w:r w:rsidR="006A280A" w:rsidRPr="006A280A">
          <w:rPr>
            <w:rStyle w:val="-"/>
            <w:sz w:val="28"/>
            <w:szCs w:val="28"/>
          </w:rPr>
          <w:t xml:space="preserve"> 1 </w:t>
        </w:r>
      </w:hyperlink>
      <w:r w:rsidR="006A280A" w:rsidRPr="006A280A">
        <w:rPr>
          <w:sz w:val="28"/>
          <w:szCs w:val="28"/>
        </w:rPr>
        <w:t>части III настоящего сводного отчета.</w:t>
      </w:r>
    </w:p>
    <w:p w:rsidR="006A280A" w:rsidRPr="006A280A" w:rsidRDefault="006A280A" w:rsidP="000A66D9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689"/>
        <w:rPr>
          <w:sz w:val="28"/>
          <w:szCs w:val="28"/>
        </w:rPr>
      </w:pPr>
      <w:r w:rsidRPr="006A280A">
        <w:rPr>
          <w:sz w:val="28"/>
          <w:szCs w:val="28"/>
        </w:rPr>
        <w:t xml:space="preserve">Указанные проблемы и их негативные эффекты состоят в следующем: </w:t>
      </w:r>
    </w:p>
    <w:p w:rsidR="006A280A" w:rsidRDefault="000A66D9" w:rsidP="000A66D9">
      <w:pPr>
        <w:pStyle w:val="21"/>
        <w:shd w:val="clear" w:color="auto" w:fill="auto"/>
        <w:tabs>
          <w:tab w:val="left" w:pos="709"/>
          <w:tab w:val="left" w:pos="3261"/>
        </w:tabs>
        <w:spacing w:before="0" w:after="0"/>
        <w:ind w:left="20"/>
        <w:rPr>
          <w:sz w:val="28"/>
          <w:szCs w:val="28"/>
        </w:rPr>
      </w:pPr>
      <w:r>
        <w:rPr>
          <w:sz w:val="28"/>
          <w:szCs w:val="28"/>
        </w:rPr>
        <w:tab/>
        <w:t xml:space="preserve">Проблема: </w:t>
      </w:r>
      <w:proofErr w:type="spellStart"/>
      <w:r>
        <w:rPr>
          <w:sz w:val="28"/>
          <w:szCs w:val="28"/>
        </w:rPr>
        <w:t>нерегламентирование</w:t>
      </w:r>
      <w:proofErr w:type="spellEnd"/>
      <w:r>
        <w:rPr>
          <w:sz w:val="28"/>
          <w:szCs w:val="28"/>
        </w:rPr>
        <w:t xml:space="preserve"> продления сроков действия разрешения на строительство. </w:t>
      </w:r>
    </w:p>
    <w:p w:rsidR="000A66D9" w:rsidRPr="006A280A" w:rsidRDefault="000A66D9" w:rsidP="000A66D9">
      <w:pPr>
        <w:pStyle w:val="21"/>
        <w:shd w:val="clear" w:color="auto" w:fill="auto"/>
        <w:tabs>
          <w:tab w:val="left" w:pos="709"/>
          <w:tab w:val="left" w:pos="3261"/>
        </w:tabs>
        <w:spacing w:before="0" w:after="0"/>
        <w:ind w:left="20"/>
        <w:rPr>
          <w:sz w:val="28"/>
          <w:szCs w:val="28"/>
        </w:rPr>
      </w:pPr>
      <w:r>
        <w:rPr>
          <w:sz w:val="28"/>
          <w:szCs w:val="28"/>
        </w:rPr>
        <w:tab/>
        <w:t xml:space="preserve">Негативные эффекты: возникновение судебного порядка </w:t>
      </w:r>
      <w:r w:rsidRPr="005D0539">
        <w:rPr>
          <w:sz w:val="28"/>
          <w:szCs w:val="28"/>
        </w:rPr>
        <w:t>обжалования решений и действий (бездействия) органа, предоставляющего муниципальную услугу</w:t>
      </w:r>
      <w:r>
        <w:rPr>
          <w:sz w:val="28"/>
          <w:szCs w:val="28"/>
        </w:rPr>
        <w:t>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1.2. Способы решения заявленных проблем, в том числе в других субъектах Российской Федерации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Способы решения заявленных проблем приведены в таблицах</w:t>
      </w:r>
      <w:hyperlink w:anchor="bookmark8">
        <w:r w:rsidRPr="006A280A">
          <w:rPr>
            <w:rStyle w:val="-"/>
            <w:sz w:val="28"/>
            <w:szCs w:val="28"/>
          </w:rPr>
          <w:t xml:space="preserve"> 2-</w:t>
        </w:r>
      </w:hyperlink>
      <w:hyperlink w:anchor="bookmark10">
        <w:r w:rsidRPr="006A280A">
          <w:rPr>
            <w:rStyle w:val="-"/>
            <w:sz w:val="28"/>
            <w:szCs w:val="28"/>
          </w:rPr>
          <w:t xml:space="preserve">4 </w:t>
        </w:r>
      </w:hyperlink>
      <w:r w:rsidRPr="006A280A">
        <w:rPr>
          <w:sz w:val="28"/>
          <w:szCs w:val="28"/>
        </w:rPr>
        <w:t xml:space="preserve">части III </w:t>
      </w:r>
      <w:r w:rsidRPr="006A280A">
        <w:rPr>
          <w:sz w:val="28"/>
          <w:szCs w:val="28"/>
        </w:rPr>
        <w:lastRenderedPageBreak/>
        <w:t>настоящего сводного отчета.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 xml:space="preserve">Указанные способы сводятся к следующим: </w:t>
      </w:r>
      <w:r w:rsidR="007321BB">
        <w:rPr>
          <w:sz w:val="28"/>
          <w:szCs w:val="28"/>
        </w:rPr>
        <w:t xml:space="preserve">информация о </w:t>
      </w:r>
      <w:r w:rsidR="000A66D9">
        <w:rPr>
          <w:sz w:val="28"/>
          <w:szCs w:val="28"/>
        </w:rPr>
        <w:t>практик</w:t>
      </w:r>
      <w:r w:rsidR="007321BB">
        <w:rPr>
          <w:sz w:val="28"/>
          <w:szCs w:val="28"/>
        </w:rPr>
        <w:t>е</w:t>
      </w:r>
      <w:r w:rsidR="000A66D9">
        <w:rPr>
          <w:sz w:val="28"/>
          <w:szCs w:val="28"/>
        </w:rPr>
        <w:t xml:space="preserve"> дру</w:t>
      </w:r>
      <w:r w:rsidR="007321BB">
        <w:rPr>
          <w:sz w:val="28"/>
          <w:szCs w:val="28"/>
        </w:rPr>
        <w:t xml:space="preserve">гих </w:t>
      </w:r>
      <w:proofErr w:type="spellStart"/>
      <w:r w:rsidR="007321BB">
        <w:rPr>
          <w:sz w:val="28"/>
          <w:szCs w:val="28"/>
        </w:rPr>
        <w:t>субъеках</w:t>
      </w:r>
      <w:proofErr w:type="spellEnd"/>
      <w:r w:rsidR="00FF29DD">
        <w:rPr>
          <w:sz w:val="28"/>
          <w:szCs w:val="28"/>
        </w:rPr>
        <w:t xml:space="preserve"> Российской Федерации отсутствует.</w:t>
      </w:r>
    </w:p>
    <w:p w:rsidR="000A66D9" w:rsidRDefault="000A66D9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2. Предлагаемое регулирование</w:t>
      </w:r>
    </w:p>
    <w:p w:rsidR="006A280A" w:rsidRPr="006A280A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2.1. Описание предлагаемого регулирования</w:t>
      </w:r>
      <w:r w:rsidR="00FF29DD">
        <w:rPr>
          <w:sz w:val="28"/>
          <w:szCs w:val="28"/>
        </w:rPr>
        <w:t>: Принятие утвержденного административного регламента.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2.2. Цели регулирования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642"/>
        <w:gridCol w:w="3609"/>
        <w:gridCol w:w="2823"/>
        <w:gridCol w:w="2817"/>
      </w:tblGrid>
      <w:tr w:rsidR="006A280A" w:rsidRPr="006A280A" w:rsidTr="00C85756"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60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823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Индикаторы достижения целей; текущее значение индикаторов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6A280A" w:rsidRPr="006A280A" w:rsidTr="00C85756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9" w:type="dxa"/>
            <w:shd w:val="clear" w:color="auto" w:fill="auto"/>
            <w:tcMar>
              <w:left w:w="108" w:type="dxa"/>
            </w:tcMar>
          </w:tcPr>
          <w:p w:rsidR="006A280A" w:rsidRPr="006A280A" w:rsidRDefault="00FF29DD" w:rsidP="00FF29D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Оказание муниципальной услуги в соответствии с действующим административным регламентом</w:t>
            </w:r>
          </w:p>
        </w:tc>
        <w:tc>
          <w:tcPr>
            <w:tcW w:w="2823" w:type="dxa"/>
            <w:shd w:val="clear" w:color="auto" w:fill="auto"/>
            <w:tcMar>
              <w:left w:w="108" w:type="dxa"/>
            </w:tcMar>
          </w:tcPr>
          <w:p w:rsidR="006A280A" w:rsidRPr="006A280A" w:rsidRDefault="00FF29DD" w:rsidP="00FF29D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Формы и сроки оказания муниципальной услуги в соответствии с действующим административным регламентом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:rsidR="006A280A" w:rsidRPr="006A280A" w:rsidRDefault="00FF29DD" w:rsidP="00FF29D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Согласно действующему административному регламенту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6A280A" w:rsidRDefault="006A280A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6A280A">
        <w:rPr>
          <w:sz w:val="28"/>
          <w:szCs w:val="28"/>
        </w:rPr>
        <w:t>2.3. Описание способа расчета (оценки) индикаторов достижения цели предлагаемого регулирования</w:t>
      </w:r>
    </w:p>
    <w:p w:rsidR="006A280A" w:rsidRPr="006A280A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6A280A">
        <w:rPr>
          <w:sz w:val="28"/>
          <w:szCs w:val="28"/>
        </w:rPr>
        <w:t>Индикаторы, приведенные в пункте</w:t>
      </w:r>
      <w:hyperlink w:anchor="bookmark5">
        <w:r w:rsidRPr="006A280A">
          <w:rPr>
            <w:rStyle w:val="-"/>
            <w:sz w:val="28"/>
            <w:szCs w:val="28"/>
          </w:rPr>
          <w:t xml:space="preserve"> 2.2 </w:t>
        </w:r>
      </w:hyperlink>
      <w:r w:rsidRPr="006A280A">
        <w:rPr>
          <w:sz w:val="28"/>
          <w:szCs w:val="28"/>
        </w:rPr>
        <w:t>настоящего сводного отчета, будут рассчитываться следующим образом и с получением информации из следующих источников:</w:t>
      </w:r>
      <w:r w:rsidR="00FF29DD">
        <w:rPr>
          <w:sz w:val="28"/>
          <w:szCs w:val="28"/>
        </w:rPr>
        <w:t xml:space="preserve"> Отсутствие жалоб на </w:t>
      </w:r>
      <w:r w:rsidR="00FF29DD" w:rsidRPr="005D0539">
        <w:rPr>
          <w:sz w:val="28"/>
          <w:szCs w:val="28"/>
        </w:rPr>
        <w:t>должностных лиц, муниципальных служащих при предоставлении муниципальной услуги по продлению срока действия разрешения на строительство</w:t>
      </w:r>
      <w:r w:rsidR="00FF29DD">
        <w:rPr>
          <w:sz w:val="28"/>
          <w:szCs w:val="28"/>
        </w:rPr>
        <w:t>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i/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2.4. Описание программ мониторинга</w:t>
      </w:r>
    </w:p>
    <w:p w:rsidR="006A280A" w:rsidRPr="006A280A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FF29DD">
        <w:rPr>
          <w:color w:val="auto"/>
          <w:sz w:val="28"/>
          <w:szCs w:val="28"/>
          <w:lang w:bidi="ar-SA"/>
        </w:rPr>
        <w:t xml:space="preserve"> на постоянной основе.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2.6. Иные способы оценки достижения целей предлагаемого регулирования</w:t>
      </w:r>
      <w:r w:rsidR="00FF29DD">
        <w:rPr>
          <w:sz w:val="28"/>
          <w:szCs w:val="28"/>
        </w:rPr>
        <w:t xml:space="preserve">: нет. </w:t>
      </w:r>
    </w:p>
    <w:p w:rsidR="00FF29DD" w:rsidRPr="00FF29DD" w:rsidRDefault="00FF29DD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color w:val="auto"/>
          <w:sz w:val="28"/>
          <w:szCs w:val="28"/>
          <w:lang w:bidi="ar-SA"/>
        </w:rPr>
      </w:pPr>
      <w:r w:rsidRPr="006A280A">
        <w:rPr>
          <w:sz w:val="28"/>
          <w:szCs w:val="28"/>
        </w:rPr>
        <w:t>2.7. Обоснование соответствия целей предлагаемого регулирования программным документам нормативного характера</w:t>
      </w:r>
      <w:r w:rsidR="00FF29DD">
        <w:rPr>
          <w:color w:val="auto"/>
          <w:sz w:val="28"/>
          <w:szCs w:val="28"/>
          <w:lang w:bidi="ar-SA"/>
        </w:rPr>
        <w:t>: соответствуют п.2.5</w:t>
      </w:r>
      <w:proofErr w:type="gramStart"/>
      <w:r w:rsidR="00FF29DD">
        <w:rPr>
          <w:color w:val="auto"/>
          <w:sz w:val="28"/>
          <w:szCs w:val="28"/>
          <w:lang w:bidi="ar-SA"/>
        </w:rPr>
        <w:t>. действующего</w:t>
      </w:r>
      <w:proofErr w:type="gramEnd"/>
      <w:r w:rsidR="00FF29DD">
        <w:rPr>
          <w:color w:val="auto"/>
          <w:sz w:val="28"/>
          <w:szCs w:val="28"/>
          <w:lang w:bidi="ar-SA"/>
        </w:rPr>
        <w:t xml:space="preserve"> административного регламента. </w:t>
      </w:r>
    </w:p>
    <w:p w:rsidR="00FF29DD" w:rsidRPr="006A280A" w:rsidRDefault="00FF29DD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Pr="006A280A" w:rsidRDefault="006A280A" w:rsidP="006A280A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lastRenderedPageBreak/>
        <w:t>3. Заинтересованные лица</w:t>
      </w:r>
    </w:p>
    <w:p w:rsidR="006A280A" w:rsidRPr="006A280A" w:rsidRDefault="006A280A" w:rsidP="007321BB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3.1. Основные группы субъектов предпринимательской и инвестиционной деятельности, затрагиваемых предлагаемым регулированием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374"/>
        <w:gridCol w:w="3259"/>
        <w:gridCol w:w="3258"/>
      </w:tblGrid>
      <w:tr w:rsidR="006A280A" w:rsidRPr="006A280A" w:rsidTr="00C85756">
        <w:tc>
          <w:tcPr>
            <w:tcW w:w="3374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Наименование групп субъектов предпринимательской и инвестиционной деятельности</w:t>
            </w: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  <w:tc>
          <w:tcPr>
            <w:tcW w:w="325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Источники данных</w:t>
            </w:r>
          </w:p>
        </w:tc>
      </w:tr>
      <w:tr w:rsidR="006A280A" w:rsidRPr="006A280A" w:rsidTr="00C85756">
        <w:tc>
          <w:tcPr>
            <w:tcW w:w="3374" w:type="dxa"/>
            <w:shd w:val="clear" w:color="auto" w:fill="auto"/>
            <w:tcMar>
              <w:left w:w="108" w:type="dxa"/>
            </w:tcMar>
          </w:tcPr>
          <w:p w:rsidR="006A280A" w:rsidRPr="00FF29DD" w:rsidRDefault="00FF29DD" w:rsidP="00FF29D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9DD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:rsidR="006A280A" w:rsidRPr="00FF29DD" w:rsidRDefault="00FF29DD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3258" w:type="dxa"/>
            <w:shd w:val="clear" w:color="auto" w:fill="auto"/>
            <w:tcMar>
              <w:left w:w="108" w:type="dxa"/>
            </w:tcMar>
          </w:tcPr>
          <w:p w:rsidR="006A280A" w:rsidRPr="00FF29DD" w:rsidRDefault="00FF29DD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  <w:proofErr w:type="gramEnd"/>
          </w:p>
        </w:tc>
      </w:tr>
    </w:tbl>
    <w:p w:rsidR="006A280A" w:rsidRPr="006A280A" w:rsidRDefault="006A280A" w:rsidP="006A280A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6A280A" w:rsidRPr="006A280A" w:rsidRDefault="006A280A" w:rsidP="007321BB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3.2. Вводимые или изменяемые обязанности, ограничения субъектов предпринимательской и инвестиционной деятельности, требования к ним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91"/>
        <w:gridCol w:w="3284"/>
        <w:gridCol w:w="3316"/>
      </w:tblGrid>
      <w:tr w:rsidR="006A280A" w:rsidRPr="006A280A" w:rsidTr="00C85756">
        <w:tc>
          <w:tcPr>
            <w:tcW w:w="329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284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Порядок организации исполнения субъектами</w:t>
            </w:r>
          </w:p>
        </w:tc>
        <w:tc>
          <w:tcPr>
            <w:tcW w:w="331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Оценка расходов субъектов (включая периодичность, если применимо)</w:t>
            </w:r>
          </w:p>
        </w:tc>
      </w:tr>
      <w:tr w:rsidR="006A280A" w:rsidRPr="006A280A" w:rsidTr="00C85756">
        <w:tc>
          <w:tcPr>
            <w:tcW w:w="9891" w:type="dxa"/>
            <w:gridSpan w:val="3"/>
            <w:shd w:val="clear" w:color="auto" w:fill="auto"/>
            <w:tcMar>
              <w:left w:w="108" w:type="dxa"/>
            </w:tcMar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Группа участников (по пункту 3.1)</w:t>
            </w:r>
          </w:p>
        </w:tc>
      </w:tr>
      <w:tr w:rsidR="00FF29DD" w:rsidRPr="006A280A" w:rsidTr="00C85756">
        <w:tc>
          <w:tcPr>
            <w:tcW w:w="3291" w:type="dxa"/>
            <w:shd w:val="clear" w:color="auto" w:fill="auto"/>
            <w:tcMar>
              <w:left w:w="108" w:type="dxa"/>
            </w:tcMar>
          </w:tcPr>
          <w:p w:rsidR="00FF29DD" w:rsidRDefault="00FF29DD" w:rsidP="00FF29DD">
            <w:pPr>
              <w:jc w:val="center"/>
            </w:pPr>
            <w:proofErr w:type="gramStart"/>
            <w:r w:rsidRPr="007B3D1E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3284" w:type="dxa"/>
            <w:shd w:val="clear" w:color="auto" w:fill="auto"/>
            <w:tcMar>
              <w:left w:w="108" w:type="dxa"/>
            </w:tcMar>
          </w:tcPr>
          <w:p w:rsidR="00FF29DD" w:rsidRDefault="00FF29DD" w:rsidP="00FF29DD">
            <w:pPr>
              <w:jc w:val="center"/>
            </w:pPr>
            <w:proofErr w:type="gramStart"/>
            <w:r w:rsidRPr="007B3D1E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3316" w:type="dxa"/>
            <w:shd w:val="clear" w:color="auto" w:fill="auto"/>
            <w:tcMar>
              <w:left w:w="108" w:type="dxa"/>
            </w:tcMar>
          </w:tcPr>
          <w:p w:rsidR="00FF29DD" w:rsidRDefault="00FF29DD" w:rsidP="00FF29DD">
            <w:pPr>
              <w:jc w:val="center"/>
            </w:pPr>
            <w:proofErr w:type="gramStart"/>
            <w:r w:rsidRPr="007B3D1E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 xml:space="preserve">3.3. Новые, изменяемые или отменяемые функции, полномочия, обязанности, права органов местного самоуправления Новосибирского района Новосибирской области 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2513"/>
        <w:gridCol w:w="2076"/>
        <w:gridCol w:w="2489"/>
        <w:gridCol w:w="2813"/>
      </w:tblGrid>
      <w:tr w:rsidR="006A280A" w:rsidRPr="006A280A" w:rsidTr="00C85756">
        <w:tc>
          <w:tcPr>
            <w:tcW w:w="221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Функция, полномочия, право, обязанность</w:t>
            </w:r>
          </w:p>
        </w:tc>
        <w:tc>
          <w:tcPr>
            <w:tcW w:w="224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Характер</w:t>
            </w:r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proofErr w:type="gramStart"/>
            <w:r w:rsidRPr="006A280A">
              <w:rPr>
                <w:rStyle w:val="a3"/>
                <w:rFonts w:eastAsia="Calibri"/>
                <w:sz w:val="28"/>
                <w:szCs w:val="28"/>
              </w:rPr>
              <w:t>воздействия</w:t>
            </w:r>
            <w:proofErr w:type="gramEnd"/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11"/>
                <w:rFonts w:eastAsia="Calibri"/>
                <w:sz w:val="28"/>
                <w:szCs w:val="28"/>
              </w:rPr>
              <w:t>(Введение/ Изменение/ Отмена)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Предполагаемый</w:t>
            </w:r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proofErr w:type="gramStart"/>
            <w:r w:rsidRPr="006A280A">
              <w:rPr>
                <w:rStyle w:val="a3"/>
                <w:rFonts w:eastAsia="Calibri"/>
                <w:sz w:val="28"/>
                <w:szCs w:val="28"/>
              </w:rPr>
              <w:t>порядок</w:t>
            </w:r>
            <w:proofErr w:type="gramEnd"/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proofErr w:type="gramStart"/>
            <w:r w:rsidRPr="006A280A">
              <w:rPr>
                <w:rStyle w:val="a3"/>
                <w:rFonts w:eastAsia="Calibri"/>
                <w:sz w:val="28"/>
                <w:szCs w:val="28"/>
              </w:rPr>
              <w:t>реализации</w:t>
            </w:r>
            <w:proofErr w:type="gramEnd"/>
          </w:p>
        </w:tc>
        <w:tc>
          <w:tcPr>
            <w:tcW w:w="285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Расходы</w:t>
            </w:r>
            <w:r w:rsidRPr="006A280A">
              <w:rPr>
                <w:rStyle w:val="a6"/>
                <w:rFonts w:eastAsia="Calibri"/>
                <w:sz w:val="28"/>
                <w:szCs w:val="28"/>
              </w:rPr>
              <w:footnoteReference w:id="1"/>
            </w:r>
            <w:r w:rsidRPr="006A280A">
              <w:rPr>
                <w:rStyle w:val="a3"/>
                <w:rFonts w:eastAsia="Calibri"/>
                <w:sz w:val="28"/>
                <w:szCs w:val="28"/>
              </w:rPr>
              <w:t xml:space="preserve"> консолидированного бюджета Новосибирской района Новосибирской области</w:t>
            </w:r>
          </w:p>
        </w:tc>
      </w:tr>
      <w:tr w:rsidR="006A280A" w:rsidRPr="006A280A" w:rsidTr="00C85756">
        <w:tc>
          <w:tcPr>
            <w:tcW w:w="2212" w:type="dxa"/>
            <w:shd w:val="clear" w:color="auto" w:fill="auto"/>
            <w:tcMar>
              <w:left w:w="108" w:type="dxa"/>
            </w:tcMar>
          </w:tcPr>
          <w:p w:rsidR="00303BED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Согласно постановлению администрации Новосибирского района Новосибирской области </w:t>
            </w:r>
          </w:p>
          <w:p w:rsidR="00303BED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от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14.07.2017г. </w:t>
            </w:r>
          </w:p>
          <w:p w:rsidR="00303BED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№ 1529-па </w:t>
            </w:r>
          </w:p>
          <w:p w:rsidR="00303BED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«О внесении изменений в административный регламент предоставления муниципальной услуги по продлению срока действия разрешения на строительство, утвержденный постановлением администрации Новосибирского района Новосибирской области </w:t>
            </w:r>
          </w:p>
          <w:p w:rsidR="00303BED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от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21.03.2017 г.</w:t>
            </w:r>
          </w:p>
          <w:p w:rsidR="006A280A" w:rsidRPr="006A280A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№ 421-па</w:t>
            </w:r>
          </w:p>
        </w:tc>
        <w:tc>
          <w:tcPr>
            <w:tcW w:w="2248" w:type="dxa"/>
            <w:shd w:val="clear" w:color="auto" w:fill="auto"/>
            <w:tcMar>
              <w:left w:w="108" w:type="dxa"/>
            </w:tcMar>
          </w:tcPr>
          <w:p w:rsidR="006A280A" w:rsidRPr="006A280A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lastRenderedPageBreak/>
              <w:t>нет</w:t>
            </w:r>
            <w:proofErr w:type="gramEnd"/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</w:tcPr>
          <w:p w:rsidR="006A280A" w:rsidRPr="006A280A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852" w:type="dxa"/>
            <w:shd w:val="clear" w:color="auto" w:fill="auto"/>
            <w:tcMar>
              <w:left w:w="108" w:type="dxa"/>
            </w:tcMar>
          </w:tcPr>
          <w:p w:rsidR="006A280A" w:rsidRPr="006A280A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rPr>
          <w:i/>
          <w:sz w:val="28"/>
          <w:szCs w:val="28"/>
        </w:rPr>
      </w:pPr>
    </w:p>
    <w:p w:rsidR="006A280A" w:rsidRDefault="006A280A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3.4. Описание расходов консолидированного бюджета Новосибирского района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303BED">
        <w:rPr>
          <w:sz w:val="28"/>
          <w:szCs w:val="28"/>
        </w:rPr>
        <w:t xml:space="preserve"> нет.</w:t>
      </w:r>
    </w:p>
    <w:p w:rsidR="00303BED" w:rsidRPr="00303BED" w:rsidRDefault="00303BED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Pr="006A280A" w:rsidRDefault="006A280A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3.5. Описание расходов консолидированного бюджета на организационно-технические, методологические и иные мероприятия</w:t>
      </w:r>
      <w:r w:rsidR="00303BED">
        <w:rPr>
          <w:sz w:val="28"/>
          <w:szCs w:val="28"/>
        </w:rPr>
        <w:t xml:space="preserve">: финансирование не требуется. 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92"/>
        <w:gridCol w:w="3272"/>
        <w:gridCol w:w="3327"/>
      </w:tblGrid>
      <w:tr w:rsidR="006A280A" w:rsidRPr="006A280A" w:rsidTr="00C85756">
        <w:tc>
          <w:tcPr>
            <w:tcW w:w="329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Мероприятия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Сроки реализации</w:t>
            </w:r>
          </w:p>
        </w:tc>
        <w:tc>
          <w:tcPr>
            <w:tcW w:w="332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Объём финансирования</w:t>
            </w:r>
          </w:p>
        </w:tc>
      </w:tr>
      <w:tr w:rsidR="00303BED" w:rsidRPr="006A280A" w:rsidTr="00C85756">
        <w:tc>
          <w:tcPr>
            <w:tcW w:w="3292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proofErr w:type="gramStart"/>
            <w:r w:rsidRPr="00C90853">
              <w:rPr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proofErr w:type="gramStart"/>
            <w:r w:rsidRPr="00C90853">
              <w:rPr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3327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proofErr w:type="gramStart"/>
            <w:r w:rsidRPr="00C90853">
              <w:rPr>
                <w:sz w:val="28"/>
                <w:szCs w:val="28"/>
              </w:rPr>
              <w:t>нет</w:t>
            </w:r>
            <w:proofErr w:type="gramEnd"/>
          </w:p>
        </w:tc>
      </w:tr>
    </w:tbl>
    <w:p w:rsidR="00303BED" w:rsidRDefault="00303BED" w:rsidP="006A280A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jc w:val="left"/>
        <w:rPr>
          <w:color w:val="00000A"/>
          <w:sz w:val="28"/>
          <w:szCs w:val="28"/>
        </w:rPr>
      </w:pPr>
    </w:p>
    <w:p w:rsidR="006A280A" w:rsidRPr="006A280A" w:rsidRDefault="006A280A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rPr>
          <w:color w:val="00000A"/>
          <w:sz w:val="28"/>
          <w:szCs w:val="28"/>
        </w:rPr>
      </w:pPr>
      <w:r w:rsidRPr="006A280A">
        <w:rPr>
          <w:color w:val="00000A"/>
          <w:sz w:val="28"/>
          <w:szCs w:val="28"/>
        </w:rPr>
        <w:t>3.6. Оценка возможных поступлений консолидированного бюджета Новосибирского района Новосибирской области</w:t>
      </w:r>
      <w:r w:rsidR="00303BED">
        <w:rPr>
          <w:color w:val="00000A"/>
          <w:sz w:val="28"/>
          <w:szCs w:val="28"/>
        </w:rPr>
        <w:t>: поступлений нет.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75"/>
        <w:gridCol w:w="3291"/>
        <w:gridCol w:w="3325"/>
      </w:tblGrid>
      <w:tr w:rsidR="006A280A" w:rsidRPr="006A280A" w:rsidTr="00C85756">
        <w:tc>
          <w:tcPr>
            <w:tcW w:w="327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Уровень бюджета бюджетной системы</w:t>
            </w:r>
          </w:p>
        </w:tc>
        <w:tc>
          <w:tcPr>
            <w:tcW w:w="329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Источник поступлений</w:t>
            </w:r>
          </w:p>
        </w:tc>
        <w:tc>
          <w:tcPr>
            <w:tcW w:w="332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Количественная оценка и периодичность возможных поступлений</w:t>
            </w:r>
          </w:p>
        </w:tc>
      </w:tr>
      <w:tr w:rsidR="00303BED" w:rsidRPr="006A280A" w:rsidTr="00C85756">
        <w:tc>
          <w:tcPr>
            <w:tcW w:w="3275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proofErr w:type="gramStart"/>
            <w:r w:rsidRPr="008B304C">
              <w:rPr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3291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proofErr w:type="gramStart"/>
            <w:r w:rsidRPr="008B304C">
              <w:rPr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3325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proofErr w:type="gramStart"/>
            <w:r w:rsidRPr="008B304C">
              <w:rPr>
                <w:sz w:val="28"/>
                <w:szCs w:val="28"/>
              </w:rPr>
              <w:t>нет</w:t>
            </w:r>
            <w:proofErr w:type="gramEnd"/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/>
        <w:rPr>
          <w:i/>
          <w:sz w:val="28"/>
          <w:szCs w:val="28"/>
        </w:rPr>
      </w:pPr>
    </w:p>
    <w:p w:rsidR="006A280A" w:rsidRDefault="006A280A" w:rsidP="00303BED">
      <w:pPr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3.7. Обоснование количественной оценки поступлений в консолидированный бюджет Новосибирского района Новосибирской области</w:t>
      </w:r>
      <w:r w:rsidR="00303BED">
        <w:rPr>
          <w:sz w:val="28"/>
          <w:szCs w:val="28"/>
        </w:rPr>
        <w:t>: нет.</w:t>
      </w:r>
    </w:p>
    <w:p w:rsidR="00303BED" w:rsidRPr="00303BED" w:rsidRDefault="00303BED" w:rsidP="00303BED">
      <w:pPr>
        <w:ind w:left="20" w:firstLine="547"/>
        <w:rPr>
          <w:sz w:val="28"/>
          <w:szCs w:val="28"/>
        </w:rPr>
      </w:pPr>
    </w:p>
    <w:p w:rsidR="006A280A" w:rsidRPr="006A280A" w:rsidRDefault="006A280A" w:rsidP="006A280A">
      <w:pPr>
        <w:tabs>
          <w:tab w:val="left" w:pos="1560"/>
          <w:tab w:val="left" w:pos="3261"/>
        </w:tabs>
        <w:ind w:firstLine="567"/>
        <w:jc w:val="both"/>
        <w:rPr>
          <w:sz w:val="28"/>
          <w:szCs w:val="28"/>
        </w:rPr>
      </w:pPr>
      <w:r w:rsidRPr="006A280A">
        <w:rPr>
          <w:sz w:val="28"/>
          <w:szCs w:val="28"/>
        </w:rPr>
        <w:t>3.8. Иные заинтересованные лица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  <w:tab w:val="right" w:pos="5335"/>
          <w:tab w:val="right" w:pos="7145"/>
          <w:tab w:val="right" w:pos="9636"/>
        </w:tabs>
        <w:spacing w:before="0" w:after="0"/>
        <w:ind w:firstLine="56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4969"/>
        <w:gridCol w:w="4942"/>
      </w:tblGrid>
      <w:tr w:rsidR="006A280A" w:rsidRPr="006A280A" w:rsidTr="00303BED">
        <w:tc>
          <w:tcPr>
            <w:tcW w:w="496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lastRenderedPageBreak/>
              <w:t>Наименование группы участников</w:t>
            </w:r>
          </w:p>
        </w:tc>
        <w:tc>
          <w:tcPr>
            <w:tcW w:w="494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</w:tr>
      <w:tr w:rsidR="00303BED" w:rsidRPr="006A280A" w:rsidTr="00303BED">
        <w:tc>
          <w:tcPr>
            <w:tcW w:w="4969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FF29DD">
              <w:rPr>
                <w:rFonts w:eastAsia="Calibri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942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D151DE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D151D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ребуется</w:t>
            </w:r>
          </w:p>
        </w:tc>
      </w:tr>
    </w:tbl>
    <w:p w:rsidR="006A280A" w:rsidRPr="006A280A" w:rsidRDefault="006A280A" w:rsidP="00303BE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i/>
          <w:sz w:val="28"/>
          <w:szCs w:val="28"/>
        </w:rPr>
      </w:pPr>
    </w:p>
    <w:p w:rsidR="006A280A" w:rsidRPr="006A280A" w:rsidRDefault="006A280A" w:rsidP="00303BED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4. Риски решения проблем предложенным способом и риски негативных последствий</w:t>
      </w:r>
      <w:r w:rsidR="00303BED">
        <w:rPr>
          <w:rFonts w:ascii="Times New Roman" w:hAnsi="Times New Roman" w:cs="Times New Roman"/>
          <w:sz w:val="28"/>
          <w:szCs w:val="28"/>
        </w:rPr>
        <w:t xml:space="preserve">: отсутствуют. </w:t>
      </w:r>
    </w:p>
    <w:p w:rsidR="006A280A" w:rsidRPr="006A280A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5. Порядок введения регулирования</w:t>
      </w:r>
    </w:p>
    <w:p w:rsidR="006A280A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5.1. Обоснование (отсутствия) необходимости установления переходного периода</w:t>
      </w:r>
      <w:r w:rsidR="00303BED">
        <w:rPr>
          <w:rFonts w:ascii="Times New Roman" w:hAnsi="Times New Roman" w:cs="Times New Roman"/>
          <w:sz w:val="28"/>
          <w:szCs w:val="28"/>
        </w:rPr>
        <w:t xml:space="preserve">: </w:t>
      </w:r>
      <w:r w:rsidR="00303BED" w:rsidRPr="006A280A">
        <w:rPr>
          <w:rFonts w:ascii="Times New Roman" w:hAnsi="Times New Roman" w:cs="Times New Roman"/>
          <w:sz w:val="28"/>
          <w:szCs w:val="28"/>
        </w:rPr>
        <w:t>необходимост</w:t>
      </w:r>
      <w:r w:rsidR="00303BED">
        <w:rPr>
          <w:rFonts w:ascii="Times New Roman" w:hAnsi="Times New Roman" w:cs="Times New Roman"/>
          <w:sz w:val="28"/>
          <w:szCs w:val="28"/>
        </w:rPr>
        <w:t>ь</w:t>
      </w:r>
      <w:r w:rsidR="00303BED" w:rsidRPr="006A280A">
        <w:rPr>
          <w:rFonts w:ascii="Times New Roman" w:hAnsi="Times New Roman" w:cs="Times New Roman"/>
          <w:sz w:val="28"/>
          <w:szCs w:val="28"/>
        </w:rPr>
        <w:t xml:space="preserve"> установления переходного периода</w:t>
      </w:r>
      <w:r w:rsidR="00303BED">
        <w:rPr>
          <w:rFonts w:ascii="Times New Roman" w:hAnsi="Times New Roman" w:cs="Times New Roman"/>
          <w:sz w:val="28"/>
          <w:szCs w:val="28"/>
        </w:rPr>
        <w:t xml:space="preserve"> </w:t>
      </w:r>
      <w:r w:rsidR="001906B6">
        <w:rPr>
          <w:rFonts w:ascii="Times New Roman" w:hAnsi="Times New Roman" w:cs="Times New Roman"/>
          <w:sz w:val="28"/>
          <w:szCs w:val="28"/>
        </w:rPr>
        <w:t>отсутствует</w:t>
      </w:r>
      <w:r w:rsidR="00303B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03BED" w:rsidRPr="00303BED" w:rsidRDefault="00303BED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A280A" w:rsidRDefault="006A280A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6A280A">
        <w:rPr>
          <w:sz w:val="28"/>
          <w:szCs w:val="28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7321BB">
        <w:rPr>
          <w:sz w:val="28"/>
          <w:szCs w:val="28"/>
        </w:rPr>
        <w:t>: уточнение ранее действующего регламента.</w:t>
      </w:r>
    </w:p>
    <w:p w:rsidR="007321BB" w:rsidRPr="006A280A" w:rsidRDefault="007321BB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jc w:val="left"/>
        <w:rPr>
          <w:sz w:val="28"/>
          <w:szCs w:val="28"/>
        </w:rPr>
      </w:pPr>
    </w:p>
    <w:p w:rsidR="006A280A" w:rsidRPr="006A280A" w:rsidRDefault="006A280A" w:rsidP="007321BB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6A280A">
        <w:rPr>
          <w:sz w:val="28"/>
          <w:szCs w:val="28"/>
        </w:rPr>
        <w:t>5.3. Предполагаемая дата вступления в силу проекта муниципального нормативного акта</w:t>
      </w:r>
      <w:r w:rsidR="007321BB">
        <w:rPr>
          <w:sz w:val="28"/>
          <w:szCs w:val="28"/>
        </w:rPr>
        <w:t>: с момента подписания.</w:t>
      </w:r>
    </w:p>
    <w:p w:rsidR="006A280A" w:rsidRPr="006A280A" w:rsidRDefault="006A280A" w:rsidP="006A280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A280A" w:rsidRPr="007321BB" w:rsidRDefault="006A280A" w:rsidP="007321BB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6. Иные сведения, которые, по мнению разработчика проекта муниципального нормативного акта, позволяют оценить обоснованность предлагаемого регулирования</w:t>
      </w:r>
      <w:r w:rsidR="007321BB">
        <w:rPr>
          <w:rFonts w:ascii="Times New Roman" w:hAnsi="Times New Roman" w:cs="Times New Roman"/>
          <w:sz w:val="28"/>
          <w:szCs w:val="28"/>
        </w:rPr>
        <w:t xml:space="preserve">: </w:t>
      </w:r>
      <w:r w:rsidR="007321BB" w:rsidRPr="005D0539">
        <w:rPr>
          <w:rFonts w:ascii="Times New Roman" w:hAnsi="Times New Roman"/>
          <w:sz w:val="28"/>
          <w:szCs w:val="28"/>
        </w:rPr>
        <w:t>регулировани</w:t>
      </w:r>
      <w:r w:rsidR="007321BB">
        <w:rPr>
          <w:rFonts w:ascii="Times New Roman" w:hAnsi="Times New Roman"/>
          <w:sz w:val="28"/>
          <w:szCs w:val="28"/>
        </w:rPr>
        <w:t>е</w:t>
      </w:r>
      <w:r w:rsidR="007321BB" w:rsidRPr="005D053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</w:t>
      </w:r>
      <w:r w:rsidR="007321BB">
        <w:rPr>
          <w:rFonts w:ascii="Times New Roman" w:hAnsi="Times New Roman"/>
          <w:sz w:val="28"/>
          <w:szCs w:val="28"/>
        </w:rPr>
        <w:t>определяют</w:t>
      </w:r>
      <w:r w:rsidR="007321BB" w:rsidRPr="005D0539">
        <w:rPr>
          <w:rFonts w:ascii="Times New Roman" w:hAnsi="Times New Roman"/>
          <w:sz w:val="28"/>
          <w:szCs w:val="28"/>
        </w:rPr>
        <w:t xml:space="preserve"> </w:t>
      </w:r>
      <w:r w:rsidR="007321BB" w:rsidRPr="005D0539">
        <w:rPr>
          <w:rFonts w:ascii="Times New Roman" w:hAnsi="Times New Roman"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  <w:r w:rsidR="007321BB">
        <w:rPr>
          <w:rFonts w:ascii="Times New Roman" w:hAnsi="Times New Roman"/>
          <w:bCs/>
          <w:sz w:val="28"/>
          <w:szCs w:val="28"/>
        </w:rPr>
        <w:t>а также</w:t>
      </w:r>
      <w:r w:rsidR="007321BB" w:rsidRPr="005D0539">
        <w:rPr>
          <w:rFonts w:ascii="Times New Roman" w:hAnsi="Times New Roman"/>
          <w:bCs/>
          <w:sz w:val="28"/>
          <w:szCs w:val="28"/>
        </w:rPr>
        <w:t xml:space="preserve"> особенности выполнения административных процедур</w:t>
      </w:r>
      <w:r w:rsidR="007321BB">
        <w:rPr>
          <w:rFonts w:ascii="Times New Roman" w:hAnsi="Times New Roman"/>
          <w:bCs/>
          <w:sz w:val="28"/>
          <w:szCs w:val="28"/>
        </w:rPr>
        <w:t>, в том числе</w:t>
      </w:r>
      <w:r w:rsidR="007321BB" w:rsidRPr="005D0539">
        <w:rPr>
          <w:rFonts w:ascii="Times New Roman" w:hAnsi="Times New Roman"/>
          <w:bCs/>
          <w:sz w:val="28"/>
          <w:szCs w:val="28"/>
        </w:rPr>
        <w:t xml:space="preserve"> в </w:t>
      </w:r>
      <w:r w:rsidR="007321BB" w:rsidRPr="005D0539">
        <w:rPr>
          <w:rFonts w:ascii="Times New Roman" w:hAnsi="Times New Roman"/>
          <w:sz w:val="28"/>
          <w:szCs w:val="28"/>
        </w:rPr>
        <w:t>электронной форме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center"/>
        <w:rPr>
          <w:b/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center"/>
        <w:rPr>
          <w:b/>
          <w:sz w:val="28"/>
          <w:szCs w:val="28"/>
        </w:rPr>
      </w:pPr>
      <w:r w:rsidRPr="006A280A">
        <w:rPr>
          <w:b/>
          <w:sz w:val="28"/>
          <w:szCs w:val="28"/>
        </w:rPr>
        <w:t>I</w:t>
      </w:r>
      <w:r w:rsidRPr="006A280A">
        <w:rPr>
          <w:b/>
          <w:sz w:val="28"/>
          <w:szCs w:val="28"/>
          <w:lang w:val="en-US"/>
        </w:rPr>
        <w:t>II</w:t>
      </w:r>
      <w:r w:rsidRPr="006A280A">
        <w:rPr>
          <w:b/>
          <w:sz w:val="28"/>
          <w:szCs w:val="28"/>
        </w:rPr>
        <w:t>. Обоснование проблем и способы их решения</w:t>
      </w:r>
    </w:p>
    <w:p w:rsidR="006A280A" w:rsidRPr="006A280A" w:rsidRDefault="006A280A" w:rsidP="006A280A">
      <w:pPr>
        <w:pStyle w:val="21"/>
        <w:shd w:val="clear" w:color="auto" w:fill="FFFFFF" w:themeFill="background1"/>
        <w:tabs>
          <w:tab w:val="left" w:pos="15168"/>
        </w:tabs>
        <w:spacing w:before="0" w:after="0"/>
        <w:rPr>
          <w:color w:val="FFFFFF" w:themeColor="background1"/>
          <w:sz w:val="28"/>
          <w:szCs w:val="28"/>
        </w:rPr>
      </w:pPr>
      <w:r w:rsidRPr="006A280A">
        <w:rPr>
          <w:color w:val="FFFFFF" w:themeColor="background1"/>
          <w:sz w:val="28"/>
          <w:szCs w:val="28"/>
        </w:rPr>
        <w:tab/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firstLine="567"/>
        <w:jc w:val="left"/>
        <w:rPr>
          <w:b/>
          <w:sz w:val="28"/>
          <w:szCs w:val="28"/>
        </w:rPr>
      </w:pPr>
      <w:r w:rsidRPr="006A280A">
        <w:rPr>
          <w:b/>
          <w:sz w:val="28"/>
          <w:szCs w:val="28"/>
        </w:rPr>
        <w:t>1. Описание проблем, негативных эффектов и их обоснование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right"/>
        <w:rPr>
          <w:sz w:val="28"/>
          <w:szCs w:val="28"/>
        </w:rPr>
      </w:pPr>
      <w:r w:rsidRPr="006A280A">
        <w:rPr>
          <w:sz w:val="28"/>
          <w:szCs w:val="28"/>
        </w:rPr>
        <w:t>Таблица 1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667"/>
        <w:gridCol w:w="2818"/>
        <w:gridCol w:w="1755"/>
        <w:gridCol w:w="2489"/>
        <w:gridCol w:w="2182"/>
      </w:tblGrid>
      <w:tr w:rsidR="006A280A" w:rsidRPr="006A280A" w:rsidTr="00C85756">
        <w:tc>
          <w:tcPr>
            <w:tcW w:w="71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№</w:t>
            </w:r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proofErr w:type="gramStart"/>
            <w:r w:rsidRPr="006A280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6A280A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74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Проблема (сущность проблемы)</w:t>
            </w:r>
          </w:p>
        </w:tc>
        <w:tc>
          <w:tcPr>
            <w:tcW w:w="1980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Характер проблемы</w:t>
            </w:r>
          </w:p>
        </w:tc>
        <w:tc>
          <w:tcPr>
            <w:tcW w:w="203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Негативные эффекты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Обоснование негативных эффектов</w:t>
            </w:r>
          </w:p>
        </w:tc>
      </w:tr>
      <w:tr w:rsidR="006A280A" w:rsidRPr="006A280A" w:rsidTr="00C85756">
        <w:tc>
          <w:tcPr>
            <w:tcW w:w="715" w:type="dxa"/>
            <w:shd w:val="clear" w:color="auto" w:fill="auto"/>
            <w:tcMar>
              <w:left w:w="108" w:type="dxa"/>
            </w:tcMar>
          </w:tcPr>
          <w:p w:rsidR="006A280A" w:rsidRPr="006A280A" w:rsidRDefault="007321BB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745" w:type="dxa"/>
            <w:shd w:val="clear" w:color="auto" w:fill="auto"/>
            <w:tcMar>
              <w:left w:w="108" w:type="dxa"/>
            </w:tcMar>
          </w:tcPr>
          <w:p w:rsidR="006A280A" w:rsidRPr="006A280A" w:rsidRDefault="007321BB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нерегламентирование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продления сроков действия разрешения на строительство</w:t>
            </w:r>
          </w:p>
        </w:tc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6A280A" w:rsidRPr="006A280A" w:rsidRDefault="007321BB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</w:p>
        </w:tc>
        <w:tc>
          <w:tcPr>
            <w:tcW w:w="2032" w:type="dxa"/>
            <w:shd w:val="clear" w:color="auto" w:fill="auto"/>
            <w:tcMar>
              <w:left w:w="108" w:type="dxa"/>
            </w:tcMar>
          </w:tcPr>
          <w:p w:rsidR="006A280A" w:rsidRPr="006A280A" w:rsidRDefault="007321BB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возникновение</w:t>
            </w:r>
            <w:proofErr w:type="gramEnd"/>
            <w:r>
              <w:rPr>
                <w:sz w:val="28"/>
                <w:szCs w:val="28"/>
              </w:rPr>
              <w:t xml:space="preserve"> судебного порядка </w:t>
            </w:r>
            <w:r w:rsidRPr="005D0539">
              <w:rPr>
                <w:sz w:val="28"/>
                <w:szCs w:val="28"/>
              </w:rPr>
              <w:t xml:space="preserve">обжалования решений и действий (бездействия) органа, предоставляющего муниципальную </w:t>
            </w:r>
            <w:r w:rsidRPr="005D0539">
              <w:rPr>
                <w:sz w:val="28"/>
                <w:szCs w:val="28"/>
              </w:rPr>
              <w:lastRenderedPageBreak/>
              <w:t>услугу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</w:tcMar>
          </w:tcPr>
          <w:p w:rsidR="006A280A" w:rsidRPr="006A280A" w:rsidRDefault="007321BB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- 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b/>
          <w:sz w:val="28"/>
          <w:szCs w:val="28"/>
        </w:rPr>
      </w:pPr>
    </w:p>
    <w:p w:rsidR="007321BB" w:rsidRDefault="006A280A" w:rsidP="007321BB">
      <w:pPr>
        <w:pStyle w:val="21"/>
        <w:numPr>
          <w:ilvl w:val="0"/>
          <w:numId w:val="1"/>
        </w:numPr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  <w:r w:rsidRPr="006A280A">
        <w:rPr>
          <w:b/>
          <w:sz w:val="28"/>
          <w:szCs w:val="28"/>
        </w:rPr>
        <w:t>Описание международного опыта решения заявленных проблем, а также опыта других субъектов Российской Федерации</w:t>
      </w:r>
      <w:r w:rsidR="007321BB">
        <w:rPr>
          <w:b/>
          <w:sz w:val="28"/>
          <w:szCs w:val="28"/>
        </w:rPr>
        <w:t xml:space="preserve">: </w:t>
      </w:r>
      <w:r w:rsidR="007321BB">
        <w:rPr>
          <w:sz w:val="28"/>
          <w:szCs w:val="28"/>
        </w:rPr>
        <w:t xml:space="preserve">информация о практике </w:t>
      </w:r>
      <w:r w:rsidR="007321BB" w:rsidRPr="007321BB">
        <w:rPr>
          <w:sz w:val="28"/>
          <w:szCs w:val="28"/>
        </w:rPr>
        <w:t xml:space="preserve">международного опыта решения заявленных </w:t>
      </w:r>
      <w:proofErr w:type="gramStart"/>
      <w:r w:rsidR="007321BB" w:rsidRPr="007321BB">
        <w:rPr>
          <w:sz w:val="28"/>
          <w:szCs w:val="28"/>
        </w:rPr>
        <w:t xml:space="preserve">проблем </w:t>
      </w:r>
      <w:r w:rsidR="007321BB">
        <w:rPr>
          <w:sz w:val="28"/>
          <w:szCs w:val="28"/>
        </w:rPr>
        <w:t xml:space="preserve"> отсутствует</w:t>
      </w:r>
      <w:proofErr w:type="gramEnd"/>
      <w:r w:rsidR="007321BB">
        <w:rPr>
          <w:sz w:val="28"/>
          <w:szCs w:val="28"/>
        </w:rPr>
        <w:t>.</w:t>
      </w:r>
    </w:p>
    <w:p w:rsidR="006A280A" w:rsidRPr="006A280A" w:rsidRDefault="006A280A" w:rsidP="007321BB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right"/>
        <w:rPr>
          <w:sz w:val="28"/>
          <w:szCs w:val="28"/>
        </w:rPr>
      </w:pPr>
      <w:r w:rsidRPr="006A280A">
        <w:rPr>
          <w:sz w:val="28"/>
          <w:szCs w:val="28"/>
        </w:rPr>
        <w:t>Таблица 2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2263"/>
        <w:gridCol w:w="1716"/>
        <w:gridCol w:w="1919"/>
        <w:gridCol w:w="2146"/>
        <w:gridCol w:w="1867"/>
      </w:tblGrid>
      <w:tr w:rsidR="006A280A" w:rsidRPr="006A280A" w:rsidTr="00C85756">
        <w:tc>
          <w:tcPr>
            <w:tcW w:w="2263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Наименование проблемы с указанием номера (из таблицы 1)</w:t>
            </w:r>
          </w:p>
        </w:tc>
        <w:tc>
          <w:tcPr>
            <w:tcW w:w="171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№ способа решения проблемы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Описание способа решения заявленной проблемы</w:t>
            </w:r>
          </w:p>
        </w:tc>
        <w:tc>
          <w:tcPr>
            <w:tcW w:w="214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Наименование субъекта РФ (страны)</w:t>
            </w:r>
          </w:p>
        </w:tc>
        <w:tc>
          <w:tcPr>
            <w:tcW w:w="186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 xml:space="preserve">Источник данных </w:t>
            </w:r>
            <w:r w:rsidRPr="006A280A">
              <w:rPr>
                <w:rFonts w:eastAsia="Calibri"/>
                <w:bCs/>
                <w:sz w:val="28"/>
                <w:szCs w:val="28"/>
              </w:rPr>
              <w:t>(название статьи НПА, адрес страницы сайта)</w:t>
            </w:r>
          </w:p>
        </w:tc>
      </w:tr>
      <w:tr w:rsidR="007321BB" w:rsidRPr="006A280A" w:rsidTr="00C85756">
        <w:tc>
          <w:tcPr>
            <w:tcW w:w="2263" w:type="dxa"/>
            <w:shd w:val="clear" w:color="auto" w:fill="auto"/>
            <w:tcMar>
              <w:left w:w="108" w:type="dxa"/>
            </w:tcMar>
          </w:tcPr>
          <w:p w:rsidR="007321BB" w:rsidRPr="006A280A" w:rsidRDefault="007321BB" w:rsidP="007321B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716" w:type="dxa"/>
            <w:shd w:val="clear" w:color="auto" w:fill="auto"/>
            <w:tcMar>
              <w:left w:w="108" w:type="dxa"/>
            </w:tcMar>
          </w:tcPr>
          <w:p w:rsidR="007321BB" w:rsidRDefault="007321BB" w:rsidP="007321BB">
            <w:proofErr w:type="gramStart"/>
            <w:r w:rsidRPr="00062994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7321BB" w:rsidRDefault="007321BB" w:rsidP="007321BB">
            <w:proofErr w:type="gramStart"/>
            <w:r w:rsidRPr="00062994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146" w:type="dxa"/>
            <w:shd w:val="clear" w:color="auto" w:fill="auto"/>
            <w:tcMar>
              <w:left w:w="108" w:type="dxa"/>
            </w:tcMar>
          </w:tcPr>
          <w:p w:rsidR="007321BB" w:rsidRDefault="007321BB" w:rsidP="007321BB">
            <w:proofErr w:type="gramStart"/>
            <w:r w:rsidRPr="00062994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867" w:type="dxa"/>
            <w:shd w:val="clear" w:color="auto" w:fill="auto"/>
            <w:tcMar>
              <w:left w:w="108" w:type="dxa"/>
            </w:tcMar>
          </w:tcPr>
          <w:p w:rsidR="007321BB" w:rsidRDefault="007321BB" w:rsidP="007321BB">
            <w:proofErr w:type="gramStart"/>
            <w:r w:rsidRPr="00062994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i/>
          <w:sz w:val="28"/>
          <w:szCs w:val="28"/>
        </w:rPr>
      </w:pPr>
    </w:p>
    <w:p w:rsidR="006A280A" w:rsidRPr="006A280A" w:rsidRDefault="006A280A" w:rsidP="006A280A">
      <w:pPr>
        <w:pStyle w:val="22"/>
        <w:shd w:val="clear" w:color="auto" w:fill="auto"/>
        <w:tabs>
          <w:tab w:val="left" w:pos="1560"/>
          <w:tab w:val="left" w:pos="3261"/>
        </w:tabs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 Описание иных способов решения заявленных проблем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left="20" w:firstLine="547"/>
        <w:rPr>
          <w:rStyle w:val="a4"/>
          <w:sz w:val="28"/>
          <w:szCs w:val="28"/>
        </w:rPr>
      </w:pPr>
      <w:r w:rsidRPr="006A280A">
        <w:rPr>
          <w:sz w:val="28"/>
          <w:szCs w:val="28"/>
        </w:rPr>
        <w:t>Помимо способов, описанных в таблице</w:t>
      </w:r>
      <w:hyperlink w:anchor="bookmark8">
        <w:r w:rsidRPr="006A280A">
          <w:rPr>
            <w:rStyle w:val="-"/>
            <w:sz w:val="28"/>
            <w:szCs w:val="28"/>
          </w:rPr>
          <w:t xml:space="preserve"> 2 </w:t>
        </w:r>
      </w:hyperlink>
      <w:r w:rsidRPr="006A280A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6A280A">
        <w:rPr>
          <w:rStyle w:val="a4"/>
          <w:sz w:val="28"/>
          <w:szCs w:val="28"/>
        </w:rPr>
        <w:t>способами (в том числе без введения нового регулирования</w:t>
      </w:r>
      <w:proofErr w:type="gramStart"/>
      <w:r w:rsidRPr="006A280A">
        <w:rPr>
          <w:rStyle w:val="a4"/>
          <w:sz w:val="28"/>
          <w:szCs w:val="28"/>
        </w:rPr>
        <w:t>)</w:t>
      </w:r>
      <w:r w:rsidRPr="006A280A">
        <w:rPr>
          <w:rStyle w:val="a6"/>
          <w:sz w:val="28"/>
          <w:szCs w:val="28"/>
        </w:rPr>
        <w:footnoteReference w:id="2"/>
      </w:r>
      <w:r w:rsidRPr="006A280A">
        <w:rPr>
          <w:rStyle w:val="a4"/>
          <w:sz w:val="28"/>
          <w:szCs w:val="28"/>
        </w:rPr>
        <w:t>:</w:t>
      </w:r>
      <w:r w:rsidR="00404E15">
        <w:rPr>
          <w:rStyle w:val="a4"/>
          <w:sz w:val="28"/>
          <w:szCs w:val="28"/>
        </w:rPr>
        <w:t>отсутствует</w:t>
      </w:r>
      <w:proofErr w:type="gramEnd"/>
      <w:r w:rsidR="00404E15">
        <w:rPr>
          <w:rStyle w:val="a4"/>
          <w:sz w:val="28"/>
          <w:szCs w:val="28"/>
        </w:rPr>
        <w:t>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right"/>
        <w:rPr>
          <w:sz w:val="28"/>
          <w:szCs w:val="28"/>
        </w:rPr>
      </w:pPr>
      <w:r w:rsidRPr="006A280A">
        <w:rPr>
          <w:sz w:val="28"/>
          <w:szCs w:val="28"/>
        </w:rPr>
        <w:t>Таблица 3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2447"/>
        <w:gridCol w:w="2010"/>
        <w:gridCol w:w="3336"/>
        <w:gridCol w:w="2118"/>
      </w:tblGrid>
      <w:tr w:rsidR="006A280A" w:rsidRPr="006A280A" w:rsidTr="00404E15">
        <w:tc>
          <w:tcPr>
            <w:tcW w:w="244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Наименование проблемы с указанием номера (из таблицы 1)</w:t>
            </w:r>
          </w:p>
        </w:tc>
        <w:tc>
          <w:tcPr>
            <w:tcW w:w="2010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№ способа решения проблемы</w:t>
            </w:r>
          </w:p>
        </w:tc>
        <w:tc>
          <w:tcPr>
            <w:tcW w:w="333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Описание способа решения заявленной проблемы</w:t>
            </w:r>
          </w:p>
        </w:tc>
        <w:tc>
          <w:tcPr>
            <w:tcW w:w="211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Примечания</w:t>
            </w:r>
          </w:p>
        </w:tc>
      </w:tr>
      <w:tr w:rsidR="00404E15" w:rsidRPr="006A280A" w:rsidTr="00404E15">
        <w:tc>
          <w:tcPr>
            <w:tcW w:w="2447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proofErr w:type="gramStart"/>
            <w:r w:rsidRPr="00D62570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010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proofErr w:type="gramStart"/>
            <w:r w:rsidRPr="00D62570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3336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proofErr w:type="gramStart"/>
            <w:r w:rsidRPr="00D62570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2118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proofErr w:type="gramStart"/>
            <w:r w:rsidRPr="00D62570">
              <w:rPr>
                <w:rFonts w:eastAsia="Calibri"/>
                <w:sz w:val="28"/>
                <w:szCs w:val="28"/>
              </w:rPr>
              <w:t>нет</w:t>
            </w:r>
            <w:proofErr w:type="gramEnd"/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</w:p>
    <w:p w:rsidR="00206072" w:rsidRPr="006A280A" w:rsidRDefault="00206072">
      <w:pPr>
        <w:rPr>
          <w:sz w:val="28"/>
          <w:szCs w:val="28"/>
        </w:rPr>
      </w:pPr>
    </w:p>
    <w:sectPr w:rsidR="00206072" w:rsidRPr="006A280A" w:rsidSect="006A280A">
      <w:pgSz w:w="11906" w:h="16838" w:code="9"/>
      <w:pgMar w:top="1134" w:right="566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0A" w:rsidRDefault="006A280A" w:rsidP="006A280A">
      <w:r>
        <w:separator/>
      </w:r>
    </w:p>
  </w:endnote>
  <w:endnote w:type="continuationSeparator" w:id="0">
    <w:p w:rsidR="006A280A" w:rsidRDefault="006A280A" w:rsidP="006A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0A" w:rsidRDefault="006A280A" w:rsidP="006A280A">
      <w:r>
        <w:separator/>
      </w:r>
    </w:p>
  </w:footnote>
  <w:footnote w:type="continuationSeparator" w:id="0">
    <w:p w:rsidR="006A280A" w:rsidRDefault="006A280A" w:rsidP="006A280A">
      <w:r>
        <w:continuationSeparator/>
      </w:r>
    </w:p>
  </w:footnote>
  <w:footnote w:id="1">
    <w:p w:rsidR="006A280A" w:rsidRDefault="006A280A" w:rsidP="006A280A">
      <w:pPr>
        <w:pStyle w:val="a7"/>
        <w:jc w:val="both"/>
      </w:pPr>
      <w:r>
        <w:rPr>
          <w:rStyle w:val="a5"/>
        </w:rPr>
        <w:footnoteRef/>
      </w:r>
      <w:r>
        <w:rPr>
          <w:rStyle w:val="a5"/>
        </w:rPr>
        <w:tab/>
      </w:r>
      <w:r>
        <w:t xml:space="preserve"> </w:t>
      </w:r>
      <w:r>
        <w:rPr>
          <w:rFonts w:ascii="Times New Roman" w:hAnsi="Times New Roman" w:cs="Times New Roman"/>
        </w:rPr>
        <w:t>В случае отмены функций, высвобождения трудовых и иных ресурсов информацию рекомендуется указать в разделе 6.</w:t>
      </w:r>
    </w:p>
  </w:footnote>
  <w:footnote w:id="2">
    <w:p w:rsidR="006A280A" w:rsidRDefault="006A280A" w:rsidP="006A280A">
      <w:pPr>
        <w:pStyle w:val="a7"/>
      </w:pPr>
      <w:r>
        <w:rPr>
          <w:rStyle w:val="a5"/>
        </w:rPr>
        <w:footnoteRef/>
      </w:r>
      <w:r>
        <w:rPr>
          <w:rStyle w:val="a5"/>
        </w:rPr>
        <w:tab/>
      </w:r>
      <w:r>
        <w:t xml:space="preserve"> </w:t>
      </w:r>
      <w:r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47F7"/>
    <w:multiLevelType w:val="multilevel"/>
    <w:tmpl w:val="18C20B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3460926"/>
    <w:multiLevelType w:val="hybridMultilevel"/>
    <w:tmpl w:val="1F789406"/>
    <w:lvl w:ilvl="0" w:tplc="38581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0A"/>
    <w:rsid w:val="000A66D9"/>
    <w:rsid w:val="00117FDF"/>
    <w:rsid w:val="001906B6"/>
    <w:rsid w:val="00206072"/>
    <w:rsid w:val="00303BED"/>
    <w:rsid w:val="00404E15"/>
    <w:rsid w:val="00520097"/>
    <w:rsid w:val="00657C1E"/>
    <w:rsid w:val="006A280A"/>
    <w:rsid w:val="007321BB"/>
    <w:rsid w:val="008F41D9"/>
    <w:rsid w:val="00CA6A55"/>
    <w:rsid w:val="00F66E3C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54A5A-6111-4F77-BC2B-8D512219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qFormat/>
    <w:locked/>
    <w:rsid w:val="006A280A"/>
    <w:rPr>
      <w:spacing w:val="10"/>
      <w:sz w:val="16"/>
      <w:szCs w:val="16"/>
      <w:shd w:val="clear" w:color="auto" w:fill="FFFFFF"/>
    </w:rPr>
  </w:style>
  <w:style w:type="character" w:customStyle="1" w:styleId="1">
    <w:name w:val="Заголовок 1 Знак"/>
    <w:basedOn w:val="a0"/>
    <w:link w:val="10"/>
    <w:uiPriority w:val="9"/>
    <w:qFormat/>
    <w:rsid w:val="006A280A"/>
    <w:rPr>
      <w:b/>
      <w:bCs/>
      <w:sz w:val="48"/>
      <w:szCs w:val="48"/>
      <w:shd w:val="clear" w:color="auto" w:fill="FFFFFF"/>
    </w:rPr>
  </w:style>
  <w:style w:type="character" w:customStyle="1" w:styleId="a3">
    <w:name w:val="Основной текст + Полужирный"/>
    <w:basedOn w:val="a0"/>
    <w:qFormat/>
    <w:rsid w:val="006A280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0"/>
    <w:qFormat/>
    <w:rsid w:val="006A280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Подпись к таблице (2)_"/>
    <w:basedOn w:val="a0"/>
    <w:link w:val="20"/>
    <w:qFormat/>
    <w:rsid w:val="006A280A"/>
    <w:rPr>
      <w:sz w:val="26"/>
      <w:szCs w:val="26"/>
      <w:shd w:val="clear" w:color="auto" w:fill="FFFFFF"/>
    </w:rPr>
  </w:style>
  <w:style w:type="character" w:customStyle="1" w:styleId="a4">
    <w:name w:val="Подпись к таблице"/>
    <w:basedOn w:val="a0"/>
    <w:qFormat/>
    <w:rsid w:val="006A28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a5">
    <w:name w:val="footnote reference"/>
    <w:basedOn w:val="a0"/>
    <w:uiPriority w:val="99"/>
    <w:semiHidden/>
    <w:unhideWhenUsed/>
    <w:qFormat/>
    <w:rsid w:val="006A280A"/>
    <w:rPr>
      <w:vertAlign w:val="superscript"/>
    </w:rPr>
  </w:style>
  <w:style w:type="character" w:customStyle="1" w:styleId="-">
    <w:name w:val="Интернет-ссылка"/>
    <w:rsid w:val="006A280A"/>
    <w:rPr>
      <w:color w:val="000080"/>
      <w:u w:val="single"/>
    </w:rPr>
  </w:style>
  <w:style w:type="character" w:customStyle="1" w:styleId="a6">
    <w:name w:val="Привязка сноски"/>
    <w:rsid w:val="006A280A"/>
    <w:rPr>
      <w:vertAlign w:val="superscript"/>
    </w:rPr>
  </w:style>
  <w:style w:type="paragraph" w:customStyle="1" w:styleId="ConsPlusNormal">
    <w:name w:val="ConsPlusNormal"/>
    <w:qFormat/>
    <w:rsid w:val="006A280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qFormat/>
    <w:rsid w:val="006A280A"/>
    <w:pPr>
      <w:widowControl w:val="0"/>
      <w:shd w:val="clear" w:color="auto" w:fill="FFFFFF"/>
      <w:spacing w:before="240" w:after="180" w:line="226" w:lineRule="exact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paragraph" w:customStyle="1" w:styleId="10">
    <w:name w:val="Заголовок №1"/>
    <w:basedOn w:val="a"/>
    <w:link w:val="1"/>
    <w:uiPriority w:val="9"/>
    <w:qFormat/>
    <w:rsid w:val="006A280A"/>
    <w:pPr>
      <w:widowControl w:val="0"/>
      <w:shd w:val="clear" w:color="auto" w:fill="FFFFFF"/>
      <w:spacing w:after="600"/>
      <w:jc w:val="center"/>
      <w:outlineLvl w:val="0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  <w:style w:type="paragraph" w:customStyle="1" w:styleId="20">
    <w:name w:val="Заголовок №2"/>
    <w:basedOn w:val="a"/>
    <w:link w:val="2"/>
    <w:qFormat/>
    <w:rsid w:val="006A280A"/>
    <w:pPr>
      <w:widowControl w:val="0"/>
      <w:shd w:val="clear" w:color="auto" w:fill="FFFFFF"/>
      <w:spacing w:before="600" w:after="480"/>
      <w:jc w:val="both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6A280A"/>
    <w:pPr>
      <w:widowControl w:val="0"/>
      <w:shd w:val="clear" w:color="auto" w:fill="FFFFFF"/>
      <w:spacing w:before="360" w:after="180"/>
      <w:jc w:val="both"/>
    </w:pPr>
    <w:rPr>
      <w:color w:val="000000"/>
      <w:sz w:val="26"/>
      <w:szCs w:val="26"/>
      <w:lang w:bidi="ru-RU"/>
    </w:rPr>
  </w:style>
  <w:style w:type="paragraph" w:customStyle="1" w:styleId="22">
    <w:name w:val="Подпись к таблице (2)"/>
    <w:basedOn w:val="a"/>
    <w:qFormat/>
    <w:rsid w:val="006A280A"/>
    <w:pPr>
      <w:widowControl w:val="0"/>
      <w:shd w:val="clear" w:color="auto" w:fill="FFFFFF"/>
    </w:pPr>
    <w:rPr>
      <w:b/>
      <w:bCs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qFormat/>
    <w:rsid w:val="006A280A"/>
    <w:pPr>
      <w:widowControl w:val="0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A280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table" w:styleId="a9">
    <w:name w:val="Table Grid"/>
    <w:basedOn w:val="a1"/>
    <w:uiPriority w:val="59"/>
    <w:rsid w:val="006A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57C1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6A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6A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elnoebu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О. Фаламеева</dc:creator>
  <cp:keywords/>
  <dc:description/>
  <cp:lastModifiedBy>Ксения О. Фаламеева</cp:lastModifiedBy>
  <cp:revision>4</cp:revision>
  <cp:lastPrinted>2018-02-28T10:01:00Z</cp:lastPrinted>
  <dcterms:created xsi:type="dcterms:W3CDTF">2018-02-28T03:39:00Z</dcterms:created>
  <dcterms:modified xsi:type="dcterms:W3CDTF">2018-02-28T10:16:00Z</dcterms:modified>
</cp:coreProperties>
</file>