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04AA1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A5676">
        <w:rPr>
          <w:sz w:val="28"/>
          <w:szCs w:val="28"/>
        </w:rPr>
        <w:t>. </w:t>
      </w:r>
      <w:r w:rsidR="004B20D6" w:rsidRPr="00104AA1">
        <w:rPr>
          <w:sz w:val="28"/>
          <w:szCs w:val="28"/>
        </w:rPr>
        <w:t>Общая информация</w:t>
      </w:r>
    </w:p>
    <w:p w:rsidR="00572B66" w:rsidRDefault="003941D5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104AA1" w:rsidRDefault="00E91D0B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постановления Правительства Новосибирской области «</w:t>
      </w:r>
      <w:r w:rsidRPr="00E91D0B">
        <w:rPr>
          <w:b w:val="0"/>
          <w:sz w:val="28"/>
          <w:szCs w:val="28"/>
        </w:rPr>
        <w:t>О внесении изменений в постановление Правительства Новосибирской области от 20.07.2015 № 266˗</w:t>
      </w:r>
      <w:proofErr w:type="gramStart"/>
      <w:r w:rsidRPr="00E91D0B"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>».</w:t>
      </w:r>
    </w:p>
    <w:p w:rsidR="00E91D0B" w:rsidRPr="00104AA1" w:rsidRDefault="00E91D0B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202AD9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E62EF0" w:rsidRDefault="00572B6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572B66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495583" w:rsidRPr="00495583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</w:p>
    <w:p w:rsidR="00104AA1" w:rsidRPr="00495583" w:rsidRDefault="00572B66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72B66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572B66">
        <w:rPr>
          <w:sz w:val="28"/>
          <w:szCs w:val="28"/>
        </w:rPr>
        <w:t xml:space="preserve"> транспорта и дорожного хозяйства Новосибирской области</w:t>
      </w: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>Сокол Л.Г.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proofErr w:type="spellStart"/>
      <w:r w:rsidR="00572B66" w:rsidRPr="00572B66">
        <w:rPr>
          <w:sz w:val="28"/>
          <w:szCs w:val="28"/>
        </w:rPr>
        <w:t>консультант˗юрист</w:t>
      </w:r>
      <w:proofErr w:type="spellEnd"/>
      <w:r w:rsidR="00572B66" w:rsidRPr="00572B66">
        <w:rPr>
          <w:sz w:val="28"/>
          <w:szCs w:val="28"/>
        </w:rPr>
        <w:t xml:space="preserve"> министерства транспорта и дорожного хозяйства Новосибирской области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 xml:space="preserve">223 39 68, </w:t>
      </w:r>
      <w:proofErr w:type="spellStart"/>
      <w:r w:rsidR="00572B66" w:rsidRPr="00572B66">
        <w:rPr>
          <w:sz w:val="28"/>
          <w:szCs w:val="28"/>
          <w:lang w:val="en-US"/>
        </w:rPr>
        <w:t>slg</w:t>
      </w:r>
      <w:proofErr w:type="spellEnd"/>
      <w:r w:rsidR="00572B66" w:rsidRPr="00572B66">
        <w:rPr>
          <w:sz w:val="28"/>
          <w:szCs w:val="28"/>
        </w:rPr>
        <w:t>@</w:t>
      </w:r>
      <w:proofErr w:type="spellStart"/>
      <w:r w:rsidR="00572B66" w:rsidRPr="00572B66">
        <w:rPr>
          <w:sz w:val="28"/>
          <w:szCs w:val="28"/>
          <w:lang w:val="en-US"/>
        </w:rPr>
        <w:t>nso</w:t>
      </w:r>
      <w:proofErr w:type="spellEnd"/>
      <w:r w:rsidR="00572B66" w:rsidRPr="00572B66">
        <w:rPr>
          <w:sz w:val="28"/>
          <w:szCs w:val="28"/>
        </w:rPr>
        <w:t>.</w:t>
      </w:r>
      <w:proofErr w:type="spellStart"/>
      <w:r w:rsidR="00572B66" w:rsidRPr="00572B66">
        <w:rPr>
          <w:sz w:val="28"/>
          <w:szCs w:val="28"/>
          <w:lang w:val="en-US"/>
        </w:rPr>
        <w:t>ru</w:t>
      </w:r>
      <w:proofErr w:type="spellEnd"/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894A5C" w:rsidRPr="00EB551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1.1. </w:t>
      </w:r>
      <w:r w:rsidR="006E16B7" w:rsidRPr="00EB551F">
        <w:rPr>
          <w:color w:val="auto"/>
          <w:sz w:val="28"/>
          <w:szCs w:val="28"/>
        </w:rPr>
        <w:t>Проблемы и их негативные эффекты</w:t>
      </w:r>
    </w:p>
    <w:p w:rsidR="00894A5C" w:rsidRPr="00EB551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EB551F">
          <w:rPr>
            <w:color w:val="auto"/>
            <w:sz w:val="28"/>
            <w:szCs w:val="28"/>
          </w:rPr>
          <w:t xml:space="preserve"> 1 </w:t>
        </w:r>
      </w:hyperlink>
      <w:r w:rsidRPr="00EB551F">
        <w:rPr>
          <w:color w:val="auto"/>
          <w:sz w:val="28"/>
          <w:szCs w:val="28"/>
        </w:rPr>
        <w:t>части II</w:t>
      </w:r>
      <w:r w:rsidR="00123900" w:rsidRPr="00EB551F">
        <w:rPr>
          <w:color w:val="auto"/>
          <w:sz w:val="28"/>
          <w:szCs w:val="28"/>
        </w:rPr>
        <w:t>I</w:t>
      </w:r>
      <w:r w:rsidRPr="00EB551F">
        <w:rPr>
          <w:color w:val="auto"/>
          <w:sz w:val="28"/>
          <w:szCs w:val="28"/>
        </w:rPr>
        <w:t xml:space="preserve"> настоящего сводного отч</w:t>
      </w:r>
      <w:r w:rsidR="00DE788A" w:rsidRPr="00EB551F">
        <w:rPr>
          <w:color w:val="auto"/>
          <w:sz w:val="28"/>
          <w:szCs w:val="28"/>
        </w:rPr>
        <w:t>е</w:t>
      </w:r>
      <w:r w:rsidRPr="00EB551F">
        <w:rPr>
          <w:color w:val="auto"/>
          <w:sz w:val="28"/>
          <w:szCs w:val="28"/>
        </w:rPr>
        <w:t>та.</w:t>
      </w:r>
    </w:p>
    <w:p w:rsidR="006A5676" w:rsidRPr="00EB551F" w:rsidRDefault="00EB551F" w:rsidP="00EB551F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ab/>
      </w:r>
      <w:r w:rsidR="00EF2109" w:rsidRPr="00EF2109">
        <w:rPr>
          <w:color w:val="auto"/>
          <w:sz w:val="28"/>
          <w:szCs w:val="28"/>
        </w:rPr>
        <w:t xml:space="preserve">Противоречит нормам </w:t>
      </w:r>
      <w:proofErr w:type="gramStart"/>
      <w:r w:rsidR="00EF2109" w:rsidRPr="00EF2109">
        <w:rPr>
          <w:color w:val="auto"/>
          <w:sz w:val="28"/>
          <w:szCs w:val="28"/>
        </w:rPr>
        <w:t>действующего</w:t>
      </w:r>
      <w:proofErr w:type="gramEnd"/>
      <w:r w:rsidR="00EF2109" w:rsidRPr="00EF2109">
        <w:rPr>
          <w:color w:val="auto"/>
          <w:sz w:val="28"/>
          <w:szCs w:val="28"/>
        </w:rPr>
        <w:t xml:space="preserve"> федерального законодательства</w:t>
      </w:r>
      <w:r w:rsidR="00816035">
        <w:rPr>
          <w:color w:val="auto"/>
          <w:sz w:val="28"/>
          <w:szCs w:val="28"/>
        </w:rPr>
        <w:t>.</w:t>
      </w:r>
      <w:r w:rsidR="00EF2109" w:rsidRPr="00EF2109">
        <w:rPr>
          <w:color w:val="auto"/>
          <w:sz w:val="28"/>
          <w:szCs w:val="28"/>
        </w:rPr>
        <w:tab/>
        <w:t>Форма определения специализированной организации не предусмотрена приказом ФАС России, поэтому торги по определению таких организаций на территориях оставшихся муниципальных районов Новосибирской области проводиться не могут</w:t>
      </w:r>
    </w:p>
    <w:p w:rsidR="00123900" w:rsidRPr="00251DE4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FF0000"/>
          <w:sz w:val="28"/>
          <w:szCs w:val="28"/>
        </w:rPr>
      </w:pPr>
    </w:p>
    <w:p w:rsidR="00894A5C" w:rsidRPr="00E3764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1.2. </w:t>
      </w:r>
      <w:r w:rsidR="006E16B7" w:rsidRPr="00E3764C">
        <w:rPr>
          <w:color w:val="auto"/>
          <w:sz w:val="28"/>
          <w:szCs w:val="28"/>
        </w:rPr>
        <w:t>Способы решения заявленных проблем</w:t>
      </w:r>
      <w:r w:rsidR="00DE788A" w:rsidRPr="00E3764C">
        <w:rPr>
          <w:color w:val="auto"/>
          <w:sz w:val="28"/>
          <w:szCs w:val="28"/>
        </w:rPr>
        <w:t>, в том числе в других субъектах Российской Федерации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E3764C">
          <w:rPr>
            <w:color w:val="auto"/>
            <w:sz w:val="28"/>
            <w:szCs w:val="28"/>
          </w:rPr>
          <w:t xml:space="preserve"> 2-</w:t>
        </w:r>
      </w:hyperlink>
      <w:hyperlink w:anchor="bookmark10" w:tooltip="Current Document">
        <w:r w:rsidRPr="00E3764C">
          <w:rPr>
            <w:color w:val="auto"/>
            <w:sz w:val="28"/>
            <w:szCs w:val="28"/>
          </w:rPr>
          <w:t xml:space="preserve">4 </w:t>
        </w:r>
      </w:hyperlink>
      <w:r w:rsidRPr="00E3764C">
        <w:rPr>
          <w:color w:val="auto"/>
          <w:sz w:val="28"/>
          <w:szCs w:val="28"/>
        </w:rPr>
        <w:t>части II</w:t>
      </w:r>
      <w:r w:rsidR="00DE788A" w:rsidRPr="00E3764C">
        <w:rPr>
          <w:color w:val="auto"/>
          <w:sz w:val="28"/>
          <w:szCs w:val="28"/>
        </w:rPr>
        <w:t>I</w:t>
      </w:r>
      <w:r w:rsidRPr="00E3764C">
        <w:rPr>
          <w:color w:val="auto"/>
          <w:sz w:val="28"/>
          <w:szCs w:val="28"/>
        </w:rPr>
        <w:t xml:space="preserve"> настоящего сводного отч</w:t>
      </w:r>
      <w:r w:rsidR="00DE788A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та.</w:t>
      </w:r>
    </w:p>
    <w:p w:rsidR="00DE788A" w:rsidRPr="00E3764C" w:rsidRDefault="006E16B7" w:rsidP="00E3764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 xml:space="preserve">Указанные способы сводятся </w:t>
      </w:r>
      <w:proofErr w:type="gramStart"/>
      <w:r w:rsidRPr="00E3764C">
        <w:rPr>
          <w:color w:val="auto"/>
          <w:sz w:val="28"/>
          <w:szCs w:val="28"/>
        </w:rPr>
        <w:t>к</w:t>
      </w:r>
      <w:proofErr w:type="gramEnd"/>
      <w:r w:rsidRPr="00E3764C">
        <w:rPr>
          <w:color w:val="auto"/>
          <w:sz w:val="28"/>
          <w:szCs w:val="28"/>
        </w:rPr>
        <w:t xml:space="preserve"> следующим:</w:t>
      </w:r>
      <w:r w:rsidR="00DE788A" w:rsidRPr="00E3764C">
        <w:rPr>
          <w:color w:val="auto"/>
          <w:sz w:val="28"/>
          <w:szCs w:val="28"/>
        </w:rPr>
        <w:t xml:space="preserve"> </w:t>
      </w:r>
    </w:p>
    <w:p w:rsidR="00DE788A" w:rsidRDefault="00E3764C" w:rsidP="00E91D0B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ab/>
        <w:t xml:space="preserve">1.Внесение изменений в </w:t>
      </w:r>
      <w:r w:rsidR="00E91D0B">
        <w:rPr>
          <w:color w:val="auto"/>
          <w:sz w:val="28"/>
          <w:szCs w:val="28"/>
        </w:rPr>
        <w:t>постановление Правительства Новосибирской области от 20.07.2015 № 266</w:t>
      </w:r>
      <w:r w:rsidR="00E91D0B" w:rsidRPr="00E91D0B">
        <w:rPr>
          <w:color w:val="auto"/>
          <w:sz w:val="28"/>
          <w:szCs w:val="28"/>
        </w:rPr>
        <w:t>˗</w:t>
      </w:r>
      <w:proofErr w:type="gramStart"/>
      <w:r w:rsidR="00E91D0B">
        <w:rPr>
          <w:color w:val="auto"/>
          <w:sz w:val="28"/>
          <w:szCs w:val="28"/>
        </w:rPr>
        <w:t>п</w:t>
      </w:r>
      <w:proofErr w:type="gramEnd"/>
      <w:r w:rsidR="00E91D0B">
        <w:rPr>
          <w:color w:val="auto"/>
          <w:sz w:val="28"/>
          <w:szCs w:val="28"/>
        </w:rPr>
        <w:t xml:space="preserve"> </w:t>
      </w:r>
      <w:r w:rsidR="00E91D0B" w:rsidRPr="00E91D0B">
        <w:rPr>
          <w:color w:val="auto"/>
          <w:sz w:val="28"/>
          <w:szCs w:val="28"/>
        </w:rPr>
        <w:t xml:space="preserve">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 </w:t>
      </w:r>
    </w:p>
    <w:p w:rsidR="00E91D0B" w:rsidRPr="00E3764C" w:rsidRDefault="00E91D0B" w:rsidP="00E91D0B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color w:val="auto"/>
          <w:sz w:val="28"/>
          <w:szCs w:val="28"/>
        </w:rPr>
      </w:pPr>
    </w:p>
    <w:p w:rsidR="00894A5C" w:rsidRPr="00104AA1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DE788A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Описание предлагаемого регулирования</w:t>
      </w:r>
      <w:bookmarkEnd w:id="3"/>
    </w:p>
    <w:p w:rsidR="00251DE4" w:rsidRDefault="00251DE4" w:rsidP="00B54E23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 w:rsidRPr="00CB7788">
        <w:rPr>
          <w:sz w:val="28"/>
          <w:szCs w:val="28"/>
        </w:rPr>
        <w:lastRenderedPageBreak/>
        <w:tab/>
      </w:r>
      <w:r w:rsidR="00E91D0B" w:rsidRPr="00E91D0B">
        <w:rPr>
          <w:sz w:val="28"/>
          <w:szCs w:val="28"/>
        </w:rPr>
        <w:t>Федеральн</w:t>
      </w:r>
      <w:r w:rsidR="00E91D0B">
        <w:rPr>
          <w:sz w:val="28"/>
          <w:szCs w:val="28"/>
        </w:rPr>
        <w:t>ая</w:t>
      </w:r>
      <w:r w:rsidR="00E91D0B" w:rsidRPr="00E91D0B">
        <w:rPr>
          <w:sz w:val="28"/>
          <w:szCs w:val="28"/>
        </w:rPr>
        <w:t xml:space="preserve"> антимонопольн</w:t>
      </w:r>
      <w:r w:rsidR="00E91D0B">
        <w:rPr>
          <w:sz w:val="28"/>
          <w:szCs w:val="28"/>
        </w:rPr>
        <w:t>ая</w:t>
      </w:r>
      <w:r w:rsidR="00E91D0B" w:rsidRPr="00E91D0B">
        <w:rPr>
          <w:sz w:val="28"/>
          <w:szCs w:val="28"/>
        </w:rPr>
        <w:t xml:space="preserve"> служб</w:t>
      </w:r>
      <w:r w:rsidR="00B54E23">
        <w:rPr>
          <w:sz w:val="28"/>
          <w:szCs w:val="28"/>
        </w:rPr>
        <w:t>а</w:t>
      </w:r>
      <w:r w:rsidR="00E91D0B" w:rsidRPr="00E91D0B">
        <w:rPr>
          <w:sz w:val="28"/>
          <w:szCs w:val="28"/>
        </w:rPr>
        <w:t xml:space="preserve"> РФ </w:t>
      </w:r>
      <w:r w:rsidR="00B54E23" w:rsidRPr="00E91D0B">
        <w:rPr>
          <w:sz w:val="28"/>
          <w:szCs w:val="28"/>
        </w:rPr>
        <w:t>приказом от 15.08.2016 №</w:t>
      </w:r>
      <w:r w:rsidR="00B54E23">
        <w:rPr>
          <w:sz w:val="28"/>
          <w:szCs w:val="28"/>
        </w:rPr>
        <w:t xml:space="preserve"> 1145/16 утвердила </w:t>
      </w:r>
      <w:r w:rsidR="00E91D0B" w:rsidRPr="00E91D0B">
        <w:rPr>
          <w:sz w:val="28"/>
          <w:szCs w:val="28"/>
        </w:rPr>
        <w:t>методически</w:t>
      </w:r>
      <w:r w:rsidR="00B54E23">
        <w:rPr>
          <w:sz w:val="28"/>
          <w:szCs w:val="28"/>
        </w:rPr>
        <w:t>е</w:t>
      </w:r>
      <w:r w:rsidR="00E91D0B" w:rsidRPr="00E91D0B">
        <w:rPr>
          <w:sz w:val="28"/>
          <w:szCs w:val="28"/>
        </w:rPr>
        <w:t xml:space="preserve"> указани</w:t>
      </w:r>
      <w:r w:rsidR="00B54E23">
        <w:rPr>
          <w:sz w:val="28"/>
          <w:szCs w:val="28"/>
        </w:rPr>
        <w:t>я</w:t>
      </w:r>
      <w:r w:rsidR="00E91D0B" w:rsidRPr="00E91D0B">
        <w:rPr>
          <w:sz w:val="28"/>
          <w:szCs w:val="28"/>
        </w:rPr>
        <w:t xml:space="preserve"> по расчету тарифов на перемещение и хранение задержанных транспортных средств и установлению сроков оплаты утвержденных </w:t>
      </w:r>
      <w:r w:rsidR="00B54E23">
        <w:rPr>
          <w:sz w:val="28"/>
          <w:szCs w:val="28"/>
        </w:rPr>
        <w:t>тарифов.</w:t>
      </w:r>
    </w:p>
    <w:p w:rsidR="00B54E23" w:rsidRPr="00B54E23" w:rsidRDefault="00B54E23" w:rsidP="00B54E23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ab/>
      </w:r>
      <w:r w:rsidRPr="00B54E23">
        <w:rPr>
          <w:sz w:val="28"/>
          <w:szCs w:val="28"/>
        </w:rPr>
        <w:t xml:space="preserve">Данные методические указания </w:t>
      </w:r>
      <w:r>
        <w:rPr>
          <w:sz w:val="28"/>
          <w:szCs w:val="28"/>
        </w:rPr>
        <w:t>указывают</w:t>
      </w:r>
      <w:r w:rsidRPr="00B54E23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на</w:t>
      </w:r>
      <w:r w:rsidRPr="00B54E23">
        <w:rPr>
          <w:sz w:val="28"/>
          <w:szCs w:val="28"/>
        </w:rPr>
        <w:t xml:space="preserve"> 3 формы определения специализированных организаций:</w:t>
      </w:r>
    </w:p>
    <w:p w:rsidR="00B54E23" w:rsidRPr="00B54E23" w:rsidRDefault="00B54E23" w:rsidP="00B54E23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 w:rsidRPr="00B54E23">
        <w:rPr>
          <w:sz w:val="28"/>
          <w:szCs w:val="28"/>
        </w:rPr>
        <w:tab/>
        <w:t>1. Аукцион на понижение цены от базового уровня тарифов на перемещение и хранение задержанных транспортных средств.</w:t>
      </w:r>
    </w:p>
    <w:p w:rsidR="00B54E23" w:rsidRPr="00B54E23" w:rsidRDefault="00B54E23" w:rsidP="00B54E23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 w:rsidRPr="00B54E23">
        <w:rPr>
          <w:sz w:val="28"/>
          <w:szCs w:val="28"/>
        </w:rPr>
        <w:tab/>
        <w:t xml:space="preserve">2. Торги по Федеральному закону от 05.04.2013 № 44˗ФЗ «О контрактной системе в сфере закупок товаров, работ, услуг для обеспечения государственных и муниципальных нужд» (в случае </w:t>
      </w:r>
      <w:r>
        <w:rPr>
          <w:sz w:val="28"/>
          <w:szCs w:val="28"/>
        </w:rPr>
        <w:t xml:space="preserve">оплаты </w:t>
      </w:r>
      <w:r w:rsidRPr="00B54E23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за счет бюджетных средств</w:t>
      </w:r>
      <w:r w:rsidRPr="00B54E23">
        <w:rPr>
          <w:sz w:val="28"/>
          <w:szCs w:val="28"/>
        </w:rPr>
        <w:t>).</w:t>
      </w:r>
    </w:p>
    <w:p w:rsidR="00B54E23" w:rsidRPr="00B54E23" w:rsidRDefault="00B54E23" w:rsidP="00B54E23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 w:rsidRPr="00B54E23">
        <w:rPr>
          <w:sz w:val="28"/>
          <w:szCs w:val="28"/>
        </w:rPr>
        <w:tab/>
        <w:t>3. Создание государственного учреждения.</w:t>
      </w:r>
    </w:p>
    <w:p w:rsidR="00B54E23" w:rsidRDefault="00B54E23" w:rsidP="00B54E23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8"/>
          <w:szCs w:val="28"/>
        </w:rPr>
      </w:pPr>
      <w:r w:rsidRPr="00B54E23">
        <w:rPr>
          <w:sz w:val="28"/>
          <w:szCs w:val="28"/>
        </w:rPr>
        <w:tab/>
        <w:t>Необходимость внесения изменений подтвержден</w:t>
      </w:r>
      <w:r>
        <w:rPr>
          <w:sz w:val="28"/>
          <w:szCs w:val="28"/>
        </w:rPr>
        <w:t>а</w:t>
      </w:r>
      <w:r w:rsidRPr="00B54E23">
        <w:rPr>
          <w:sz w:val="28"/>
          <w:szCs w:val="28"/>
        </w:rPr>
        <w:t xml:space="preserve"> письмом Минюста НСО от 10.02.2017 года № 137˗07/9˗Вн.</w:t>
      </w:r>
    </w:p>
    <w:p w:rsidR="00DE788A" w:rsidRDefault="00DE788A" w:rsidP="00DE788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9F495F" w:rsidRDefault="00251DE4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внесения изменений обусловлена </w:t>
      </w:r>
      <w:r w:rsidR="00B54E23">
        <w:rPr>
          <w:sz w:val="28"/>
          <w:szCs w:val="28"/>
        </w:rPr>
        <w:t xml:space="preserve">тем, что порядок определения </w:t>
      </w:r>
      <w:proofErr w:type="spellStart"/>
      <w:r w:rsidR="00B54E23">
        <w:rPr>
          <w:sz w:val="28"/>
          <w:szCs w:val="28"/>
        </w:rPr>
        <w:t>спецорганизаций</w:t>
      </w:r>
      <w:proofErr w:type="spellEnd"/>
      <w:r w:rsidR="00B54E23">
        <w:rPr>
          <w:sz w:val="28"/>
          <w:szCs w:val="28"/>
        </w:rPr>
        <w:t>, установленный постановлением Правительства Новосибирской области № 266</w:t>
      </w:r>
      <w:r w:rsidR="00B54E23" w:rsidRPr="00B54E23">
        <w:rPr>
          <w:sz w:val="28"/>
          <w:szCs w:val="28"/>
        </w:rPr>
        <w:t>˗</w:t>
      </w:r>
      <w:proofErr w:type="gramStart"/>
      <w:r w:rsidR="00B54E23">
        <w:rPr>
          <w:sz w:val="28"/>
          <w:szCs w:val="28"/>
        </w:rPr>
        <w:t>п</w:t>
      </w:r>
      <w:proofErr w:type="gramEnd"/>
      <w:r w:rsidR="00B54E23">
        <w:rPr>
          <w:sz w:val="28"/>
          <w:szCs w:val="28"/>
        </w:rPr>
        <w:t xml:space="preserve">, противоречит </w:t>
      </w:r>
      <w:r w:rsidR="00B54E23" w:rsidRPr="00B54E23">
        <w:rPr>
          <w:sz w:val="28"/>
          <w:szCs w:val="28"/>
        </w:rPr>
        <w:t>приказ</w:t>
      </w:r>
      <w:r w:rsidR="00B54E23">
        <w:rPr>
          <w:sz w:val="28"/>
          <w:szCs w:val="28"/>
        </w:rPr>
        <w:t>у ФАС России</w:t>
      </w:r>
      <w:r w:rsidR="00B54E23" w:rsidRPr="00B54E23">
        <w:rPr>
          <w:sz w:val="28"/>
          <w:szCs w:val="28"/>
        </w:rPr>
        <w:t xml:space="preserve"> от 15.08.2016 № 1145/16</w:t>
      </w:r>
    </w:p>
    <w:p w:rsidR="00B54E23" w:rsidRPr="00251DE4" w:rsidRDefault="00B54E23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38156C" w:rsidRPr="00EF2109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F2109">
        <w:rPr>
          <w:color w:val="auto"/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EF2109" w:rsidRPr="00EF2109" w:rsidTr="004D605D">
        <w:tc>
          <w:tcPr>
            <w:tcW w:w="655" w:type="dxa"/>
            <w:vAlign w:val="center"/>
          </w:tcPr>
          <w:p w:rsidR="0038156C" w:rsidRPr="00EF210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F2109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EF2109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EF2109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EF210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F2109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EF2109">
              <w:rPr>
                <w:b/>
                <w:color w:val="auto"/>
                <w:sz w:val="24"/>
                <w:szCs w:val="24"/>
              </w:rPr>
              <w:t>номер</w:t>
            </w:r>
            <w:r w:rsidRPr="00EF2109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EF210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F2109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EF2109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F2109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EF2109" w:rsidRPr="00EF2109" w:rsidTr="0081360E">
        <w:tc>
          <w:tcPr>
            <w:tcW w:w="655" w:type="dxa"/>
          </w:tcPr>
          <w:p w:rsidR="0038156C" w:rsidRPr="00EF2109" w:rsidRDefault="00EF2109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F210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8156C" w:rsidRPr="00EF2109" w:rsidRDefault="00EF2109" w:rsidP="00F7441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F2109">
              <w:rPr>
                <w:color w:val="auto"/>
                <w:sz w:val="28"/>
                <w:szCs w:val="28"/>
              </w:rPr>
              <w:t>Форма</w:t>
            </w:r>
            <w:r w:rsidR="00F7441A" w:rsidRPr="00F7441A">
              <w:rPr>
                <w:color w:val="auto"/>
                <w:sz w:val="28"/>
                <w:szCs w:val="28"/>
              </w:rPr>
              <w:t xml:space="preserve"> </w:t>
            </w:r>
            <w:r w:rsidR="00F7441A">
              <w:rPr>
                <w:color w:val="auto"/>
                <w:sz w:val="28"/>
                <w:szCs w:val="28"/>
              </w:rPr>
              <w:t xml:space="preserve">проведения торгов по </w:t>
            </w:r>
            <w:r w:rsidRPr="00EF2109">
              <w:rPr>
                <w:color w:val="auto"/>
                <w:sz w:val="28"/>
                <w:szCs w:val="28"/>
              </w:rPr>
              <w:t xml:space="preserve"> определени</w:t>
            </w:r>
            <w:r w:rsidR="00F7441A">
              <w:rPr>
                <w:color w:val="auto"/>
                <w:sz w:val="28"/>
                <w:szCs w:val="28"/>
              </w:rPr>
              <w:t>ю</w:t>
            </w:r>
            <w:r w:rsidRPr="00EF2109">
              <w:rPr>
                <w:color w:val="auto"/>
                <w:sz w:val="28"/>
                <w:szCs w:val="28"/>
              </w:rPr>
              <w:t xml:space="preserve"> специализированной организации, осуществляющей перемещение, хранение и возврат задержанных транспортных средств не соответствует формам, указанным в приказе ФАС России</w:t>
            </w:r>
          </w:p>
        </w:tc>
        <w:tc>
          <w:tcPr>
            <w:tcW w:w="2976" w:type="dxa"/>
          </w:tcPr>
          <w:p w:rsidR="0038156C" w:rsidRPr="00EF2109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F2109">
              <w:rPr>
                <w:color w:val="auto"/>
                <w:sz w:val="28"/>
                <w:szCs w:val="28"/>
              </w:rPr>
              <w:t>˗</w:t>
            </w:r>
          </w:p>
        </w:tc>
        <w:tc>
          <w:tcPr>
            <w:tcW w:w="2945" w:type="dxa"/>
          </w:tcPr>
          <w:p w:rsidR="0038156C" w:rsidRPr="00EF2109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F2109">
              <w:rPr>
                <w:color w:val="auto"/>
                <w:sz w:val="28"/>
                <w:szCs w:val="28"/>
              </w:rPr>
              <w:t>˗</w:t>
            </w:r>
          </w:p>
        </w:tc>
      </w:tr>
    </w:tbl>
    <w:p w:rsidR="0038156C" w:rsidRPr="00B54E23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FF0000"/>
          <w:sz w:val="28"/>
          <w:szCs w:val="28"/>
        </w:rPr>
      </w:pPr>
    </w:p>
    <w:p w:rsidR="00894A5C" w:rsidRPr="00E3764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2.4. Описание способа расче</w:t>
      </w:r>
      <w:r w:rsidR="006E16B7" w:rsidRPr="00E3764C">
        <w:rPr>
          <w:color w:val="auto"/>
          <w:sz w:val="28"/>
          <w:szCs w:val="28"/>
        </w:rPr>
        <w:t>та (оценки) индикаторов</w:t>
      </w:r>
      <w:r w:rsidRPr="00E3764C">
        <w:rPr>
          <w:color w:val="auto"/>
          <w:sz w:val="28"/>
          <w:szCs w:val="28"/>
        </w:rPr>
        <w:t xml:space="preserve"> достижения цели предлагаемого регулирования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Индикаторы, привед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нные в пункте</w:t>
      </w:r>
      <w:hyperlink w:anchor="bookmark5" w:tooltip="Current Document">
        <w:r w:rsidRPr="00E3764C">
          <w:rPr>
            <w:color w:val="auto"/>
            <w:sz w:val="28"/>
            <w:szCs w:val="28"/>
          </w:rPr>
          <w:t xml:space="preserve"> 2.3 </w:t>
        </w:r>
      </w:hyperlink>
      <w:r w:rsidRPr="00E3764C">
        <w:rPr>
          <w:color w:val="auto"/>
          <w:sz w:val="28"/>
          <w:szCs w:val="28"/>
        </w:rPr>
        <w:t>настоящего сводного отч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E3764C" w:rsidRPr="00E3764C">
        <w:rPr>
          <w:color w:val="auto"/>
          <w:sz w:val="28"/>
          <w:szCs w:val="28"/>
        </w:rPr>
        <w:t xml:space="preserve"> отсутствуют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94A5C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9F495F">
        <w:rPr>
          <w:sz w:val="28"/>
          <w:szCs w:val="28"/>
        </w:rPr>
        <w:t xml:space="preserve"> отсутствуют</w:t>
      </w:r>
    </w:p>
    <w:p w:rsid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CB5FA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9F495F" w:rsidRP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9F495F" w:rsidRDefault="00EF210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Приведение норм субъекта Российской Федерации в соответствие с нормами действующего федерального законодательства.</w:t>
      </w:r>
    </w:p>
    <w:p w:rsidR="00EF2109" w:rsidRDefault="00EF210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1"/>
        <w:gridCol w:w="3465"/>
        <w:gridCol w:w="3468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4B1031" w:rsidRDefault="002F6953" w:rsidP="00B54E23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ИП и ю</w:t>
            </w:r>
            <w:r w:rsidR="00B54E23">
              <w:rPr>
                <w:b w:val="0"/>
                <w:sz w:val="28"/>
                <w:szCs w:val="28"/>
              </w:rPr>
              <w:t xml:space="preserve">ридические лица, с которыми заключены договоры </w:t>
            </w:r>
            <w:r w:rsidR="00B54E23" w:rsidRPr="00B54E23">
              <w:rPr>
                <w:b w:val="0"/>
                <w:sz w:val="28"/>
                <w:szCs w:val="28"/>
              </w:rPr>
              <w:t>на право осуществления деятельности на территории Новосибирской области по перемещению задержанных транспортных средств на специализированную стоянку, их хранению и возврату</w:t>
            </w:r>
          </w:p>
        </w:tc>
        <w:tc>
          <w:tcPr>
            <w:tcW w:w="3475" w:type="dxa"/>
          </w:tcPr>
          <w:p w:rsidR="002F6953" w:rsidRPr="002F6953" w:rsidRDefault="00B54E23" w:rsidP="002F69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4B1031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</w:tcPr>
          <w:p w:rsidR="004B1031" w:rsidRDefault="002F6953" w:rsidP="000B489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2F6953">
              <w:rPr>
                <w:b w:val="0"/>
                <w:sz w:val="28"/>
                <w:szCs w:val="28"/>
              </w:rPr>
              <w:t xml:space="preserve">Согласно </w:t>
            </w:r>
            <w:r w:rsidR="000B489D">
              <w:rPr>
                <w:b w:val="0"/>
                <w:sz w:val="28"/>
                <w:szCs w:val="28"/>
              </w:rPr>
              <w:t>количеству заключенных договоров</w:t>
            </w:r>
            <w:r w:rsidR="00F7441A">
              <w:rPr>
                <w:b w:val="0"/>
                <w:sz w:val="28"/>
                <w:szCs w:val="28"/>
              </w:rPr>
              <w:t xml:space="preserve"> на право осуществлять деятельность по перемещению, хранению и возврату задержанных транспортных средств</w:t>
            </w: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C64B53" w:rsidTr="004D605D">
        <w:tc>
          <w:tcPr>
            <w:tcW w:w="3467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68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Tr="00C64B53">
        <w:tc>
          <w:tcPr>
            <w:tcW w:w="3467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9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091907" w:rsidTr="004D605D">
        <w:tc>
          <w:tcPr>
            <w:tcW w:w="2356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725CE9">
        <w:tc>
          <w:tcPr>
            <w:tcW w:w="10404" w:type="dxa"/>
            <w:gridSpan w:val="4"/>
          </w:tcPr>
          <w:p w:rsidR="00A60B28" w:rsidRPr="00091907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091907" w:rsidTr="00A60B28">
        <w:tc>
          <w:tcPr>
            <w:tcW w:w="2356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27153C" w:rsidRDefault="0027153C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27153C" w:rsidRPr="00725CE9" w:rsidTr="005C5BC3">
        <w:tc>
          <w:tcPr>
            <w:tcW w:w="3466" w:type="dxa"/>
          </w:tcPr>
          <w:p w:rsidR="0027153C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3468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7153C" w:rsidRDefault="0027153C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53C">
        <w:rPr>
          <w:rFonts w:ascii="Times New Roman" w:hAnsi="Times New Roman" w:cs="Times New Roman"/>
          <w:sz w:val="28"/>
          <w:szCs w:val="28"/>
        </w:rPr>
        <w:t>˗</w:t>
      </w: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Default="00D51FDC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894A5C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D51FDC" w:rsidRDefault="000B489D" w:rsidP="00D51FD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Фактически поменяется только форма проведения торгов </w:t>
      </w:r>
      <w:r w:rsidRPr="000B489D">
        <w:rPr>
          <w:bCs/>
          <w:sz w:val="28"/>
          <w:szCs w:val="28"/>
        </w:rPr>
        <w:t>˗</w:t>
      </w:r>
      <w:r>
        <w:rPr>
          <w:bCs/>
          <w:sz w:val="28"/>
          <w:szCs w:val="28"/>
        </w:rPr>
        <w:t xml:space="preserve"> аукцион на понижение базового тарифа, утвержденного Департаментом по тарифам Новосибирской области. Аукцион предполагается проводить по документам, представленным участниками торгов. </w:t>
      </w:r>
      <w:r w:rsidR="00D51FDC">
        <w:rPr>
          <w:bCs/>
          <w:sz w:val="28"/>
          <w:szCs w:val="28"/>
        </w:rPr>
        <w:tab/>
      </w:r>
    </w:p>
    <w:p w:rsidR="000B489D" w:rsidRDefault="000B489D" w:rsidP="00D51FD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894A5C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Default="00D51FDC" w:rsidP="00D51FDC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B489D">
        <w:rPr>
          <w:sz w:val="28"/>
          <w:szCs w:val="28"/>
        </w:rPr>
        <w:t>П</w:t>
      </w:r>
      <w:r w:rsidR="000B489D" w:rsidRPr="000B489D">
        <w:rPr>
          <w:sz w:val="28"/>
          <w:szCs w:val="28"/>
        </w:rPr>
        <w:t>риказ</w:t>
      </w:r>
      <w:r w:rsidR="000B489D">
        <w:rPr>
          <w:sz w:val="28"/>
          <w:szCs w:val="28"/>
        </w:rPr>
        <w:t xml:space="preserve"> </w:t>
      </w:r>
      <w:r w:rsidR="000B489D" w:rsidRPr="000B489D">
        <w:rPr>
          <w:sz w:val="28"/>
          <w:szCs w:val="28"/>
        </w:rPr>
        <w:t>Федеральн</w:t>
      </w:r>
      <w:r w:rsidR="000B489D">
        <w:rPr>
          <w:sz w:val="28"/>
          <w:szCs w:val="28"/>
        </w:rPr>
        <w:t>ой</w:t>
      </w:r>
      <w:r w:rsidR="000B489D" w:rsidRPr="000B489D">
        <w:rPr>
          <w:sz w:val="28"/>
          <w:szCs w:val="28"/>
        </w:rPr>
        <w:t xml:space="preserve"> антимонопольн</w:t>
      </w:r>
      <w:r w:rsidR="000B489D">
        <w:rPr>
          <w:sz w:val="28"/>
          <w:szCs w:val="28"/>
        </w:rPr>
        <w:t>ой</w:t>
      </w:r>
      <w:r w:rsidR="000B489D" w:rsidRPr="000B489D">
        <w:rPr>
          <w:sz w:val="28"/>
          <w:szCs w:val="28"/>
        </w:rPr>
        <w:t xml:space="preserve"> служб</w:t>
      </w:r>
      <w:r w:rsidR="000B489D">
        <w:rPr>
          <w:sz w:val="28"/>
          <w:szCs w:val="28"/>
        </w:rPr>
        <w:t>ы</w:t>
      </w:r>
      <w:r w:rsidR="000B489D" w:rsidRPr="000B489D">
        <w:rPr>
          <w:sz w:val="28"/>
          <w:szCs w:val="28"/>
        </w:rPr>
        <w:t xml:space="preserve"> РФ от 15.08.2016 № 1145/16 </w:t>
      </w:r>
      <w:r w:rsidR="000B489D">
        <w:rPr>
          <w:sz w:val="28"/>
          <w:szCs w:val="28"/>
        </w:rPr>
        <w:t>об утверждении</w:t>
      </w:r>
      <w:r w:rsidR="000B489D" w:rsidRPr="000B489D">
        <w:rPr>
          <w:sz w:val="28"/>
          <w:szCs w:val="28"/>
        </w:rPr>
        <w:t xml:space="preserve"> методически</w:t>
      </w:r>
      <w:r w:rsidR="000B489D">
        <w:rPr>
          <w:sz w:val="28"/>
          <w:szCs w:val="28"/>
        </w:rPr>
        <w:t>х</w:t>
      </w:r>
      <w:r w:rsidR="000B489D" w:rsidRPr="000B489D">
        <w:rPr>
          <w:sz w:val="28"/>
          <w:szCs w:val="28"/>
        </w:rPr>
        <w:t xml:space="preserve"> указани</w:t>
      </w:r>
      <w:r w:rsidR="000B489D">
        <w:rPr>
          <w:sz w:val="28"/>
          <w:szCs w:val="28"/>
        </w:rPr>
        <w:t>й</w:t>
      </w:r>
      <w:r w:rsidR="000B489D" w:rsidRPr="000B489D">
        <w:rPr>
          <w:sz w:val="28"/>
          <w:szCs w:val="28"/>
        </w:rPr>
        <w:t xml:space="preserve"> по расчету тарифов на перемещение и хранение задержанных транспортных средств и установлению сро</w:t>
      </w:r>
      <w:r w:rsidR="000B489D">
        <w:rPr>
          <w:sz w:val="28"/>
          <w:szCs w:val="28"/>
        </w:rPr>
        <w:t>ков оплаты утвержденных тарифов вступил в силу 9 сентября 2016 года.</w:t>
      </w:r>
    </w:p>
    <w:p w:rsidR="000B489D" w:rsidRDefault="000B489D" w:rsidP="00D51FDC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</w:p>
    <w:p w:rsidR="00AF70A3" w:rsidRDefault="00D51FDC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ab/>
        <w:t xml:space="preserve">С 1 </w:t>
      </w:r>
      <w:r w:rsidR="000B489D">
        <w:rPr>
          <w:rFonts w:eastAsia="Times New Roman"/>
          <w:color w:val="000000"/>
          <w:lang w:bidi="ru-RU"/>
        </w:rPr>
        <w:t>января</w:t>
      </w:r>
      <w:r>
        <w:rPr>
          <w:rFonts w:eastAsia="Times New Roman"/>
          <w:color w:val="000000"/>
          <w:lang w:bidi="ru-RU"/>
        </w:rPr>
        <w:t xml:space="preserve"> 201</w:t>
      </w:r>
      <w:r w:rsidR="000B489D">
        <w:rPr>
          <w:rFonts w:eastAsia="Times New Roman"/>
          <w:color w:val="000000"/>
          <w:lang w:bidi="ru-RU"/>
        </w:rPr>
        <w:t>8</w:t>
      </w:r>
      <w:r>
        <w:rPr>
          <w:rFonts w:eastAsia="Times New Roman"/>
          <w:color w:val="000000"/>
          <w:lang w:bidi="ru-RU"/>
        </w:rPr>
        <w:t xml:space="preserve"> года </w:t>
      </w:r>
    </w:p>
    <w:p w:rsidR="00AF70A3" w:rsidRDefault="00AF70A3" w:rsidP="00AF70A3">
      <w:pPr>
        <w:pStyle w:val="ConsPlusNormal"/>
        <w:ind w:firstLine="567"/>
        <w:jc w:val="both"/>
      </w:pPr>
      <w:r w:rsidRPr="00AF70A3">
        <w:rPr>
          <w:b/>
        </w:rPr>
        <w:t>6. </w:t>
      </w:r>
      <w:r>
        <w:rPr>
          <w:b/>
        </w:rPr>
        <w:t>И</w:t>
      </w:r>
      <w:r w:rsidRPr="00AF70A3">
        <w:rPr>
          <w:b/>
        </w:rPr>
        <w:t>ные сведения, которые, по мнению разработчика акта, позволяют оценить обоснованность предлагаемого регулирования</w:t>
      </w:r>
    </w:p>
    <w:p w:rsidR="00C62366" w:rsidRDefault="00D51FD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C62366" w:rsidTr="004D605D">
        <w:tc>
          <w:tcPr>
            <w:tcW w:w="959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Tr="00C62366">
        <w:tc>
          <w:tcPr>
            <w:tcW w:w="959" w:type="dxa"/>
          </w:tcPr>
          <w:p w:rsidR="00C62366" w:rsidRDefault="00544AD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62366" w:rsidRPr="00940A78" w:rsidRDefault="00544AD0" w:rsidP="00F744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  <w:r w:rsidR="00F7441A">
              <w:rPr>
                <w:sz w:val="28"/>
                <w:szCs w:val="28"/>
              </w:rPr>
              <w:t xml:space="preserve"> торгов по </w:t>
            </w:r>
            <w:r>
              <w:rPr>
                <w:sz w:val="28"/>
                <w:szCs w:val="28"/>
              </w:rPr>
              <w:t xml:space="preserve"> определени</w:t>
            </w:r>
            <w:r w:rsidR="00F7441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специализированной организации, осуществляющей перемещение, хранение и возврат задержанных транспортных средств не соответствует формам, указанным в приказе ФАС России</w:t>
            </w:r>
          </w:p>
        </w:tc>
        <w:tc>
          <w:tcPr>
            <w:tcW w:w="2977" w:type="dxa"/>
          </w:tcPr>
          <w:p w:rsidR="00C62366" w:rsidRPr="00940A78" w:rsidRDefault="00940A78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40A7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62366" w:rsidRPr="00940A78" w:rsidRDefault="00E54DD6" w:rsidP="00544AD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Противоречит нормам </w:t>
            </w:r>
            <w:proofErr w:type="gramStart"/>
            <w:r>
              <w:rPr>
                <w:sz w:val="28"/>
                <w:szCs w:val="28"/>
              </w:rPr>
              <w:t>действующего</w:t>
            </w:r>
            <w:proofErr w:type="gramEnd"/>
            <w:r>
              <w:rPr>
                <w:sz w:val="28"/>
                <w:szCs w:val="28"/>
              </w:rPr>
              <w:t xml:space="preserve"> федерального законодательства</w:t>
            </w:r>
          </w:p>
        </w:tc>
        <w:tc>
          <w:tcPr>
            <w:tcW w:w="3620" w:type="dxa"/>
          </w:tcPr>
          <w:p w:rsidR="00C62366" w:rsidRPr="00940A78" w:rsidRDefault="00E54DD6" w:rsidP="00E54DD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определения специализированной организации не предусмотрена приказом ФАС России, поэтому торги по определению таких организаций на территориях оставшихся муниципальных районов Новосибирской области проводиться не могут</w:t>
            </w: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65162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3179D4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3179D4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65162C" w:rsidTr="004D605D">
        <w:tc>
          <w:tcPr>
            <w:tcW w:w="3369" w:type="dxa"/>
            <w:vAlign w:val="center"/>
          </w:tcPr>
          <w:p w:rsidR="00C82FF6" w:rsidRPr="0065162C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2FF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F2FF4">
              <w:rPr>
                <w:b/>
                <w:sz w:val="24"/>
                <w:szCs w:val="24"/>
              </w:rPr>
              <w:t xml:space="preserve">проблемы </w:t>
            </w:r>
            <w:r w:rsidRPr="000F2FF4">
              <w:rPr>
                <w:b/>
                <w:sz w:val="24"/>
                <w:szCs w:val="24"/>
              </w:rPr>
              <w:t xml:space="preserve">с указанием </w:t>
            </w:r>
            <w:r w:rsidR="002F07E1">
              <w:rPr>
                <w:b/>
                <w:sz w:val="24"/>
                <w:szCs w:val="24"/>
              </w:rPr>
              <w:t>номера</w:t>
            </w:r>
            <w:r w:rsidRPr="000F2FF4">
              <w:rPr>
                <w:b/>
                <w:sz w:val="24"/>
                <w:szCs w:val="24"/>
              </w:rPr>
              <w:t xml:space="preserve"> </w:t>
            </w:r>
            <w:r w:rsidR="00C82FF6" w:rsidRPr="000F2FF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Источник данных</w:t>
            </w:r>
            <w:r w:rsidR="000F2FF4">
              <w:rPr>
                <w:b/>
                <w:sz w:val="24"/>
                <w:szCs w:val="24"/>
              </w:rPr>
              <w:t xml:space="preserve"> </w:t>
            </w:r>
            <w:r w:rsidR="000F2FF4">
              <w:rPr>
                <w:b/>
                <w:bCs/>
              </w:rPr>
              <w:t xml:space="preserve">(название статьи </w:t>
            </w:r>
            <w:r w:rsidR="000F2FF4" w:rsidRPr="003179D4">
              <w:rPr>
                <w:b/>
                <w:bCs/>
              </w:rPr>
              <w:t>НПА</w:t>
            </w:r>
            <w:r w:rsidR="000F2FF4">
              <w:rPr>
                <w:b/>
                <w:bCs/>
              </w:rPr>
              <w:t>, адрес страницы сайта)</w:t>
            </w:r>
          </w:p>
        </w:tc>
      </w:tr>
      <w:tr w:rsidR="00C82FF6" w:rsidRPr="0065162C" w:rsidTr="00EF2109">
        <w:trPr>
          <w:trHeight w:val="1125"/>
        </w:trPr>
        <w:tc>
          <w:tcPr>
            <w:tcW w:w="3369" w:type="dxa"/>
          </w:tcPr>
          <w:p w:rsidR="00C82FF6" w:rsidRPr="0065162C" w:rsidRDefault="00EF2109" w:rsidP="00F744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F2109">
              <w:rPr>
                <w:sz w:val="28"/>
                <w:szCs w:val="28"/>
              </w:rPr>
              <w:t>Форма</w:t>
            </w:r>
            <w:r w:rsidR="00F7441A">
              <w:rPr>
                <w:sz w:val="28"/>
                <w:szCs w:val="28"/>
              </w:rPr>
              <w:t xml:space="preserve"> торгов по </w:t>
            </w:r>
            <w:r w:rsidRPr="00EF2109">
              <w:rPr>
                <w:sz w:val="28"/>
                <w:szCs w:val="28"/>
              </w:rPr>
              <w:t xml:space="preserve"> определени</w:t>
            </w:r>
            <w:r w:rsidR="00F7441A">
              <w:rPr>
                <w:sz w:val="28"/>
                <w:szCs w:val="28"/>
              </w:rPr>
              <w:t>ю</w:t>
            </w:r>
            <w:r w:rsidRPr="00EF2109">
              <w:rPr>
                <w:sz w:val="28"/>
                <w:szCs w:val="28"/>
              </w:rPr>
              <w:t xml:space="preserve"> специализированной организации, осуществляющей перемещение, хранение и возврат задержанных транспортных средств не соответствует формам, указанным в приказе ФАС России</w:t>
            </w:r>
          </w:p>
        </w:tc>
        <w:tc>
          <w:tcPr>
            <w:tcW w:w="2658" w:type="dxa"/>
          </w:tcPr>
          <w:p w:rsidR="00C82FF6" w:rsidRDefault="00394A0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P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:rsidR="00E3764C" w:rsidRDefault="00EF2109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существующий порядок</w:t>
            </w: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Pr="0065162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:rsidR="00EB551F" w:rsidRPr="0065162C" w:rsidRDefault="00EF2109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определения специализированных организаций не изменена</w:t>
            </w:r>
          </w:p>
        </w:tc>
        <w:tc>
          <w:tcPr>
            <w:tcW w:w="3014" w:type="dxa"/>
          </w:tcPr>
          <w:p w:rsidR="00EF2109" w:rsidRP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F2109">
              <w:rPr>
                <w:sz w:val="28"/>
                <w:szCs w:val="28"/>
              </w:rPr>
              <w:t xml:space="preserve">Постановление Правительства Севастополя от 28.08.2015 </w:t>
            </w:r>
            <w:r>
              <w:rPr>
                <w:sz w:val="28"/>
                <w:szCs w:val="28"/>
              </w:rPr>
              <w:t>№</w:t>
            </w:r>
            <w:r w:rsidRPr="00EF2109">
              <w:rPr>
                <w:sz w:val="28"/>
                <w:szCs w:val="28"/>
              </w:rPr>
              <w:t xml:space="preserve"> 826-ПП</w:t>
            </w:r>
          </w:p>
          <w:p w:rsidR="00EF2109" w:rsidRP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 w:rsidRPr="00EF2109">
              <w:rPr>
                <w:sz w:val="28"/>
                <w:szCs w:val="28"/>
              </w:rPr>
              <w:t>(ред. от 20.07.2017)</w:t>
            </w:r>
          </w:p>
          <w:p w:rsidR="00EF2109" w:rsidRP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 xml:space="preserve">О </w:t>
            </w:r>
            <w:proofErr w:type="gramStart"/>
            <w:r w:rsidRPr="00EF2109">
              <w:rPr>
                <w:sz w:val="28"/>
                <w:szCs w:val="28"/>
              </w:rPr>
              <w:t>мерах</w:t>
            </w:r>
            <w:proofErr w:type="gramEnd"/>
            <w:r w:rsidRPr="00EF2109">
              <w:rPr>
                <w:sz w:val="28"/>
                <w:szCs w:val="28"/>
              </w:rPr>
              <w:t xml:space="preserve"> по реализации Закона города Севастополя от 20.07.2015 </w:t>
            </w:r>
            <w:r>
              <w:rPr>
                <w:sz w:val="28"/>
                <w:szCs w:val="28"/>
              </w:rPr>
              <w:t>№</w:t>
            </w:r>
            <w:r w:rsidRPr="00EF2109">
              <w:rPr>
                <w:sz w:val="28"/>
                <w:szCs w:val="28"/>
              </w:rPr>
              <w:t xml:space="preserve"> 170-ЗС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>О порядке перемещения задержанных транспортных средств на специализированную стоянку, их хранения, оплаты расходов на перемещение и хранение, возврата задержанных транспортных средств в городе Севастополе</w:t>
            </w:r>
            <w:r>
              <w:rPr>
                <w:sz w:val="28"/>
                <w:szCs w:val="28"/>
              </w:rPr>
              <w:t>»</w:t>
            </w:r>
          </w:p>
          <w:p w:rsidR="00EB551F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EF2109">
              <w:rPr>
                <w:sz w:val="28"/>
                <w:szCs w:val="28"/>
              </w:rPr>
              <w:t xml:space="preserve">(вместе с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>Требованиями к специализированным стоянкам</w:t>
            </w:r>
            <w:r>
              <w:rPr>
                <w:sz w:val="28"/>
                <w:szCs w:val="28"/>
              </w:rPr>
              <w:t>»</w:t>
            </w:r>
            <w:r w:rsidRPr="00EF210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>Порядком определения специализированной организации, осуществляющей перемещение задержанных транспортных средств на специализированную стоянку, их хранение и возврат задержанных транспортных средств в городе Севастополе</w:t>
            </w:r>
            <w:r>
              <w:rPr>
                <w:sz w:val="28"/>
                <w:szCs w:val="28"/>
              </w:rPr>
              <w:t>»</w:t>
            </w:r>
            <w:r w:rsidRPr="00EF210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>Порядком диспетчеризации и контроля за перемещением, хранением и возвратом задержанных транспортных средств в городе Севастополе</w:t>
            </w:r>
            <w:r>
              <w:rPr>
                <w:sz w:val="28"/>
                <w:szCs w:val="28"/>
              </w:rPr>
              <w:t>»</w:t>
            </w:r>
            <w:r w:rsidRPr="00EF210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>Порядком действий специализированной организации при перемещении транспортных средств, их хранении на специализированной стоянке, оплаты расходов на перемещение</w:t>
            </w:r>
            <w:proofErr w:type="gramEnd"/>
            <w:r w:rsidRPr="00EF2109">
              <w:rPr>
                <w:sz w:val="28"/>
                <w:szCs w:val="28"/>
              </w:rPr>
              <w:t xml:space="preserve"> и хранение задержанных транспортных средств и возврата транспортных средств их владельцам, представителям владельцев или лицам, имеющим при себе документы, необходимые для управления данными транспортными средствами</w:t>
            </w:r>
            <w:r>
              <w:rPr>
                <w:sz w:val="28"/>
                <w:szCs w:val="28"/>
              </w:rPr>
              <w:t>»</w:t>
            </w:r>
            <w:r w:rsidRPr="00EF2109">
              <w:rPr>
                <w:sz w:val="28"/>
                <w:szCs w:val="28"/>
              </w:rPr>
              <w:t>)</w:t>
            </w:r>
          </w:p>
          <w:p w:rsid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F2109">
              <w:rPr>
                <w:sz w:val="28"/>
                <w:szCs w:val="28"/>
              </w:rPr>
              <w:t>http://sevastopol.gov.ru</w:t>
            </w:r>
          </w:p>
          <w:p w:rsid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F2109" w:rsidRP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F2109">
              <w:rPr>
                <w:sz w:val="28"/>
                <w:szCs w:val="28"/>
              </w:rPr>
              <w:t xml:space="preserve">Постановление Правительства Иркутской области от 27.12.2012 </w:t>
            </w:r>
            <w:r>
              <w:rPr>
                <w:sz w:val="28"/>
                <w:szCs w:val="28"/>
              </w:rPr>
              <w:t>№</w:t>
            </w:r>
            <w:r w:rsidRPr="00EF2109">
              <w:rPr>
                <w:sz w:val="28"/>
                <w:szCs w:val="28"/>
              </w:rPr>
              <w:t xml:space="preserve"> 723-пп</w:t>
            </w:r>
          </w:p>
          <w:p w:rsidR="00EF2109" w:rsidRP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 w:rsidRPr="00EF2109">
              <w:rPr>
                <w:sz w:val="28"/>
                <w:szCs w:val="28"/>
              </w:rPr>
              <w:t>(ред. от 23.03.2017)</w:t>
            </w:r>
          </w:p>
          <w:p w:rsidR="00EF2109" w:rsidRPr="00EF2109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 xml:space="preserve">О </w:t>
            </w:r>
            <w:proofErr w:type="gramStart"/>
            <w:r w:rsidRPr="00EF2109">
              <w:rPr>
                <w:sz w:val="28"/>
                <w:szCs w:val="28"/>
              </w:rPr>
              <w:t>мерах</w:t>
            </w:r>
            <w:proofErr w:type="gramEnd"/>
            <w:r w:rsidRPr="00EF2109">
              <w:rPr>
                <w:sz w:val="28"/>
                <w:szCs w:val="28"/>
              </w:rPr>
              <w:t xml:space="preserve"> по реализации Закона Иркутской области от 12 октября 2012 года </w:t>
            </w:r>
            <w:r>
              <w:rPr>
                <w:sz w:val="28"/>
                <w:szCs w:val="28"/>
              </w:rPr>
              <w:t>№</w:t>
            </w:r>
            <w:r w:rsidRPr="00EF2109">
              <w:rPr>
                <w:sz w:val="28"/>
                <w:szCs w:val="28"/>
              </w:rPr>
              <w:t xml:space="preserve"> 93-ОЗ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 xml:space="preserve">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</w:t>
            </w:r>
            <w:r>
              <w:rPr>
                <w:sz w:val="28"/>
                <w:szCs w:val="28"/>
              </w:rPr>
              <w:t>на территории Иркутской области»</w:t>
            </w:r>
          </w:p>
          <w:p w:rsidR="00EF2109" w:rsidRPr="0065162C" w:rsidRDefault="00EF2109" w:rsidP="00EF210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EF2109">
              <w:rPr>
                <w:sz w:val="28"/>
                <w:szCs w:val="28"/>
              </w:rPr>
              <w:t xml:space="preserve">(вместе с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>Порядком заключения министерством транспорта Иркутской области соглашения о взаимодействии и координации действий при перемещении на специализированную стоянку, хранении и возврате задержанных транспортных средств на территории Иркутской области между министерством транспорта Иркутской области, специализированной организацией и территориальным органом федерального органа исполнительной власти, осуществляющим в установленном порядке производство по делам об административных правонарушени</w:t>
            </w:r>
            <w:r>
              <w:rPr>
                <w:sz w:val="28"/>
                <w:szCs w:val="28"/>
              </w:rPr>
              <w:t>ях в пределах своей компетенции»</w:t>
            </w:r>
            <w:r w:rsidRPr="00EF210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EF2109">
              <w:rPr>
                <w:sz w:val="28"/>
                <w:szCs w:val="28"/>
              </w:rPr>
              <w:t>Порядком ведения Реестра</w:t>
            </w:r>
            <w:proofErr w:type="gramEnd"/>
            <w:r w:rsidRPr="00EF2109">
              <w:rPr>
                <w:sz w:val="28"/>
                <w:szCs w:val="28"/>
              </w:rPr>
              <w:t xml:space="preserve"> специализированных организаций</w:t>
            </w:r>
            <w:r>
              <w:rPr>
                <w:sz w:val="28"/>
                <w:szCs w:val="28"/>
              </w:rPr>
              <w:t>»</w:t>
            </w:r>
            <w:r w:rsidRPr="00EF2109">
              <w:rPr>
                <w:sz w:val="28"/>
                <w:szCs w:val="28"/>
              </w:rPr>
              <w:t>)</w:t>
            </w: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76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58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8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609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3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4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104AA1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9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Размещение извещения и публичные консультации</w:t>
      </w:r>
    </w:p>
    <w:p w:rsidR="00C57194" w:rsidRPr="00C57194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104AA1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1. </w:t>
      </w:r>
      <w:r w:rsidR="006E16B7" w:rsidRPr="00104AA1">
        <w:rPr>
          <w:sz w:val="28"/>
          <w:szCs w:val="28"/>
        </w:rPr>
        <w:t>Информация о размещении извещения</w:t>
      </w:r>
      <w:bookmarkEnd w:id="9"/>
    </w:p>
    <w:p w:rsidR="00894A5C" w:rsidRPr="00104AA1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="006E16B7" w:rsidRPr="00104AA1">
        <w:rPr>
          <w:sz w:val="28"/>
          <w:szCs w:val="28"/>
        </w:rPr>
        <w:t xml:space="preserve">Извещение было размещено </w:t>
      </w:r>
      <w:r w:rsidR="00EB551F" w:rsidRPr="00EB551F">
        <w:rPr>
          <w:sz w:val="28"/>
          <w:szCs w:val="28"/>
        </w:rPr>
        <w:t>˗</w:t>
      </w:r>
      <w:r w:rsidR="00EB551F">
        <w:rPr>
          <w:sz w:val="28"/>
          <w:szCs w:val="28"/>
        </w:rPr>
        <w:t xml:space="preserve"> не размещался</w:t>
      </w:r>
      <w:proofErr w:type="gramEnd"/>
      <w:r w:rsidR="00EB551F">
        <w:rPr>
          <w:sz w:val="28"/>
          <w:szCs w:val="28"/>
        </w:rPr>
        <w:t xml:space="preserve"> </w:t>
      </w:r>
      <w:r w:rsidR="00EB551F" w:rsidRPr="00EB551F">
        <w:rPr>
          <w:sz w:val="28"/>
          <w:szCs w:val="28"/>
        </w:rPr>
        <w:t>˗</w:t>
      </w:r>
      <w:r w:rsidR="006E16B7" w:rsidRPr="00104AA1">
        <w:rPr>
          <w:sz w:val="28"/>
          <w:szCs w:val="28"/>
        </w:rPr>
        <w:t xml:space="preserve"> и доступно в сети Интернет</w:t>
      </w:r>
      <w:r w:rsidR="0081360E">
        <w:rPr>
          <w:sz w:val="28"/>
          <w:szCs w:val="28"/>
        </w:rPr>
        <w:t xml:space="preserve"> </w:t>
      </w:r>
      <w:r w:rsidR="006E16B7" w:rsidRPr="00104AA1">
        <w:rPr>
          <w:sz w:val="28"/>
          <w:szCs w:val="28"/>
        </w:rPr>
        <w:t>по следующему адресу:</w:t>
      </w:r>
      <w:r>
        <w:rPr>
          <w:sz w:val="28"/>
          <w:szCs w:val="28"/>
        </w:rPr>
        <w:t xml:space="preserve"> _________________</w:t>
      </w:r>
      <w:r w:rsidR="002A48E8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894A5C" w:rsidRPr="00104AA1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1.2. </w:t>
      </w:r>
      <w:r w:rsidR="006E16B7" w:rsidRPr="00104AA1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 w:rsidR="001E71E2">
        <w:rPr>
          <w:sz w:val="28"/>
          <w:szCs w:val="28"/>
        </w:rPr>
        <w:t>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</w:t>
      </w:r>
      <w:r w:rsidR="006E16B7" w:rsidRPr="00104AA1">
        <w:rPr>
          <w:sz w:val="28"/>
          <w:szCs w:val="28"/>
        </w:rPr>
        <w:t>по</w:t>
      </w:r>
      <w:r w:rsidR="001E71E2">
        <w:rPr>
          <w:sz w:val="28"/>
          <w:szCs w:val="28"/>
        </w:rPr>
        <w:t xml:space="preserve"> __________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________.</w:t>
      </w:r>
    </w:p>
    <w:p w:rsidR="00894A5C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</w:t>
      </w:r>
      <w:r w:rsidR="006E16B7" w:rsidRPr="00104AA1">
        <w:rPr>
          <w:sz w:val="28"/>
          <w:szCs w:val="28"/>
        </w:rPr>
        <w:t>В указанный период предложения представили следующие лица: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EB551F">
        <w:rPr>
          <w:sz w:val="28"/>
          <w:szCs w:val="28"/>
        </w:rPr>
        <w:t>-</w:t>
      </w:r>
      <w:r>
        <w:rPr>
          <w:sz w:val="28"/>
          <w:szCs w:val="28"/>
        </w:rPr>
        <w:t>_______________________________</w:t>
      </w:r>
    </w:p>
    <w:p w:rsidR="001E71E2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8"/>
          <w:szCs w:val="28"/>
        </w:rPr>
      </w:pPr>
      <w:bookmarkStart w:id="10" w:name="bookmark12"/>
    </w:p>
    <w:p w:rsidR="00894A5C" w:rsidRPr="00104AA1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E71E2">
        <w:rPr>
          <w:bCs w:val="0"/>
          <w:sz w:val="28"/>
          <w:szCs w:val="28"/>
        </w:rPr>
        <w:t>2. </w:t>
      </w:r>
      <w:r w:rsidR="006E16B7" w:rsidRPr="001E71E2">
        <w:rPr>
          <w:sz w:val="28"/>
          <w:szCs w:val="28"/>
        </w:rPr>
        <w:t>Информация</w:t>
      </w:r>
      <w:r w:rsidR="006E16B7" w:rsidRPr="00104AA1">
        <w:rPr>
          <w:sz w:val="28"/>
          <w:szCs w:val="28"/>
        </w:rPr>
        <w:t xml:space="preserve"> о проведении публичных консультаций</w:t>
      </w:r>
      <w:bookmarkEnd w:id="10"/>
    </w:p>
    <w:p w:rsidR="00894A5C" w:rsidRPr="00104AA1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Публичные консультации проводились (в том числе с уч</w:t>
      </w:r>
      <w:r w:rsidR="00C369B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 xml:space="preserve">том решений о продлении, если таковые имели место)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 </w:t>
      </w:r>
      <w:r w:rsidR="006E16B7" w:rsidRPr="00104AA1">
        <w:rPr>
          <w:sz w:val="28"/>
          <w:szCs w:val="28"/>
        </w:rPr>
        <w:t xml:space="preserve">по </w:t>
      </w:r>
      <w:r>
        <w:rPr>
          <w:sz w:val="28"/>
          <w:szCs w:val="28"/>
        </w:rPr>
        <w:t>_____________</w:t>
      </w:r>
      <w:r w:rsidR="006E16B7" w:rsidRPr="00104AA1">
        <w:rPr>
          <w:sz w:val="28"/>
          <w:szCs w:val="28"/>
        </w:rPr>
        <w:t>.</w:t>
      </w:r>
    </w:p>
    <w:p w:rsidR="00894A5C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 проведении публичных консультаций были извещены следующие лица и органы: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E71E2" w:rsidRPr="00104AA1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="006E16B7" w:rsidRPr="00104AA1">
        <w:rPr>
          <w:sz w:val="28"/>
          <w:szCs w:val="28"/>
        </w:rPr>
        <w:t>В указанный выше срок предложения представили следующие участники публичных консультаций: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7441A" w:rsidRPr="00104AA1" w:rsidRDefault="00F7441A" w:rsidP="00F7441A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</w:t>
      </w:r>
      <w:r w:rsidRPr="003563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t>А.В. Костылевский</w:t>
      </w: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894A5C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5631E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F3" w:rsidRDefault="00D925F3">
      <w:r>
        <w:separator/>
      </w:r>
    </w:p>
  </w:endnote>
  <w:endnote w:type="continuationSeparator" w:id="0">
    <w:p w:rsidR="00D925F3" w:rsidRDefault="00D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F3" w:rsidRDefault="00D925F3"/>
  </w:footnote>
  <w:footnote w:type="continuationSeparator" w:id="0">
    <w:p w:rsidR="00D925F3" w:rsidRDefault="00D925F3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1A">
          <w:rPr>
            <w:noProof/>
          </w:rPr>
          <w:t>13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41A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A3E2B"/>
    <w:rsid w:val="000B489D"/>
    <w:rsid w:val="000D5474"/>
    <w:rsid w:val="000F2FF4"/>
    <w:rsid w:val="00104AA1"/>
    <w:rsid w:val="001234BF"/>
    <w:rsid w:val="00123900"/>
    <w:rsid w:val="00162626"/>
    <w:rsid w:val="001E71E2"/>
    <w:rsid w:val="00202AD9"/>
    <w:rsid w:val="00243710"/>
    <w:rsid w:val="00251DE4"/>
    <w:rsid w:val="0027153C"/>
    <w:rsid w:val="002A48E8"/>
    <w:rsid w:val="002C27E5"/>
    <w:rsid w:val="002D6444"/>
    <w:rsid w:val="002E202A"/>
    <w:rsid w:val="002F07E1"/>
    <w:rsid w:val="002F6953"/>
    <w:rsid w:val="003179D4"/>
    <w:rsid w:val="0035631E"/>
    <w:rsid w:val="0038156C"/>
    <w:rsid w:val="003941D5"/>
    <w:rsid w:val="00394A07"/>
    <w:rsid w:val="003C49CF"/>
    <w:rsid w:val="003D78BB"/>
    <w:rsid w:val="004046C5"/>
    <w:rsid w:val="00455E76"/>
    <w:rsid w:val="004952FD"/>
    <w:rsid w:val="00495583"/>
    <w:rsid w:val="004B1031"/>
    <w:rsid w:val="004B20D6"/>
    <w:rsid w:val="004C2D15"/>
    <w:rsid w:val="004D605D"/>
    <w:rsid w:val="004E09CE"/>
    <w:rsid w:val="004E56C0"/>
    <w:rsid w:val="00512AD7"/>
    <w:rsid w:val="00544AD0"/>
    <w:rsid w:val="00546B19"/>
    <w:rsid w:val="00572B66"/>
    <w:rsid w:val="00582BBC"/>
    <w:rsid w:val="00586567"/>
    <w:rsid w:val="0059613F"/>
    <w:rsid w:val="005C5BC3"/>
    <w:rsid w:val="005F3720"/>
    <w:rsid w:val="00644277"/>
    <w:rsid w:val="0065162C"/>
    <w:rsid w:val="0065403B"/>
    <w:rsid w:val="0069154D"/>
    <w:rsid w:val="006A5676"/>
    <w:rsid w:val="006A66D7"/>
    <w:rsid w:val="006E16B7"/>
    <w:rsid w:val="00702900"/>
    <w:rsid w:val="007155C3"/>
    <w:rsid w:val="00725436"/>
    <w:rsid w:val="00725CE9"/>
    <w:rsid w:val="007A2319"/>
    <w:rsid w:val="007A4927"/>
    <w:rsid w:val="007C1D4D"/>
    <w:rsid w:val="007D15DF"/>
    <w:rsid w:val="007E60B9"/>
    <w:rsid w:val="0081360E"/>
    <w:rsid w:val="00816035"/>
    <w:rsid w:val="008244BB"/>
    <w:rsid w:val="00831891"/>
    <w:rsid w:val="00861D49"/>
    <w:rsid w:val="00893AE3"/>
    <w:rsid w:val="00894A5C"/>
    <w:rsid w:val="008D1BFB"/>
    <w:rsid w:val="0092147D"/>
    <w:rsid w:val="00940A78"/>
    <w:rsid w:val="009F495F"/>
    <w:rsid w:val="00A11A47"/>
    <w:rsid w:val="00A13E90"/>
    <w:rsid w:val="00A60B28"/>
    <w:rsid w:val="00AF70A3"/>
    <w:rsid w:val="00B2303D"/>
    <w:rsid w:val="00B269BD"/>
    <w:rsid w:val="00B50248"/>
    <w:rsid w:val="00B54E23"/>
    <w:rsid w:val="00BB436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B7788"/>
    <w:rsid w:val="00CC40CD"/>
    <w:rsid w:val="00CE4625"/>
    <w:rsid w:val="00D10B06"/>
    <w:rsid w:val="00D30687"/>
    <w:rsid w:val="00D34450"/>
    <w:rsid w:val="00D35ACF"/>
    <w:rsid w:val="00D51FDC"/>
    <w:rsid w:val="00D6077C"/>
    <w:rsid w:val="00D925F3"/>
    <w:rsid w:val="00DE788A"/>
    <w:rsid w:val="00E01F8F"/>
    <w:rsid w:val="00E3764C"/>
    <w:rsid w:val="00E54DD6"/>
    <w:rsid w:val="00E62EF0"/>
    <w:rsid w:val="00E91D0B"/>
    <w:rsid w:val="00E940D5"/>
    <w:rsid w:val="00E957C0"/>
    <w:rsid w:val="00EB551F"/>
    <w:rsid w:val="00EF2109"/>
    <w:rsid w:val="00F26233"/>
    <w:rsid w:val="00F31208"/>
    <w:rsid w:val="00F709D8"/>
    <w:rsid w:val="00F7441A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D51D6C-9FD3-44FA-BAFC-BBAC3D40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2266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Проект постановления Правительства Новосибирской области «О внесении изменений в</vt:lpstr>
      <vt:lpstr>    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1.3. Контактная информация разработчика нормативного правового акта (органа, осу</vt:lpstr>
      <vt:lpstr>    Ф.И.О.: Сокол Л.Г.</vt:lpstr>
      <vt:lpstr>    Должность: консультант˗юрист министерства транспорта и дорожного хозяйства Новос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5</cp:revision>
  <cp:lastPrinted>2017-08-25T05:28:00Z</cp:lastPrinted>
  <dcterms:created xsi:type="dcterms:W3CDTF">2017-08-25T04:47:00Z</dcterms:created>
  <dcterms:modified xsi:type="dcterms:W3CDTF">2017-09-15T05:08:00Z</dcterms:modified>
</cp:coreProperties>
</file>