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27"/>
        <w:jc w:val="center"/>
      </w:pPr>
      <w: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191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9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334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48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ind w:right="-227"/>
        <w:jc w:val="center"/>
        <w:rPr>
          <w:b/>
          <w:bCs/>
        </w:rPr>
      </w:pPr>
    </w:p>
    <w:p>
      <w:pPr>
        <w:pStyle w:val="a3"/>
        <w:spacing w:line="240" w:lineRule="auto"/>
      </w:pPr>
      <w:r>
        <w:t xml:space="preserve">МИНИСТЕРСТВО ПРОМЫШЛЕННОСТИ</w:t>
      </w:r>
      <w:r>
        <w:t xml:space="preserve">, </w:t>
      </w:r>
      <w:r>
        <w:t xml:space="preserve">ТОРГОВЛИ И</w:t>
      </w:r>
    </w:p>
    <w:p>
      <w:pPr>
        <w:pStyle w:val="a3"/>
        <w:spacing w:line="240" w:lineRule="auto"/>
      </w:pPr>
      <w:r>
        <w:t xml:space="preserve">РАЗВИТИЯ ПРЕДПРИНИМАТЕЛЬСТВА НОВОСИБИРСКОЙ ОБЛАСТИ</w:t>
      </w:r>
    </w:p>
    <w:p>
      <w:pPr>
        <w:jc w:val="center"/>
        <w:rPr>
          <w:b/>
          <w:bCs/>
          <w:sz w:val="28"/>
          <w:szCs w:val="28"/>
        </w:rPr>
      </w:pPr>
      <w:bookmarkStart w:id="0" w:name="OLE_LINK1"/>
      <w:r>
        <w:rPr>
          <w:b/>
          <w:bCs/>
          <w:sz w:val="28"/>
          <w:szCs w:val="28"/>
        </w:rPr>
        <w:t xml:space="preserve">(Минпромторг НСО)</w:t>
      </w:r>
    </w:p>
    <w:p>
      <w:pPr>
        <w:tabs>
          <w:tab w:val="left" w:pos="90"/>
        </w:tabs>
        <w:rPr>
          <w:b/>
          <w:sz w:val="28"/>
          <w:szCs w:val="28"/>
        </w:rPr>
      </w:pPr>
    </w:p>
    <w:p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ПРИКАЗ</w:t>
      </w:r>
    </w:p>
    <w:p>
      <w:pPr>
        <w:widowControl w:val="off"/>
        <w:jc w:val="both"/>
        <w:outlineLvl w:val="0"/>
        <w:rPr>
          <w:sz w:val="16"/>
          <w:szCs w:val="16"/>
        </w:rPr>
      </w:pPr>
    </w:p>
    <w:p>
      <w:pPr>
        <w:widowControl w:val="off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-НПА</w:t>
      </w:r>
    </w:p>
    <w:p>
      <w:pPr>
        <w:jc w:val="center"/>
      </w:pPr>
    </w:p>
    <w:p>
      <w:pPr>
        <w:jc w:val="center"/>
      </w:pP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</w:p>
    <w:p>
      <w:pPr>
        <w:widowControl w:val="off"/>
        <w:jc w:val="center"/>
        <w:rPr>
          <w:sz w:val="28"/>
          <w:szCs w:val="28"/>
        </w:rPr>
      </w:pPr>
    </w:p>
    <w:p>
      <w:pPr>
        <w:widowControl w:val="off"/>
        <w:jc w:val="center"/>
        <w:rPr>
          <w:sz w:val="28"/>
          <w:szCs w:val="28"/>
        </w:rPr>
      </w:pPr>
    </w:p>
    <w:bookmarkEnd w:id="0"/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приказ министерства промышленности, торговли и развития предпринимательства Новосибирской области от </w:t>
      </w:r>
      <w:r>
        <w:rPr>
          <w:sz w:val="28"/>
          <w:szCs w:val="28"/>
        </w:rPr>
        <w:t xml:space="preserve">22.12.2021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379</w:t>
      </w:r>
    </w:p>
    <w:p>
      <w:pPr>
        <w:pStyle w:val="a7"/>
        <w:ind w:firstLine="540"/>
        <w:rPr>
          <w:szCs w:val="28"/>
        </w:rPr>
      </w:pPr>
    </w:p>
    <w:p>
      <w:pPr>
        <w:pStyle w:val="a7"/>
        <w:ind w:firstLine="540"/>
        <w:rPr>
          <w:szCs w:val="28"/>
        </w:rPr>
      </w:pPr>
      <w:r>
        <w:rPr>
          <w:b/>
          <w:szCs w:val="28"/>
        </w:rPr>
        <w:t xml:space="preserve">П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р и к а з ы в а ю</w:t>
      </w:r>
      <w:r>
        <w:rPr>
          <w:szCs w:val="28"/>
        </w:rPr>
        <w:t xml:space="preserve">:</w:t>
      </w:r>
    </w:p>
    <w:p>
      <w:pPr>
        <w:pStyle w:val="a7"/>
        <w:ind w:firstLine="540"/>
        <w:rPr>
          <w:szCs w:val="28"/>
        </w:rPr>
      </w:pPr>
      <w:r>
        <w:rPr>
          <w:szCs w:val="28"/>
        </w:rPr>
        <w:t xml:space="preserve">Внести в приказ </w:t>
      </w:r>
      <w:r>
        <w:rPr>
          <w:szCs w:val="28"/>
        </w:rPr>
        <w:t xml:space="preserve">министерства промышленности, торговли и развития предприниматель</w:t>
      </w:r>
      <w:r>
        <w:rPr>
          <w:szCs w:val="28"/>
        </w:rPr>
        <w:t xml:space="preserve">ства Новосибирской области от </w:t>
      </w:r>
      <w:r>
        <w:rPr>
          <w:szCs w:val="28"/>
        </w:rPr>
        <w:t xml:space="preserve">22.12.2021 № 379 </w:t>
      </w:r>
      <w:r>
        <w:rPr>
          <w:szCs w:val="28"/>
        </w:rPr>
        <w:t xml:space="preserve">«</w:t>
      </w:r>
      <w:r>
        <w:rPr>
          <w:szCs w:val="28"/>
        </w:rPr>
        <w:t xml:space="preserve">Об утверждении Порядка осуществления внутреннего финансового аудита в</w:t>
      </w:r>
      <w:r>
        <w:rPr>
          <w:szCs w:val="28"/>
        </w:rPr>
        <w:t xml:space="preserve"> министерстве промышленности, торговли и развития предпринимательства Новосибирской области</w:t>
      </w:r>
      <w:r>
        <w:rPr>
          <w:szCs w:val="28"/>
        </w:rPr>
        <w:t xml:space="preserve">»</w:t>
      </w:r>
      <w:r>
        <w:rPr>
          <w:szCs w:val="28"/>
        </w:rPr>
        <w:t xml:space="preserve"> следующие изменения</w:t>
      </w:r>
      <w:r>
        <w:rPr>
          <w:szCs w:val="28"/>
        </w:rPr>
        <w:t xml:space="preserve">:</w:t>
      </w:r>
    </w:p>
    <w:p>
      <w:pPr>
        <w:pStyle w:val="a7"/>
        <w:ind w:firstLine="540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 xml:space="preserve">Порядк</w:t>
      </w:r>
      <w:r>
        <w:rPr>
          <w:szCs w:val="28"/>
        </w:rPr>
        <w:t xml:space="preserve">е</w:t>
      </w:r>
      <w:r>
        <w:rPr>
          <w:szCs w:val="28"/>
        </w:rPr>
        <w:t xml:space="preserve"> осуществления внутреннего финансового аудита в министерстве промышленности, торговли и развития предпринимательства Новосибирской области»</w:t>
      </w:r>
      <w:r>
        <w:rPr>
          <w:szCs w:val="28"/>
        </w:rPr>
        <w:t xml:space="preserve"> (далее – Порядок)</w:t>
      </w:r>
      <w:r>
        <w:rPr>
          <w:szCs w:val="28"/>
        </w:rPr>
        <w:t xml:space="preserve">:</w:t>
      </w:r>
    </w:p>
    <w:p>
      <w:pPr>
        <w:pStyle w:val="a7"/>
        <w:ind w:firstLine="540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.</w:t>
      </w:r>
      <w:r>
        <w:rPr>
          <w:szCs w:val="28"/>
        </w:rPr>
        <w:t xml:space="preserve"> </w:t>
      </w:r>
      <w:r>
        <w:rPr>
          <w:szCs w:val="28"/>
        </w:rPr>
        <w:t xml:space="preserve">В</w:t>
      </w:r>
      <w:r>
        <w:rPr>
          <w:szCs w:val="28"/>
        </w:rPr>
        <w:t xml:space="preserve"> пункте 11 слова «, состав аудиторской группы»</w:t>
      </w:r>
      <w:r>
        <w:t xml:space="preserve"> </w:t>
      </w:r>
      <w:r>
        <w:rPr>
          <w:szCs w:val="28"/>
        </w:rPr>
        <w:t xml:space="preserve">исключить</w:t>
      </w:r>
      <w:r>
        <w:rPr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пунктом 14.1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«Внесение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осуществляется путем утверждения Плана в новой редакции.»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15 дополнить абзац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 следующего содержания: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несение изменений в программу аудиторского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лицом Минпромторга НСО путем </w:t>
      </w:r>
      <w:r>
        <w:rPr>
          <w:rFonts w:ascii="Times New Roman" w:hAnsi="Times New Roman" w:cs="Times New Roman"/>
          <w:sz w:val="28"/>
          <w:szCs w:val="28"/>
        </w:rPr>
        <w:t xml:space="preserve">составления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 xml:space="preserve">редакции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одпункт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аналитическ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о промежуточных и предварительных результатах проведения аудиторского мероприятия, согласно форме приложения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 к настоящему Порядку и проект заключения, направляемые ответственным лицом Минпромторга НСО </w:t>
      </w:r>
      <w:r>
        <w:rPr>
          <w:rFonts w:ascii="Times New Roman" w:hAnsi="Times New Roman" w:cs="Times New Roman"/>
          <w:sz w:val="28"/>
          <w:szCs w:val="28"/>
        </w:rPr>
        <w:t xml:space="preserve">по мере выявления ошибок (нарушений, недостатков) или их признаков </w:t>
      </w:r>
      <w:r>
        <w:rPr>
          <w:rFonts w:ascii="Times New Roman" w:hAnsi="Times New Roman" w:cs="Times New Roman"/>
          <w:sz w:val="28"/>
          <w:szCs w:val="28"/>
        </w:rPr>
        <w:t xml:space="preserve">субъектам бюджетных процедур (по решению ответственного лица Минпромторга НСО)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29 изложить в следующей редакции: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лицо Минпромторга НСО обеспечивает хранение рабочей документации аудиторского мероприятия в соответствии с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номенклатурой дел.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«дня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днем подписания проекта Заключения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«5 рабочих дней до дня око</w:t>
      </w:r>
      <w:r>
        <w:rPr>
          <w:rFonts w:ascii="Times New Roman" w:hAnsi="Times New Roman" w:cs="Times New Roman"/>
          <w:sz w:val="28"/>
          <w:szCs w:val="28"/>
        </w:rPr>
        <w:t xml:space="preserve">нчания аудиторского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пункте 33 слова «</w:t>
      </w:r>
      <w:r>
        <w:rPr>
          <w:rFonts w:ascii="Times New Roman" w:hAnsi="Times New Roman" w:cs="Times New Roman"/>
          <w:sz w:val="28"/>
          <w:szCs w:val="28"/>
        </w:rPr>
        <w:t xml:space="preserve">членами аудиторской группы в срок до 5 рабочих дней со дня их получения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и,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40 изложить в следующей редакции: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одов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отчетност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деятельности субъекта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 xml:space="preserve">(далее – годовая отчетность)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 xml:space="preserve">м Минпромторга НСО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членами</w:t>
      </w:r>
      <w:r>
        <w:rPr>
          <w:rFonts w:ascii="Times New Roman" w:hAnsi="Times New Roman" w:cs="Times New Roman"/>
          <w:sz w:val="28"/>
          <w:szCs w:val="28"/>
        </w:rPr>
        <w:t xml:space="preserve"> аудиторских групп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Минпромторга НСО подписывает и предоставляет министру годовую отчетность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ункт 4</w:t>
      </w:r>
      <w:r>
        <w:rPr>
          <w:sz w:val="28"/>
          <w:szCs w:val="28"/>
          <w:lang w:eastAsia="en-US"/>
        </w:rPr>
        <w:t xml:space="preserve">1</w:t>
      </w:r>
      <w:r>
        <w:rPr>
          <w:sz w:val="28"/>
          <w:szCs w:val="28"/>
          <w:lang w:eastAsia="en-US"/>
        </w:rPr>
        <w:t xml:space="preserve"> изложить в следующей редакции:</w:t>
      </w:r>
    </w:p>
    <w:p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41. </w:t>
      </w:r>
      <w:r>
        <w:rPr>
          <w:sz w:val="28"/>
          <w:szCs w:val="28"/>
          <w:lang w:eastAsia="en-US"/>
        </w:rPr>
        <w:t xml:space="preserve">Составленная годовая отчетность представляется министру </w:t>
      </w:r>
      <w:r>
        <w:rPr>
          <w:sz w:val="28"/>
          <w:szCs w:val="28"/>
        </w:rPr>
        <w:t xml:space="preserve">ответственным лицом Минпромторга НСО,</w:t>
      </w:r>
      <w:r>
        <w:rPr>
          <w:sz w:val="28"/>
          <w:szCs w:val="28"/>
          <w:lang w:eastAsia="en-US"/>
        </w:rPr>
        <w:t xml:space="preserve"> не позднее 20 рабочих дней после наиболее позднего из установленных сроков представления консолидированной (индивидуальной) годовой бюджетной отчетности за отчетный финансовый </w:t>
      </w:r>
      <w:r>
        <w:rPr>
          <w:sz w:val="28"/>
          <w:szCs w:val="28"/>
          <w:lang w:eastAsia="en-US"/>
        </w:rPr>
        <w:t xml:space="preserve">год</w:t>
      </w:r>
      <w:r>
        <w:rPr>
          <w:sz w:val="28"/>
          <w:szCs w:val="28"/>
          <w:lang w:eastAsia="en-US"/>
        </w:rPr>
        <w:t xml:space="preserve">.»</w:t>
      </w:r>
      <w:r>
        <w:rPr>
          <w:sz w:val="28"/>
          <w:szCs w:val="28"/>
          <w:lang w:eastAsia="en-US"/>
        </w:rPr>
        <w:t xml:space="preserve"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 к Порядку изложить в редакции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А.А. Гончаров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Адрузова Е.В.</w:t>
      </w:r>
    </w:p>
    <w:p>
      <w:pPr>
        <w:pStyle w:val="a7"/>
        <w:ind w:firstLine="0"/>
        <w:rPr>
          <w:sz w:val="20"/>
        </w:rPr>
      </w:pPr>
      <w:r>
        <w:rPr>
          <w:sz w:val="20"/>
        </w:rPr>
        <w:t xml:space="preserve">8 (383) </w:t>
      </w:r>
      <w:r>
        <w:rPr>
          <w:sz w:val="20"/>
        </w:rPr>
        <w:t xml:space="preserve">238 61 72</w:t>
      </w:r>
      <w:bookmarkStart w:id="1" w:name="_GoBack"/>
      <w:bookmarkEnd w:id="1"/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промышленности, </w:t>
      </w: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торговли и развития предпринимательства </w:t>
      </w: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</w:t>
      </w: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-НПА</w:t>
      </w:r>
    </w:p>
    <w:p>
      <w:pPr>
        <w:widowControl w:val="off"/>
        <w:jc w:val="right"/>
        <w:outlineLvl w:val="1"/>
        <w:rPr>
          <w:sz w:val="24"/>
          <w:szCs w:val="24"/>
        </w:rPr>
      </w:pPr>
    </w:p>
    <w:p>
      <w:pPr>
        <w:widowControl w:val="off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«ПРИЛОЖЕНИЕ № </w:t>
      </w:r>
      <w:r>
        <w:rPr>
          <w:sz w:val="24"/>
          <w:szCs w:val="24"/>
        </w:rPr>
        <w:t xml:space="preserve">6</w:t>
      </w:r>
    </w:p>
    <w:p>
      <w:pPr>
        <w:widowControl w:val="o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осуществления внутреннего</w:t>
      </w:r>
    </w:p>
    <w:p>
      <w:pPr>
        <w:widowControl w:val="o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финансового аудита в министерстве</w:t>
      </w:r>
    </w:p>
    <w:p>
      <w:pPr>
        <w:widowControl w:val="o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промышленности, торговли и развития</w:t>
      </w:r>
    </w:p>
    <w:p>
      <w:pPr>
        <w:widowControl w:val="o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предпринимательства Новосибирской области</w:t>
      </w:r>
    </w:p>
    <w:p>
      <w:pPr>
        <w:pStyle w:val="a7"/>
        <w:ind w:left="5664" w:firstLine="6"/>
        <w:jc w:val="right"/>
        <w:rPr>
          <w:szCs w:val="28"/>
        </w:rPr>
      </w:pPr>
    </w:p>
    <w:p>
      <w:pPr>
        <w:pStyle w:val="a7"/>
        <w:ind w:left="5664" w:firstLine="6"/>
        <w:jc w:val="right"/>
        <w:rPr>
          <w:szCs w:val="28"/>
        </w:rPr>
      </w:pPr>
      <w:r>
        <w:rPr>
          <w:szCs w:val="28"/>
        </w:rPr>
        <w:t xml:space="preserve">ФОРМА</w:t>
      </w:r>
    </w:p>
    <w:p>
      <w:pPr>
        <w:pStyle w:val="a7"/>
        <w:ind w:left="5664" w:firstLine="6"/>
        <w:jc w:val="center"/>
        <w:rPr>
          <w:szCs w:val="28"/>
        </w:rPr>
      </w:pPr>
    </w:p>
    <w:p>
      <w:pPr>
        <w:tabs>
          <w:tab w:val="left" w:pos="6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Годовая отчетность о результатах деятельности субъекта</w:t>
      </w:r>
    </w:p>
    <w:p>
      <w:pPr>
        <w:tabs>
          <w:tab w:val="left" w:pos="6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финансового аудита</w:t>
      </w:r>
      <w:r>
        <w:rPr>
          <w:b/>
          <w:sz w:val="28"/>
          <w:szCs w:val="28"/>
        </w:rPr>
        <w:t xml:space="preserve"> за 20__ год </w:t>
      </w:r>
    </w:p>
    <w:p>
      <w:pPr>
        <w:tabs>
          <w:tab w:val="left" w:pos="6210"/>
        </w:tabs>
        <w:jc w:val="center"/>
        <w:rPr>
          <w:b/>
          <w:sz w:val="28"/>
          <w:szCs w:val="28"/>
        </w:rPr>
      </w:pP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выполнении плана проведения аудиторских мероприятий: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tabs>
          <w:tab w:val="left" w:pos="62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(в случае невыполнения плана проведения аудиторских мероприятий - о причинах невыполнения)</w:t>
      </w:r>
    </w:p>
    <w:p>
      <w:pPr>
        <w:tabs>
          <w:tab w:val="left" w:pos="6210"/>
        </w:tabs>
        <w:jc w:val="center"/>
        <w:rPr>
          <w:sz w:val="22"/>
          <w:szCs w:val="22"/>
        </w:rPr>
      </w:pP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количестве и темах проведенных внеплановых аудиторских мероприятий:</w:t>
      </w:r>
      <w:r>
        <w:rPr>
          <w:sz w:val="28"/>
          <w:szCs w:val="28"/>
        </w:rPr>
        <w:t xml:space="preserve">____________________________________________________</w:t>
      </w:r>
    </w:p>
    <w:p>
      <w:pPr>
        <w:tabs>
          <w:tab w:val="left" w:pos="621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(при наличии)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степени надежности внутреннего финансового контроля: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о достоверности (недостоверности) сформированной бюджетной отчетности </w:t>
      </w:r>
      <w:r>
        <w:rPr>
          <w:sz w:val="28"/>
          <w:szCs w:val="28"/>
        </w:rPr>
        <w:t xml:space="preserve">Минпромторга НСО</w:t>
      </w:r>
      <w:r>
        <w:rPr>
          <w:sz w:val="28"/>
          <w:szCs w:val="28"/>
        </w:rPr>
        <w:t xml:space="preserve"> и соответствии (несоответствии)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абзацем тридцать первым статьи 165 и пунктом 1 статьи 264.1 Бюджетного кодекса Российской Федерации, а также ведомственным (внутренним) актам, принятым в соответствии с пунктом 5 статьи 264.1 Бюджетного кодекса Российской Федерации, или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абзацем тридцать первым статьи 165 и пунктом 1 статьи 264.1 Бюджетного кодекса Российской Федерации</w:t>
      </w:r>
      <w:r>
        <w:rPr>
          <w:sz w:val="28"/>
          <w:szCs w:val="28"/>
        </w:rPr>
        <w:t xml:space="preserve">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качестве финансового менеджмента: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tabs>
          <w:tab w:val="left" w:pos="62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(включая информацию о достижении целевых значений показателей качества финансового менеджмента)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наиболее значимых нарушениях и (или) недостатках и принятых мерах по их устранению: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tabs>
          <w:tab w:val="left" w:pos="62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(при наличии)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наиболее значимых бюджетных рисках, включая информацию об их причинах: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наиболее значимых принятых (необходимых к принятию) мерах по минимизации (устранению) бюджетных рисков: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 xml:space="preserve">наиболее значимых </w:t>
      </w:r>
      <w:r>
        <w:rPr>
          <w:sz w:val="28"/>
          <w:szCs w:val="28"/>
        </w:rPr>
        <w:t xml:space="preserve">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tabs>
          <w:tab w:val="left" w:pos="62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(при наличии)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о результатах мониторинга реализации мер по минимизации (устранению) бюджетных рисков: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событиях, </w:t>
      </w:r>
      <w:r>
        <w:rPr>
          <w:sz w:val="28"/>
          <w:szCs w:val="28"/>
        </w:rPr>
        <w:t xml:space="preserve">оказавши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существенное влияние на организацию и осуществление внутреннего финансового аудита, а также на деятельность субъекта внутреннего финансового аудита</w:t>
      </w:r>
      <w:r>
        <w:rPr>
          <w:sz w:val="28"/>
          <w:szCs w:val="28"/>
        </w:rPr>
        <w:t xml:space="preserve">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Обобщенная информация об осуществлении консультирования субъектов бюджетных процедур</w:t>
      </w:r>
      <w:r>
        <w:rPr>
          <w:sz w:val="28"/>
          <w:szCs w:val="28"/>
        </w:rPr>
        <w:t xml:space="preserve">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tabs>
          <w:tab w:val="left" w:pos="62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(при наличии)</w:t>
      </w:r>
    </w:p>
    <w:p>
      <w:pPr>
        <w:pStyle w:val="af0"/>
        <w:numPr>
          <w:numId w:val="1"/>
          <w:ilvl w:val="0"/>
        </w:num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о субъекте </w:t>
      </w:r>
      <w:r>
        <w:rPr>
          <w:sz w:val="28"/>
          <w:szCs w:val="28"/>
        </w:rPr>
        <w:t xml:space="preserve">внутреннего финансового аудита</w:t>
      </w:r>
      <w:r>
        <w:rPr>
          <w:sz w:val="28"/>
          <w:szCs w:val="28"/>
        </w:rPr>
        <w:t xml:space="preserve">:</w:t>
      </w:r>
    </w:p>
    <w:p>
      <w:pPr>
        <w:tabs>
          <w:tab w:val="left" w:pos="6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</w:p>
    <w:p>
      <w:pPr>
        <w:tabs>
          <w:tab w:val="left" w:pos="62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(в том числе о его подчиненности, штатной и фактической численности)</w:t>
      </w:r>
    </w:p>
    <w:p>
      <w:pPr>
        <w:tabs>
          <w:tab w:val="left" w:pos="6210"/>
        </w:tabs>
        <w:jc w:val="center"/>
        <w:rPr>
          <w:sz w:val="22"/>
          <w:szCs w:val="22"/>
        </w:rPr>
      </w:pPr>
    </w:p>
    <w:p>
      <w:pPr>
        <w:tabs>
          <w:tab w:val="left" w:pos="6210"/>
        </w:tabs>
        <w:jc w:val="center"/>
        <w:rPr>
          <w:sz w:val="22"/>
          <w:szCs w:val="22"/>
        </w:rPr>
      </w:pPr>
    </w:p>
    <w:p>
      <w:pPr>
        <w:tabs>
          <w:tab w:val="left" w:pos="6210"/>
        </w:tabs>
        <w:jc w:val="center"/>
        <w:rPr>
          <w:sz w:val="22"/>
          <w:szCs w:val="22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министерства промышленности,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торговли и развития предпринимательства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области,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уполномоченное на осуществление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внутреннего финансового аудита</w:t>
      </w:r>
    </w:p>
    <w:tbl>
      <w:tblPr>
        <w:tblStyle w:val="1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170"/>
        <w:gridCol w:w="1985"/>
        <w:gridCol w:w="170"/>
        <w:gridCol w:w="3799"/>
      </w:tblGrid>
      <w:tr>
        <w:tc>
          <w:tcPr>
            <w:tcW w:w="3856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  <w:vAlign w:val="bottom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  <w:vAlign w:val="bottom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3856" w:type="dxa"/>
            <w:tcBorders>
              <w:top w:val="single" w:color="auto" w:sz="4" w:space="0"/>
              <w:left w:val="none"/>
              <w:bottom w:val="none"/>
              <w:right w:val="none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(должность)</w:t>
            </w:r>
          </w:p>
        </w:tc>
        <w:tc>
          <w:tcPr>
            <w:tcW w:w="17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one"/>
              <w:bottom w:val="none"/>
              <w:right w:val="none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(подпись)</w:t>
            </w:r>
          </w:p>
        </w:tc>
        <w:tc>
          <w:tcPr>
            <w:tcW w:w="17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color="auto" w:sz="4" w:space="0"/>
              <w:left w:val="none"/>
              <w:bottom w:val="none"/>
              <w:right w:val="none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(фамилия, имя, отчество</w:t>
            </w:r>
            <w:r>
              <w:rPr>
                <w:sz w:val="22"/>
                <w:szCs w:val="22"/>
              </w:rPr>
              <w:br/>
              <w:t xml:space="preserve">(при наличии)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«___»__________20___г.</w:t>
      </w:r>
    </w:p>
    <w:p>
      <w:pPr>
        <w:tabs>
          <w:tab w:val="left" w:pos="6210"/>
        </w:tabs>
        <w:jc w:val="both"/>
        <w:rPr>
          <w:sz w:val="28"/>
          <w:szCs w:val="28"/>
        </w:rPr>
      </w:pPr>
    </w:p>
    <w:sectPr>
      <w:pgSz w:w="11906" w:h="16838"/>
      <w:pgMar w:top="1134" w:right="851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pPr>
      <w:spacing w:line="360" w:lineRule="auto"/>
      <w:jc w:val="center"/>
    </w:pPr>
    <w:rPr>
      <w:b/>
      <w:bCs/>
      <w:sz w:val="28"/>
      <w:szCs w:val="28"/>
    </w:rPr>
  </w:style>
  <w:style w:type="character" w:styleId="a4" w:customStyle="1">
    <w:name w:val="Основной текст Знак"/>
    <w:basedOn w:val="a0"/>
    <w:link w:val="a3"/>
    <w:uiPriority w:val="9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basedOn w:val="a0"/>
    <w:link w:val="a8"/>
    <w:uiPriority w:val="99"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basedOn w:val="a0"/>
    <w:link w:val="aa"/>
    <w:uiPriority w:val="99"/>
    <w:locked/>
    <w:rPr>
      <w:rFonts w:ascii="Times New Roman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 w:customStyle="1">
    <w:name w:val="Сетка таблицы3"/>
    <w:basedOn w:val="a1"/>
    <w:next w:val="ac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footnote text"/>
    <w:basedOn w:val="a"/>
    <w:link w:val="ae"/>
    <w:uiPriority w:val="99"/>
  </w:style>
  <w:style w:type="character" w:styleId="ae" w:customStyle="1">
    <w:name w:val="Текст сноски Знак"/>
    <w:basedOn w:val="a0"/>
    <w:link w:val="ad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Pr>
      <w:rFonts w:cs="Times New Roman"/>
      <w:vertAlign w:val="superscript"/>
    </w:rPr>
  </w:style>
  <w:style w:type="table" w:styleId="31" w:customStyle="1">
    <w:name w:val="Сетка таблицы31"/>
    <w:basedOn w:val="a1"/>
    <w:next w:val="ac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table" w:styleId="1" w:customStyle="1">
    <w:name w:val="Сетка таблицы1"/>
    <w:basedOn w:val="a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6230</Characters>
  <CharactersWithSpaces>7308</CharactersWithSpaces>
  <Company>АГНОиПНО</Company>
  <DocSecurity>0</DocSecurity>
  <HyperlinksChanged>false</HyperlinksChanged>
  <Lines>51</Lines>
  <LinksUpToDate>false</LinksUpToDate>
  <Pages>1</Pages>
  <Paragraphs>14</Paragraphs>
  <ScaleCrop>false</ScaleCrop>
  <SharedDoc>false</SharedDoc>
  <Template>Normal.dotm</Template>
  <TotalTime>944</TotalTime>
  <Words>1092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Наталья Федоровна</dc:creator>
  <cp:keywords/>
  <dc:description/>
  <cp:lastModifiedBy>Адрузова Екатерина Вячеславовна</cp:lastModifiedBy>
  <cp:revision>7</cp:revision>
  <cp:lastPrinted>2024-02-26T09:40:00Z</cp:lastPrinted>
  <dcterms:created xsi:type="dcterms:W3CDTF">2024-01-30T09:55:00Z</dcterms:created>
  <dcterms:modified xsi:type="dcterms:W3CDTF">2024-02-28T03:06:00Z</dcterms:modified>
</cp:coreProperties>
</file>