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1" w:rsidRPr="00466E9D" w:rsidRDefault="007C0421" w:rsidP="007C0421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Проект</w:t>
      </w:r>
    </w:p>
    <w:p w:rsidR="007C0421" w:rsidRPr="00466E9D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7C0421" w:rsidRPr="00466E9D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Новосибирской области</w:t>
      </w: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421" w:rsidRPr="00466E9D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принятии решения об изменении </w:t>
      </w:r>
      <w:r w:rsidR="00E24892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существенных условий соглашения о государственно-частном партнерстве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больницы)» 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97B" w:rsidRPr="00466E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</w:t>
      </w:r>
      <w:r w:rsidR="00614703" w:rsidRPr="00466E9D"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 от </w:t>
      </w:r>
      <w:r w:rsidR="00E24892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28.06.2021 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E24892" w:rsidRPr="00466E9D">
        <w:rPr>
          <w:rFonts w:ascii="Times New Roman" w:eastAsia="Times New Roman" w:hAnsi="Times New Roman"/>
          <w:sz w:val="28"/>
          <w:szCs w:val="28"/>
          <w:lang w:eastAsia="ru-RU"/>
        </w:rPr>
        <w:t>243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6980" w:rsidRPr="00466E9D">
        <w:rPr>
          <w:rFonts w:ascii="Times New Roman" w:eastAsia="Times New Roman" w:hAnsi="Times New Roman"/>
          <w:sz w:val="28"/>
          <w:szCs w:val="28"/>
          <w:lang w:eastAsia="ru-RU"/>
        </w:rPr>
        <w:t>О принятии решения о реализации проекта государственно-частного партнерства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</w:t>
      </w:r>
      <w:r w:rsidR="00A5248A" w:rsidRPr="00466E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C0421" w:rsidRPr="00466E9D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421" w:rsidRPr="00466E9D" w:rsidRDefault="00E96430" w:rsidP="007A4D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Указа Президента Росс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07.05.2018 №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204 «О национальных целях и стратегических задачах развития Российской Федерации на период до 2024 года», в соответствии с частью </w:t>
      </w:r>
      <w:r w:rsidR="005E6A32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4 с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татьи 13 Федерального закона от 13.07.2015 №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224-ФЗ «О государственно-частном партнерстве, </w:t>
      </w:r>
      <w:proofErr w:type="spellStart"/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-частном партн</w:t>
      </w:r>
      <w:r w:rsidR="00E8089F" w:rsidRPr="00466E9D">
        <w:rPr>
          <w:rFonts w:ascii="Times New Roman" w:eastAsia="Times New Roman" w:hAnsi="Times New Roman"/>
          <w:sz w:val="28"/>
          <w:szCs w:val="28"/>
          <w:lang w:eastAsia="ru-RU"/>
        </w:rPr>
        <w:t>ерстве в Российской Федерации и 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Федерации» </w:t>
      </w:r>
      <w:r w:rsidR="00A8695F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proofErr w:type="gramStart"/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т</w:t>
      </w:r>
      <w:proofErr w:type="gramEnd"/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а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н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в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л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я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е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 </w:t>
      </w:r>
      <w:r w:rsidR="007C0421" w:rsidRPr="00466E9D">
        <w:rPr>
          <w:rFonts w:ascii="Times New Roman" w:eastAsia="Times New Roman" w:hAnsi="Times New Roman"/>
          <w:b/>
          <w:sz w:val="28"/>
          <w:szCs w:val="20"/>
          <w:lang w:eastAsia="ru-RU"/>
        </w:rPr>
        <w:t>т</w:t>
      </w:r>
      <w:r w:rsidR="007C0421" w:rsidRPr="00466E9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D14115" w:rsidRPr="00466E9D" w:rsidRDefault="009C1AB3" w:rsidP="000A4C0F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4127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</w:t>
      </w:r>
      <w:r w:rsidR="00BB04C3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существенные условия соглашения </w:t>
      </w:r>
      <w:r w:rsidR="000A4C0F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государственно-частном партнерстве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больницы)» утвержденных постановлением Правительства Новосибирской области от 28.06.2021 № 243-п «О принятии решения о реализации проекта государственно-частного партнерства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больницы)» (далее -  Существенные условия) </w:t>
      </w:r>
      <w:r w:rsidR="009467CF" w:rsidRPr="00466E9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4C0F" w:rsidRPr="00466E9D" w:rsidRDefault="00554DE8" w:rsidP="000A4C0F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1) </w:t>
      </w:r>
      <w:r w:rsidR="000A4C0F" w:rsidRPr="00466E9D">
        <w:rPr>
          <w:rFonts w:ascii="Times New Roman" w:hAnsi="Times New Roman"/>
          <w:sz w:val="28"/>
          <w:szCs w:val="28"/>
        </w:rPr>
        <w:t xml:space="preserve">Изложить пункт 4 таблицы пункта 1 Приложения № 2 </w:t>
      </w:r>
      <w:r w:rsidR="000A4C0F" w:rsidRPr="00466E9D">
        <w:rPr>
          <w:rFonts w:ascii="Times New Roman" w:hAnsi="Times New Roman"/>
          <w:sz w:val="28"/>
          <w:szCs w:val="28"/>
        </w:rPr>
        <w:t>Существенных условий</w:t>
      </w:r>
      <w:r w:rsidR="000A4C0F" w:rsidRPr="00466E9D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A4C0F" w:rsidRPr="00466E9D" w:rsidRDefault="000A4C0F" w:rsidP="000A4C0F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02"/>
        <w:gridCol w:w="6374"/>
      </w:tblGrid>
      <w:tr w:rsidR="00466E9D" w:rsidRPr="00466E9D" w:rsidTr="00FC69E6">
        <w:tc>
          <w:tcPr>
            <w:tcW w:w="567" w:type="dxa"/>
          </w:tcPr>
          <w:p w:rsidR="000A4C0F" w:rsidRPr="00466E9D" w:rsidRDefault="000A4C0F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0A4C0F" w:rsidRPr="00466E9D" w:rsidRDefault="000A4C0F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Заемные инвестиции</w:t>
            </w:r>
          </w:p>
        </w:tc>
        <w:tc>
          <w:tcPr>
            <w:tcW w:w="6374" w:type="dxa"/>
          </w:tcPr>
          <w:p w:rsidR="000A4C0F" w:rsidRPr="00466E9D" w:rsidRDefault="000A4C0F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означает заемные средства (за исключением Собственных инвестиций), которые могут быть привлечены частным партнером по соглашению(ям) с финансирующими организациями в целях исполнения принятых им обязательств по частичному финансированию проектирования и строительства,</w:t>
            </w:r>
            <w:r w:rsidRPr="00466E9D">
              <w:rPr>
                <w:rFonts w:eastAsia="Times New Roman"/>
                <w:sz w:val="28"/>
                <w:szCs w:val="28"/>
              </w:rPr>
              <w:t xml:space="preserve"> </w:t>
            </w: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а также в целях рефинансирования задолженности, сформированной в указанных целях, в том числе по Соглашению о субординированном финансировании, формирующие Основной долг (при условии сохранения  в результате такого рефинансирования неизменными согласованных в Финансовой модели лимитов финансирования в отношении Заемных инвестиций и Собственных инвестиций)</w:t>
            </w:r>
          </w:p>
        </w:tc>
      </w:tr>
    </w:tbl>
    <w:p w:rsidR="00D10236" w:rsidRPr="00466E9D" w:rsidRDefault="00466E9D" w:rsidP="00D10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».</w:t>
      </w:r>
    </w:p>
    <w:p w:rsidR="00D10236" w:rsidRPr="00466E9D" w:rsidRDefault="00554DE8" w:rsidP="00D10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2) </w:t>
      </w:r>
      <w:r w:rsidR="00D10236" w:rsidRPr="00466E9D">
        <w:rPr>
          <w:rFonts w:ascii="Times New Roman" w:hAnsi="Times New Roman"/>
          <w:sz w:val="28"/>
          <w:szCs w:val="28"/>
        </w:rPr>
        <w:t>и</w:t>
      </w:r>
      <w:r w:rsidR="00D10236" w:rsidRPr="00466E9D">
        <w:rPr>
          <w:rFonts w:ascii="Times New Roman" w:hAnsi="Times New Roman"/>
          <w:sz w:val="28"/>
          <w:szCs w:val="28"/>
        </w:rPr>
        <w:t>зложить пункт 9 таблицы пункта 1 Существенных условий в следующей редакции:</w:t>
      </w:r>
    </w:p>
    <w:p w:rsidR="00D10236" w:rsidRPr="00466E9D" w:rsidRDefault="00D10236" w:rsidP="00D10236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02"/>
        <w:gridCol w:w="6374"/>
      </w:tblGrid>
      <w:tr w:rsidR="00466E9D" w:rsidRPr="00466E9D" w:rsidTr="00FC69E6">
        <w:tc>
          <w:tcPr>
            <w:tcW w:w="567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Основной долг</w:t>
            </w:r>
          </w:p>
        </w:tc>
        <w:tc>
          <w:tcPr>
            <w:tcW w:w="6374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означает фактический размер непогашенной задолженности Частного партнера по кредиту (без учета процентов, комиссий и иных платежей), полученной в соответствии с Соглашениями о финансировании</w:t>
            </w:r>
          </w:p>
        </w:tc>
      </w:tr>
    </w:tbl>
    <w:p w:rsidR="00D10236" w:rsidRPr="00466E9D" w:rsidRDefault="00D10236" w:rsidP="00D10236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».</w:t>
      </w:r>
    </w:p>
    <w:p w:rsidR="00D10236" w:rsidRPr="00466E9D" w:rsidRDefault="00554DE8" w:rsidP="00D10236">
      <w:pPr>
        <w:pStyle w:val="a6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3) </w:t>
      </w:r>
      <w:r w:rsidR="00D10236" w:rsidRPr="00466E9D">
        <w:rPr>
          <w:rFonts w:ascii="Times New Roman" w:hAnsi="Times New Roman"/>
          <w:sz w:val="28"/>
          <w:szCs w:val="28"/>
        </w:rPr>
        <w:t>и</w:t>
      </w:r>
      <w:r w:rsidR="00D10236" w:rsidRPr="00466E9D">
        <w:rPr>
          <w:rFonts w:ascii="Times New Roman" w:hAnsi="Times New Roman"/>
          <w:sz w:val="28"/>
          <w:szCs w:val="28"/>
        </w:rPr>
        <w:t>зложить пункт 13 таблицы пункта 1 Существенных условий в следующей редакции:</w:t>
      </w:r>
    </w:p>
    <w:p w:rsidR="00D10236" w:rsidRPr="00466E9D" w:rsidRDefault="00D10236" w:rsidP="00D1023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02"/>
        <w:gridCol w:w="6374"/>
      </w:tblGrid>
      <w:tr w:rsidR="00466E9D" w:rsidRPr="00466E9D" w:rsidTr="00FC69E6">
        <w:tc>
          <w:tcPr>
            <w:tcW w:w="567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13</w:t>
            </w:r>
          </w:p>
        </w:tc>
        <w:tc>
          <w:tcPr>
            <w:tcW w:w="2302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Финансовая модель</w:t>
            </w:r>
          </w:p>
        </w:tc>
        <w:tc>
          <w:tcPr>
            <w:tcW w:w="6374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означает систему плановых и отчетных показателей движения денежных средств (расходов и доходов) частного партнера в период срока соглашения, являющуюся неотъемлемой частью предложения о реализации проекта, с учетом ее последующей актуализации в редакции приложения 1 к письму Частного партнера в адрес Публичного партнера исх. № ПР2/2022/И283 от 08.08.2022 года (за исключением случаев, когда Соглашением прямо предусмотрено указание на иную редакцию Финансовой модели)</w:t>
            </w:r>
            <w:r w:rsidRPr="00466E9D" w:rsidDel="00245CCB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 xml:space="preserve"> </w:t>
            </w:r>
          </w:p>
        </w:tc>
      </w:tr>
    </w:tbl>
    <w:p w:rsidR="00D10236" w:rsidRPr="00466E9D" w:rsidRDefault="00D10236" w:rsidP="00D10236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»</w:t>
      </w:r>
      <w:r w:rsidR="00466E9D" w:rsidRPr="00466E9D">
        <w:rPr>
          <w:rFonts w:ascii="Times New Roman" w:hAnsi="Times New Roman"/>
          <w:sz w:val="28"/>
          <w:szCs w:val="28"/>
        </w:rPr>
        <w:t>.</w:t>
      </w:r>
    </w:p>
    <w:p w:rsidR="00D10236" w:rsidRPr="00466E9D" w:rsidRDefault="00554DE8" w:rsidP="00D10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4) </w:t>
      </w:r>
      <w:r w:rsidR="00D10236" w:rsidRPr="00466E9D">
        <w:rPr>
          <w:rFonts w:ascii="Times New Roman" w:hAnsi="Times New Roman"/>
          <w:sz w:val="28"/>
          <w:szCs w:val="28"/>
        </w:rPr>
        <w:t>и</w:t>
      </w:r>
      <w:r w:rsidR="00D10236" w:rsidRPr="00466E9D">
        <w:rPr>
          <w:rFonts w:ascii="Times New Roman" w:hAnsi="Times New Roman"/>
          <w:sz w:val="28"/>
          <w:szCs w:val="28"/>
        </w:rPr>
        <w:t>зложить пункт 15 таблицы пункта 1 Существенных условий в следующей редакции:</w:t>
      </w:r>
    </w:p>
    <w:p w:rsidR="00D10236" w:rsidRPr="00466E9D" w:rsidRDefault="00D10236" w:rsidP="00D10236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302"/>
        <w:gridCol w:w="6374"/>
      </w:tblGrid>
      <w:tr w:rsidR="00466E9D" w:rsidRPr="00466E9D" w:rsidTr="00FC69E6">
        <w:tc>
          <w:tcPr>
            <w:tcW w:w="567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15</w:t>
            </w:r>
          </w:p>
        </w:tc>
        <w:tc>
          <w:tcPr>
            <w:tcW w:w="2302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Финансирующие организации</w:t>
            </w:r>
          </w:p>
        </w:tc>
        <w:tc>
          <w:tcPr>
            <w:tcW w:w="6374" w:type="dxa"/>
          </w:tcPr>
          <w:p w:rsidR="00D10236" w:rsidRPr="00466E9D" w:rsidRDefault="00D10236" w:rsidP="00FC69E6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 w:rsidRPr="00466E9D">
              <w:rPr>
                <w:rFonts w:ascii="Times New Roman" w:eastAsia="Times New Roman" w:hAnsi="Times New Roman"/>
                <w:kern w:val="16"/>
                <w:sz w:val="28"/>
                <w:szCs w:val="28"/>
              </w:rPr>
              <w:t>означает банки и (или) иные организации, лиц, агентов Финансирующих организаций и (или) организаторов эмиссии, и (или) агентов владельцев облигаций (в зависимости от того, что применимо), предоставляющих частному партнеру заемное финансирование (включая кредиты, займы, выпуск облигаций или любые иные долговые инструменты), или связанное с таким договором соглашение о хеджировании процентных ставок или иное соглашение, заключаемое частным партнером в целях получения заемного финансирования (за исключением Собственных инвестиций) для реализации проекта, на условиях возвратности, платности и срочности, в отношении которого соглашением предусматривается компенсация при расторжении</w:t>
            </w:r>
          </w:p>
        </w:tc>
      </w:tr>
    </w:tbl>
    <w:p w:rsidR="00D10236" w:rsidRPr="00466E9D" w:rsidRDefault="00D10236" w:rsidP="00D10236">
      <w:pPr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».</w:t>
      </w:r>
    </w:p>
    <w:p w:rsidR="00D10236" w:rsidRPr="00466E9D" w:rsidRDefault="00554DE8" w:rsidP="00D10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5) </w:t>
      </w:r>
      <w:r w:rsidR="00D10236" w:rsidRPr="00466E9D">
        <w:rPr>
          <w:rFonts w:ascii="Times New Roman" w:hAnsi="Times New Roman"/>
          <w:sz w:val="28"/>
          <w:szCs w:val="28"/>
        </w:rPr>
        <w:t>изложить подпункт 3</w:t>
      </w:r>
      <w:r w:rsidR="00D10236" w:rsidRPr="00466E9D">
        <w:rPr>
          <w:rFonts w:ascii="Times New Roman" w:hAnsi="Times New Roman"/>
          <w:sz w:val="28"/>
          <w:szCs w:val="28"/>
        </w:rPr>
        <w:t xml:space="preserve"> пункта 6 Существенных условий в следующей редакции: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«</w:t>
      </w:r>
      <w:r w:rsidRPr="00466E9D">
        <w:rPr>
          <w:rFonts w:ascii="Times New Roman" w:hAnsi="Times New Roman"/>
          <w:kern w:val="16"/>
          <w:sz w:val="28"/>
          <w:szCs w:val="28"/>
        </w:rPr>
        <w:t>3) Инвестиционный этап начинается с момента подписания договоров аренды земельного участка в отношении всех Земельных участков, длится до даты приемки объекта и составляет не более чем 22 (двадцать два) месяца;</w:t>
      </w:r>
      <w:r w:rsidRPr="00466E9D">
        <w:rPr>
          <w:rFonts w:ascii="Times New Roman" w:hAnsi="Times New Roman"/>
          <w:sz w:val="28"/>
          <w:szCs w:val="28"/>
        </w:rPr>
        <w:t>».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10236" w:rsidRPr="00466E9D" w:rsidRDefault="00554DE8" w:rsidP="00D10236">
      <w:pPr>
        <w:pStyle w:val="a6"/>
        <w:jc w:val="both"/>
        <w:rPr>
          <w:rFonts w:ascii="Times New Roman" w:eastAsia="Times New Roman" w:hAnsi="Times New Roman"/>
          <w:kern w:val="16"/>
          <w:sz w:val="28"/>
          <w:szCs w:val="28"/>
        </w:rPr>
      </w:pPr>
      <w:r w:rsidRPr="00466E9D">
        <w:rPr>
          <w:rFonts w:ascii="Times New Roman" w:eastAsia="Times New Roman" w:hAnsi="Times New Roman"/>
          <w:kern w:val="16"/>
          <w:sz w:val="28"/>
          <w:szCs w:val="28"/>
        </w:rPr>
        <w:t>6) 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>изложить подпункт 2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 xml:space="preserve"> пункта 10 Существенных условий в следующей редакции: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kern w:val="16"/>
          <w:sz w:val="28"/>
          <w:szCs w:val="28"/>
        </w:rPr>
      </w:pPr>
      <w:r w:rsidRPr="00466E9D">
        <w:rPr>
          <w:rFonts w:ascii="Times New Roman" w:hAnsi="Times New Roman"/>
          <w:kern w:val="16"/>
          <w:sz w:val="28"/>
          <w:szCs w:val="28"/>
        </w:rPr>
        <w:t>«2) формы способов обеспечения исполнения частным партнером обязательств по соглашению, указанные в пункте 10 существенных условий, должны соответствовать требованиям законодательства и соглашения;».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kern w:val="16"/>
          <w:sz w:val="28"/>
          <w:szCs w:val="28"/>
        </w:rPr>
      </w:pPr>
    </w:p>
    <w:p w:rsidR="00D10236" w:rsidRPr="00466E9D" w:rsidRDefault="00554DE8" w:rsidP="00D10236">
      <w:pPr>
        <w:pStyle w:val="a6"/>
        <w:jc w:val="both"/>
        <w:rPr>
          <w:rFonts w:ascii="Times New Roman" w:eastAsia="Times New Roman" w:hAnsi="Times New Roman"/>
          <w:kern w:val="16"/>
          <w:sz w:val="28"/>
          <w:szCs w:val="28"/>
        </w:rPr>
      </w:pPr>
      <w:r w:rsidRPr="00466E9D">
        <w:rPr>
          <w:rFonts w:ascii="Times New Roman" w:eastAsia="Times New Roman" w:hAnsi="Times New Roman"/>
          <w:kern w:val="16"/>
          <w:sz w:val="28"/>
          <w:szCs w:val="28"/>
        </w:rPr>
        <w:t>7) 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>и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>зложить подпункт б) подпункта 2) пункта 13 Существенных условий в следующей редакции: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kern w:val="16"/>
          <w:sz w:val="28"/>
          <w:szCs w:val="28"/>
        </w:rPr>
      </w:pPr>
      <w:r w:rsidRPr="00466E9D">
        <w:rPr>
          <w:rFonts w:ascii="Times New Roman" w:hAnsi="Times New Roman"/>
          <w:kern w:val="16"/>
          <w:sz w:val="28"/>
          <w:szCs w:val="28"/>
        </w:rPr>
        <w:t>«б) совокупный размер Капитального гранта составляет 2 075 000 000 (два миллиарда семьдесят пять миллионов) рублей в ценах соответствующих лет.</w:t>
      </w:r>
      <w:r w:rsidRPr="00466E9D">
        <w:rPr>
          <w:rFonts w:ascii="Times New Roman" w:hAnsi="Times New Roman"/>
          <w:sz w:val="28"/>
          <w:szCs w:val="28"/>
        </w:rPr>
        <w:t xml:space="preserve"> </w:t>
      </w:r>
      <w:r w:rsidRPr="00466E9D">
        <w:rPr>
          <w:rFonts w:ascii="Times New Roman" w:hAnsi="Times New Roman"/>
          <w:kern w:val="16"/>
          <w:sz w:val="28"/>
          <w:szCs w:val="28"/>
        </w:rPr>
        <w:t>Во избежание сомнений Капитальный грант выплачивается в целях финансирования части расходов на инвестиционном этапе, включая проектирование и строительство, без включения в состав таких расходов сумм НДС, в том числе предъявленных подрядчиком и (или) третьими лицами частному партнеру;».</w:t>
      </w:r>
    </w:p>
    <w:p w:rsidR="00D10236" w:rsidRPr="00466E9D" w:rsidRDefault="00554DE8" w:rsidP="00D10236">
      <w:pPr>
        <w:pStyle w:val="a6"/>
        <w:jc w:val="both"/>
        <w:rPr>
          <w:rFonts w:ascii="Times New Roman" w:eastAsia="Times New Roman" w:hAnsi="Times New Roman"/>
          <w:kern w:val="16"/>
          <w:sz w:val="28"/>
          <w:szCs w:val="28"/>
        </w:rPr>
      </w:pPr>
      <w:r w:rsidRPr="00466E9D">
        <w:rPr>
          <w:rFonts w:ascii="Times New Roman" w:eastAsia="Times New Roman" w:hAnsi="Times New Roman"/>
          <w:kern w:val="16"/>
          <w:sz w:val="28"/>
          <w:szCs w:val="28"/>
        </w:rPr>
        <w:t>8) 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>и</w:t>
      </w:r>
      <w:r w:rsidR="00D10236" w:rsidRPr="00466E9D">
        <w:rPr>
          <w:rFonts w:ascii="Times New Roman" w:eastAsia="Times New Roman" w:hAnsi="Times New Roman"/>
          <w:kern w:val="16"/>
          <w:sz w:val="28"/>
          <w:szCs w:val="28"/>
        </w:rPr>
        <w:t>зложить подпункт в) подпункта 2) пункта 13 Существенных условий в следующей редакции:</w:t>
      </w:r>
    </w:p>
    <w:p w:rsidR="00D10236" w:rsidRPr="00466E9D" w:rsidRDefault="00D10236" w:rsidP="00D10236">
      <w:pPr>
        <w:pStyle w:val="10"/>
        <w:widowControl w:val="0"/>
        <w:spacing w:after="0" w:line="242" w:lineRule="auto"/>
        <w:ind w:left="0"/>
        <w:contextualSpacing w:val="0"/>
        <w:jc w:val="both"/>
        <w:rPr>
          <w:rFonts w:ascii="Times New Roman" w:hAnsi="Times New Roman"/>
          <w:kern w:val="16"/>
          <w:sz w:val="28"/>
          <w:szCs w:val="28"/>
        </w:rPr>
      </w:pPr>
      <w:r w:rsidRPr="00466E9D">
        <w:rPr>
          <w:rFonts w:ascii="Times New Roman" w:hAnsi="Times New Roman"/>
          <w:kern w:val="16"/>
          <w:sz w:val="28"/>
          <w:szCs w:val="28"/>
        </w:rPr>
        <w:t>«в) выплаты Капитального гранта производятся в следующие сроки:</w:t>
      </w:r>
    </w:p>
    <w:p w:rsidR="00D10236" w:rsidRPr="00466E9D" w:rsidRDefault="00D10236" w:rsidP="00D10236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kern w:val="16"/>
          <w:sz w:val="28"/>
          <w:szCs w:val="28"/>
        </w:rPr>
      </w:pPr>
    </w:p>
    <w:p w:rsidR="00D10236" w:rsidRPr="00466E9D" w:rsidRDefault="00D10236" w:rsidP="00D10236">
      <w:pPr>
        <w:pStyle w:val="10"/>
        <w:widowControl w:val="0"/>
        <w:spacing w:after="0" w:line="242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466E9D">
        <w:rPr>
          <w:rFonts w:ascii="Times New Roman" w:hAnsi="Times New Roman"/>
          <w:kern w:val="16"/>
          <w:sz w:val="28"/>
          <w:szCs w:val="28"/>
        </w:rPr>
        <w:t>- часть Капитального гранта в размере 75 000 000 (семидесяти пяти миллионов) рублей в течение 10 (десяти) рабочих дней с момента подписания акта о финансовом закрытии;</w:t>
      </w:r>
    </w:p>
    <w:p w:rsidR="000A4C0F" w:rsidRPr="00466E9D" w:rsidRDefault="00D10236" w:rsidP="00D1023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hAnsi="Times New Roman"/>
          <w:kern w:val="16"/>
          <w:sz w:val="28"/>
          <w:szCs w:val="28"/>
        </w:rPr>
        <w:t>- часть Капитального гранта в размере 2 000 000 000 (два миллиарда) рублей в срок не позднее 15 (пятнадцати) Рабочих дней с даты получения Частным партнером разрешения на строительство в отношении Объекта соглашения;</w:t>
      </w:r>
    </w:p>
    <w:p w:rsidR="00554DE8" w:rsidRPr="00466E9D" w:rsidRDefault="00554DE8" w:rsidP="00554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9) и</w:t>
      </w:r>
      <w:r w:rsidRPr="00466E9D">
        <w:rPr>
          <w:rFonts w:ascii="Times New Roman" w:hAnsi="Times New Roman"/>
          <w:sz w:val="28"/>
          <w:szCs w:val="28"/>
        </w:rPr>
        <w:t>зложить приложение № 1 «Описание и технико-экономические показатели объекта соглашения» к Существенным условиям в новой редакции соглас</w:t>
      </w:r>
      <w:r w:rsidRPr="00466E9D">
        <w:rPr>
          <w:rFonts w:ascii="Times New Roman" w:hAnsi="Times New Roman"/>
          <w:sz w:val="28"/>
          <w:szCs w:val="28"/>
        </w:rPr>
        <w:t>но приложению № 1 к настоящему постановлению</w:t>
      </w:r>
      <w:r w:rsidRPr="00466E9D">
        <w:rPr>
          <w:rFonts w:ascii="Times New Roman" w:hAnsi="Times New Roman"/>
          <w:sz w:val="28"/>
          <w:szCs w:val="28"/>
        </w:rPr>
        <w:t>.</w:t>
      </w:r>
    </w:p>
    <w:p w:rsidR="00281A0F" w:rsidRPr="00466E9D" w:rsidRDefault="00554DE8" w:rsidP="00466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E9D">
        <w:rPr>
          <w:rFonts w:ascii="Times New Roman" w:hAnsi="Times New Roman"/>
          <w:sz w:val="28"/>
          <w:szCs w:val="28"/>
        </w:rPr>
        <w:t>10) и</w:t>
      </w:r>
      <w:r w:rsidRPr="00466E9D">
        <w:rPr>
          <w:rFonts w:ascii="Times New Roman" w:hAnsi="Times New Roman"/>
          <w:sz w:val="28"/>
          <w:szCs w:val="28"/>
        </w:rPr>
        <w:t>зложить приложение № 2 «Перечень земельных участков» к Существенным условиям в новой редакции соглас</w:t>
      </w:r>
      <w:r w:rsidR="00466E9D" w:rsidRPr="00466E9D">
        <w:rPr>
          <w:rFonts w:ascii="Times New Roman" w:hAnsi="Times New Roman"/>
          <w:sz w:val="28"/>
          <w:szCs w:val="28"/>
        </w:rPr>
        <w:t>но приложению № 2 к настоящему постановлению</w:t>
      </w:r>
      <w:r w:rsidRPr="00466E9D">
        <w:rPr>
          <w:rFonts w:ascii="Times New Roman" w:hAnsi="Times New Roman"/>
          <w:sz w:val="28"/>
          <w:szCs w:val="28"/>
        </w:rPr>
        <w:t>.</w:t>
      </w:r>
    </w:p>
    <w:p w:rsidR="007C0421" w:rsidRPr="00466E9D" w:rsidRDefault="00E1473A" w:rsidP="001C0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0421" w:rsidRPr="00466E9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</w:t>
      </w:r>
      <w:r w:rsidR="00E8089F" w:rsidRPr="00466E9D">
        <w:rPr>
          <w:rFonts w:ascii="Times New Roman" w:eastAsia="Times New Roman" w:hAnsi="Times New Roman"/>
          <w:sz w:val="28"/>
          <w:szCs w:val="28"/>
          <w:lang w:eastAsia="ru-RU"/>
        </w:rPr>
        <w:t>щего постановления возложить на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Председателя Правительства Новосибирской области </w:t>
      </w:r>
      <w:proofErr w:type="spellStart"/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Знаткова</w:t>
      </w:r>
      <w:proofErr w:type="spellEnd"/>
      <w:r w:rsidR="00D14115" w:rsidRPr="00466E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7807" w:rsidRPr="00466E9D">
        <w:rPr>
          <w:rFonts w:ascii="Times New Roman" w:eastAsia="Times New Roman" w:hAnsi="Times New Roman"/>
          <w:sz w:val="28"/>
          <w:szCs w:val="28"/>
          <w:lang w:eastAsia="ru-RU"/>
        </w:rPr>
        <w:t>В.М.</w:t>
      </w:r>
    </w:p>
    <w:p w:rsidR="00F0067F" w:rsidRPr="00466E9D" w:rsidRDefault="00F0067F" w:rsidP="007C0421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25" w:rsidRPr="00466E9D" w:rsidRDefault="00D17125" w:rsidP="007C0421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BB9" w:rsidRPr="00466E9D" w:rsidRDefault="007C0421" w:rsidP="00B5479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 w:rsidR="00E82E00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C03DD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E62F8" w:rsidRPr="00466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54794" w:rsidRPr="00466E9D">
        <w:rPr>
          <w:rFonts w:ascii="Times New Roman" w:eastAsia="Times New Roman" w:hAnsi="Times New Roman"/>
          <w:sz w:val="28"/>
          <w:szCs w:val="28"/>
          <w:lang w:eastAsia="ru-RU"/>
        </w:rPr>
        <w:t>А.А. Травников</w:t>
      </w:r>
    </w:p>
    <w:p w:rsidR="005A2BB9" w:rsidRPr="00466E9D" w:rsidRDefault="005A2BB9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794" w:rsidRPr="00466E9D" w:rsidRDefault="00B54794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4794" w:rsidRPr="00466E9D" w:rsidRDefault="00B54794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E9D" w:rsidRPr="00466E9D" w:rsidRDefault="00466E9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421" w:rsidRPr="00466E9D" w:rsidRDefault="006A155B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7C0421" w:rsidRPr="00466E9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7C0421" w:rsidRPr="00466E9D">
        <w:rPr>
          <w:rFonts w:ascii="Times New Roman" w:eastAsia="Times New Roman" w:hAnsi="Times New Roman"/>
          <w:sz w:val="20"/>
          <w:szCs w:val="20"/>
          <w:lang w:eastAsia="ru-RU"/>
        </w:rPr>
        <w:t>. </w:t>
      </w: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Хальзов</w:t>
      </w:r>
    </w:p>
    <w:p w:rsidR="007C0421" w:rsidRPr="00466E9D" w:rsidRDefault="007C0421" w:rsidP="007C042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7C0421" w:rsidRPr="00466E9D" w:rsidSect="00B54794">
          <w:headerReference w:type="default" r:id="rId8"/>
          <w:pgSz w:w="11909" w:h="16834"/>
          <w:pgMar w:top="1134" w:right="567" w:bottom="426" w:left="1418" w:header="720" w:footer="720" w:gutter="0"/>
          <w:cols w:space="60"/>
          <w:noEndnote/>
          <w:titlePg/>
          <w:docGrid w:linePitch="326"/>
        </w:sect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(383) 238 63 68</w:t>
      </w:r>
    </w:p>
    <w:tbl>
      <w:tblPr>
        <w:tblpPr w:leftFromText="180" w:rightFromText="180" w:horzAnchor="margin" w:tblpY="66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6E9D" w:rsidRPr="00466E9D" w:rsidTr="00E02EF3">
        <w:trPr>
          <w:trHeight w:val="1146"/>
        </w:trPr>
        <w:tc>
          <w:tcPr>
            <w:tcW w:w="4672" w:type="dxa"/>
            <w:shd w:val="clear" w:color="auto" w:fill="auto"/>
          </w:tcPr>
          <w:p w:rsidR="00477FEA" w:rsidRPr="00466E9D" w:rsidRDefault="00477FEA" w:rsidP="00AE5E8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AE5E87" w:rsidRPr="00466E9D">
              <w:rPr>
                <w:rFonts w:ascii="Times New Roman" w:hAnsi="Times New Roman"/>
                <w:sz w:val="28"/>
                <w:szCs w:val="28"/>
              </w:rPr>
              <w:t>председателя Правительства</w:t>
            </w:r>
            <w:r w:rsidRPr="00466E9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477FEA" w:rsidRPr="00466E9D" w:rsidRDefault="00E67B4F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В.М. Знатков</w:t>
            </w:r>
          </w:p>
          <w:p w:rsidR="00477FEA" w:rsidRPr="00466E9D" w:rsidRDefault="00E67B4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466E9D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66339C">
        <w:trPr>
          <w:trHeight w:val="1133"/>
        </w:trPr>
        <w:tc>
          <w:tcPr>
            <w:tcW w:w="4672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E8089F" w:rsidRPr="00466E9D" w:rsidRDefault="00466E9D" w:rsidP="00E8089F">
            <w:pPr>
              <w:spacing w:after="40" w:line="240" w:lineRule="auto"/>
              <w:jc w:val="right"/>
              <w:rPr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E8089F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— министр финансов и налоговой политики Новосибирской области</w:t>
            </w:r>
          </w:p>
          <w:p w:rsidR="00E8089F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В.Ю. Голубенко</w:t>
            </w:r>
          </w:p>
          <w:p w:rsidR="00477FEA" w:rsidRPr="00466E9D" w:rsidRDefault="00E67B4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E24892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477FEA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24892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466E9D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477FEA" w:rsidRPr="00466E9D" w:rsidRDefault="00E24892" w:rsidP="00E02EF3">
            <w:pPr>
              <w:spacing w:after="40" w:line="240" w:lineRule="auto"/>
              <w:jc w:val="right"/>
              <w:rPr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1133"/>
        </w:trPr>
        <w:tc>
          <w:tcPr>
            <w:tcW w:w="4672" w:type="dxa"/>
            <w:shd w:val="clear" w:color="auto" w:fill="auto"/>
          </w:tcPr>
          <w:p w:rsidR="00E8089F" w:rsidRPr="00466E9D" w:rsidRDefault="00E8089F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E8089F" w:rsidRPr="00466E9D" w:rsidRDefault="00E8089F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E8089F" w:rsidRPr="00466E9D" w:rsidRDefault="00E24892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2022</w:t>
            </w:r>
            <w:r w:rsidR="00E8089F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66E9D" w:rsidRPr="00466E9D" w:rsidTr="00E02EF3">
        <w:trPr>
          <w:trHeight w:val="704"/>
        </w:trPr>
        <w:tc>
          <w:tcPr>
            <w:tcW w:w="4672" w:type="dxa"/>
            <w:shd w:val="clear" w:color="auto" w:fill="auto"/>
          </w:tcPr>
          <w:p w:rsidR="00477FEA" w:rsidRPr="00466E9D" w:rsidRDefault="006A155B" w:rsidP="00E02EF3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М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>инистр здравоохранения Новосибирской области</w:t>
            </w:r>
          </w:p>
        </w:tc>
        <w:tc>
          <w:tcPr>
            <w:tcW w:w="4673" w:type="dxa"/>
            <w:shd w:val="clear" w:color="auto" w:fill="auto"/>
          </w:tcPr>
          <w:p w:rsidR="00477FEA" w:rsidRPr="00466E9D" w:rsidRDefault="006A155B" w:rsidP="00E02EF3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К.В. Х</w:t>
            </w:r>
            <w:r w:rsidR="00E47807" w:rsidRPr="00466E9D">
              <w:rPr>
                <w:rFonts w:ascii="Times New Roman" w:hAnsi="Times New Roman"/>
                <w:sz w:val="28"/>
                <w:szCs w:val="28"/>
              </w:rPr>
              <w:t>а</w:t>
            </w:r>
            <w:r w:rsidRPr="00466E9D">
              <w:rPr>
                <w:rFonts w:ascii="Times New Roman" w:hAnsi="Times New Roman"/>
                <w:sz w:val="28"/>
                <w:szCs w:val="28"/>
              </w:rPr>
              <w:t>льзов</w:t>
            </w:r>
          </w:p>
          <w:p w:rsidR="00477FEA" w:rsidRPr="00466E9D" w:rsidRDefault="00E47807" w:rsidP="00E8089F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E9D">
              <w:rPr>
                <w:rFonts w:ascii="Times New Roman" w:hAnsi="Times New Roman"/>
                <w:sz w:val="28"/>
                <w:szCs w:val="28"/>
              </w:rPr>
              <w:t>«___» _____________ 202</w:t>
            </w:r>
            <w:r w:rsidR="00E24892" w:rsidRPr="00466E9D">
              <w:rPr>
                <w:rFonts w:ascii="Times New Roman" w:hAnsi="Times New Roman"/>
                <w:sz w:val="28"/>
                <w:szCs w:val="28"/>
              </w:rPr>
              <w:t>2</w:t>
            </w:r>
            <w:r w:rsidR="00477FEA" w:rsidRPr="00466E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E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A5A" w:rsidRPr="00466E9D" w:rsidRDefault="00654A5A" w:rsidP="00654A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4E5C" w:rsidRPr="00466E9D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0E1" w:rsidRPr="00466E9D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6FA1" w:rsidRPr="00466E9D" w:rsidRDefault="00856FA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4D7" w:rsidRPr="00466E9D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A5A" w:rsidRPr="00466E9D" w:rsidRDefault="00654A5A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A0F" w:rsidRPr="00466E9D" w:rsidRDefault="00281A0F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67CF" w:rsidRPr="00466E9D" w:rsidRDefault="009467CF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E9D">
        <w:rPr>
          <w:rFonts w:ascii="Times New Roman" w:eastAsia="Times New Roman" w:hAnsi="Times New Roman"/>
          <w:sz w:val="20"/>
          <w:szCs w:val="20"/>
          <w:lang w:eastAsia="ru-RU"/>
        </w:rPr>
        <w:t>К.В. Помогайбо -  главный эксперт Минздрава НСО</w:t>
      </w:r>
    </w:p>
    <w:sectPr w:rsidR="009467CF" w:rsidRPr="00466E9D" w:rsidSect="00856FA1">
      <w:headerReference w:type="default" r:id="rId9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17" w:rsidRDefault="002F7C17">
      <w:pPr>
        <w:spacing w:after="0" w:line="240" w:lineRule="auto"/>
      </w:pPr>
      <w:r>
        <w:separator/>
      </w:r>
    </w:p>
  </w:endnote>
  <w:endnote w:type="continuationSeparator" w:id="0">
    <w:p w:rsidR="002F7C17" w:rsidRDefault="002F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17" w:rsidRDefault="002F7C17">
      <w:pPr>
        <w:spacing w:after="0" w:line="240" w:lineRule="auto"/>
      </w:pPr>
      <w:r>
        <w:separator/>
      </w:r>
    </w:p>
  </w:footnote>
  <w:footnote w:type="continuationSeparator" w:id="0">
    <w:p w:rsidR="002F7C17" w:rsidRDefault="002F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ED" w:rsidRPr="00E8089F" w:rsidRDefault="00441E34">
    <w:pPr>
      <w:pStyle w:val="a3"/>
      <w:jc w:val="center"/>
      <w:rPr>
        <w:rFonts w:ascii="Times New Roman" w:hAnsi="Times New Roman"/>
        <w:sz w:val="20"/>
        <w:szCs w:val="20"/>
      </w:rPr>
    </w:pPr>
    <w:r w:rsidRPr="00E8089F">
      <w:rPr>
        <w:rFonts w:ascii="Times New Roman" w:hAnsi="Times New Roman"/>
        <w:sz w:val="20"/>
        <w:szCs w:val="20"/>
      </w:rPr>
      <w:fldChar w:fldCharType="begin"/>
    </w:r>
    <w:r w:rsidRPr="00E8089F">
      <w:rPr>
        <w:rFonts w:ascii="Times New Roman" w:hAnsi="Times New Roman"/>
        <w:sz w:val="20"/>
        <w:szCs w:val="20"/>
      </w:rPr>
      <w:instrText>PAGE   \* MERGEFORMAT</w:instrText>
    </w:r>
    <w:r w:rsidRPr="00E8089F">
      <w:rPr>
        <w:rFonts w:ascii="Times New Roman" w:hAnsi="Times New Roman"/>
        <w:sz w:val="20"/>
        <w:szCs w:val="20"/>
      </w:rPr>
      <w:fldChar w:fldCharType="separate"/>
    </w:r>
    <w:r w:rsidR="00466E9D">
      <w:rPr>
        <w:rFonts w:ascii="Times New Roman" w:hAnsi="Times New Roman"/>
        <w:noProof/>
        <w:sz w:val="20"/>
        <w:szCs w:val="20"/>
      </w:rPr>
      <w:t>4</w:t>
    </w:r>
    <w:r w:rsidRPr="00E8089F">
      <w:rPr>
        <w:rFonts w:ascii="Times New Roman" w:hAnsi="Times New Roman"/>
        <w:sz w:val="20"/>
        <w:szCs w:val="20"/>
      </w:rPr>
      <w:fldChar w:fldCharType="end"/>
    </w:r>
  </w:p>
  <w:p w:rsidR="007C7FED" w:rsidRPr="000D5D8D" w:rsidRDefault="007C7FED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ED" w:rsidRPr="00934A62" w:rsidRDefault="007C7FED">
    <w:pPr>
      <w:pStyle w:val="a3"/>
      <w:jc w:val="center"/>
      <w:rPr>
        <w:sz w:val="20"/>
        <w:szCs w:val="20"/>
      </w:rPr>
    </w:pPr>
  </w:p>
  <w:p w:rsidR="007C7FED" w:rsidRPr="00934A62" w:rsidRDefault="007C7FED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3E8"/>
    <w:multiLevelType w:val="hybridMultilevel"/>
    <w:tmpl w:val="F74E2076"/>
    <w:lvl w:ilvl="0" w:tplc="5BD67B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759"/>
    <w:multiLevelType w:val="hybridMultilevel"/>
    <w:tmpl w:val="BE9ACCC8"/>
    <w:lvl w:ilvl="0" w:tplc="051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3366C"/>
    <w:multiLevelType w:val="multilevel"/>
    <w:tmpl w:val="CABE8290"/>
    <w:lvl w:ilvl="0">
      <w:start w:val="1"/>
      <w:numFmt w:val="decimal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412E4ACA"/>
    <w:multiLevelType w:val="hybridMultilevel"/>
    <w:tmpl w:val="CBA06C78"/>
    <w:lvl w:ilvl="0" w:tplc="84341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3A335C"/>
    <w:multiLevelType w:val="multilevel"/>
    <w:tmpl w:val="3238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3353761"/>
    <w:multiLevelType w:val="hybridMultilevel"/>
    <w:tmpl w:val="6E32D6B8"/>
    <w:lvl w:ilvl="0" w:tplc="A5F07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C"/>
    <w:rsid w:val="00010A0E"/>
    <w:rsid w:val="0002649A"/>
    <w:rsid w:val="0003243A"/>
    <w:rsid w:val="0004522D"/>
    <w:rsid w:val="00073A3C"/>
    <w:rsid w:val="00084481"/>
    <w:rsid w:val="00087E61"/>
    <w:rsid w:val="000A4C0F"/>
    <w:rsid w:val="00102359"/>
    <w:rsid w:val="00104478"/>
    <w:rsid w:val="00104D87"/>
    <w:rsid w:val="00107EDE"/>
    <w:rsid w:val="00122755"/>
    <w:rsid w:val="0012309D"/>
    <w:rsid w:val="00146D86"/>
    <w:rsid w:val="00167260"/>
    <w:rsid w:val="00182611"/>
    <w:rsid w:val="00185E6C"/>
    <w:rsid w:val="001B7A92"/>
    <w:rsid w:val="001C03DD"/>
    <w:rsid w:val="001C751D"/>
    <w:rsid w:val="001E0981"/>
    <w:rsid w:val="001E113B"/>
    <w:rsid w:val="00211685"/>
    <w:rsid w:val="00257D2C"/>
    <w:rsid w:val="002716F9"/>
    <w:rsid w:val="00281A0F"/>
    <w:rsid w:val="002A1855"/>
    <w:rsid w:val="002B5428"/>
    <w:rsid w:val="002F7C17"/>
    <w:rsid w:val="003437CA"/>
    <w:rsid w:val="00363FBE"/>
    <w:rsid w:val="00366777"/>
    <w:rsid w:val="00392179"/>
    <w:rsid w:val="003A697B"/>
    <w:rsid w:val="003C0EF7"/>
    <w:rsid w:val="003D6A88"/>
    <w:rsid w:val="003D6EAB"/>
    <w:rsid w:val="003E0B85"/>
    <w:rsid w:val="003E6AE7"/>
    <w:rsid w:val="00435222"/>
    <w:rsid w:val="00441E34"/>
    <w:rsid w:val="00466E9D"/>
    <w:rsid w:val="00477FEA"/>
    <w:rsid w:val="004B738E"/>
    <w:rsid w:val="004E1B5B"/>
    <w:rsid w:val="004E556B"/>
    <w:rsid w:val="004F57D6"/>
    <w:rsid w:val="00503AD0"/>
    <w:rsid w:val="0051589C"/>
    <w:rsid w:val="00516171"/>
    <w:rsid w:val="0052663D"/>
    <w:rsid w:val="005267AF"/>
    <w:rsid w:val="00554DE8"/>
    <w:rsid w:val="00592B7A"/>
    <w:rsid w:val="005A2BB9"/>
    <w:rsid w:val="005C34D7"/>
    <w:rsid w:val="005D20C8"/>
    <w:rsid w:val="005D5FA0"/>
    <w:rsid w:val="005E4428"/>
    <w:rsid w:val="005E62F8"/>
    <w:rsid w:val="005E6A32"/>
    <w:rsid w:val="00603A5E"/>
    <w:rsid w:val="00614703"/>
    <w:rsid w:val="00627935"/>
    <w:rsid w:val="006306D7"/>
    <w:rsid w:val="00635B23"/>
    <w:rsid w:val="00637B2C"/>
    <w:rsid w:val="006470A4"/>
    <w:rsid w:val="00654A5A"/>
    <w:rsid w:val="006632EA"/>
    <w:rsid w:val="006A155B"/>
    <w:rsid w:val="006B0969"/>
    <w:rsid w:val="006B6622"/>
    <w:rsid w:val="006C7576"/>
    <w:rsid w:val="007062F3"/>
    <w:rsid w:val="007076D2"/>
    <w:rsid w:val="00764491"/>
    <w:rsid w:val="007718FC"/>
    <w:rsid w:val="00774D89"/>
    <w:rsid w:val="007822D2"/>
    <w:rsid w:val="007A3ABF"/>
    <w:rsid w:val="007A4DE7"/>
    <w:rsid w:val="007B375F"/>
    <w:rsid w:val="007C0421"/>
    <w:rsid w:val="007C4127"/>
    <w:rsid w:val="007C74F7"/>
    <w:rsid w:val="007C7FED"/>
    <w:rsid w:val="007E0044"/>
    <w:rsid w:val="007F3181"/>
    <w:rsid w:val="007F40E1"/>
    <w:rsid w:val="00821CE2"/>
    <w:rsid w:val="00846AB0"/>
    <w:rsid w:val="00854447"/>
    <w:rsid w:val="00856FA1"/>
    <w:rsid w:val="008C39AF"/>
    <w:rsid w:val="008F3C76"/>
    <w:rsid w:val="00903BD6"/>
    <w:rsid w:val="00912B80"/>
    <w:rsid w:val="00914801"/>
    <w:rsid w:val="00917812"/>
    <w:rsid w:val="009436B2"/>
    <w:rsid w:val="009467CF"/>
    <w:rsid w:val="009B2C52"/>
    <w:rsid w:val="009C0977"/>
    <w:rsid w:val="009C1AB3"/>
    <w:rsid w:val="009F3A62"/>
    <w:rsid w:val="00A2037A"/>
    <w:rsid w:val="00A24194"/>
    <w:rsid w:val="00A46E2E"/>
    <w:rsid w:val="00A5248A"/>
    <w:rsid w:val="00A8695F"/>
    <w:rsid w:val="00AB14BF"/>
    <w:rsid w:val="00AE5E87"/>
    <w:rsid w:val="00AF23D5"/>
    <w:rsid w:val="00AF7F94"/>
    <w:rsid w:val="00B121F2"/>
    <w:rsid w:val="00B33425"/>
    <w:rsid w:val="00B45DA6"/>
    <w:rsid w:val="00B460BA"/>
    <w:rsid w:val="00B54794"/>
    <w:rsid w:val="00B77321"/>
    <w:rsid w:val="00B806FD"/>
    <w:rsid w:val="00B834B0"/>
    <w:rsid w:val="00B95F26"/>
    <w:rsid w:val="00BA46A8"/>
    <w:rsid w:val="00BA66B4"/>
    <w:rsid w:val="00BB04C3"/>
    <w:rsid w:val="00BC35E1"/>
    <w:rsid w:val="00BD2230"/>
    <w:rsid w:val="00BE0BA7"/>
    <w:rsid w:val="00BF7AD7"/>
    <w:rsid w:val="00C16AAD"/>
    <w:rsid w:val="00C51AF3"/>
    <w:rsid w:val="00C77644"/>
    <w:rsid w:val="00CC13F6"/>
    <w:rsid w:val="00D05738"/>
    <w:rsid w:val="00D10236"/>
    <w:rsid w:val="00D14115"/>
    <w:rsid w:val="00D15504"/>
    <w:rsid w:val="00D17125"/>
    <w:rsid w:val="00D17A83"/>
    <w:rsid w:val="00D52919"/>
    <w:rsid w:val="00D56D1B"/>
    <w:rsid w:val="00D62154"/>
    <w:rsid w:val="00D62FF3"/>
    <w:rsid w:val="00D66F33"/>
    <w:rsid w:val="00D8315F"/>
    <w:rsid w:val="00DC4EF8"/>
    <w:rsid w:val="00DD31EE"/>
    <w:rsid w:val="00DE6C80"/>
    <w:rsid w:val="00DF1D6E"/>
    <w:rsid w:val="00E02EF3"/>
    <w:rsid w:val="00E1473A"/>
    <w:rsid w:val="00E14E5C"/>
    <w:rsid w:val="00E24892"/>
    <w:rsid w:val="00E335B4"/>
    <w:rsid w:val="00E33BAE"/>
    <w:rsid w:val="00E47807"/>
    <w:rsid w:val="00E54458"/>
    <w:rsid w:val="00E55AA4"/>
    <w:rsid w:val="00E56F0E"/>
    <w:rsid w:val="00E67B4F"/>
    <w:rsid w:val="00E802A6"/>
    <w:rsid w:val="00E8089F"/>
    <w:rsid w:val="00E82E00"/>
    <w:rsid w:val="00E84B89"/>
    <w:rsid w:val="00E96430"/>
    <w:rsid w:val="00EA240D"/>
    <w:rsid w:val="00EB7421"/>
    <w:rsid w:val="00ED4B9B"/>
    <w:rsid w:val="00ED7026"/>
    <w:rsid w:val="00EE1BCD"/>
    <w:rsid w:val="00EF785E"/>
    <w:rsid w:val="00F0067F"/>
    <w:rsid w:val="00F26980"/>
    <w:rsid w:val="00F80DB8"/>
    <w:rsid w:val="00F82B86"/>
    <w:rsid w:val="00FA0BD3"/>
    <w:rsid w:val="00FB3563"/>
    <w:rsid w:val="00FC0388"/>
    <w:rsid w:val="00FC103E"/>
    <w:rsid w:val="00FC1524"/>
    <w:rsid w:val="00FD0A9E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A872"/>
  <w15:chartTrackingRefBased/>
  <w15:docId w15:val="{9AE1492E-9AF4-4AEE-ADC5-7E5593E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421"/>
  </w:style>
  <w:style w:type="table" w:customStyle="1" w:styleId="1">
    <w:name w:val="Сетка таблицы1"/>
    <w:basedOn w:val="a1"/>
    <w:next w:val="a5"/>
    <w:uiPriority w:val="39"/>
    <w:rsid w:val="007C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D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E62F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39"/>
    <w:rsid w:val="0047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33425"/>
    <w:pPr>
      <w:jc w:val="both"/>
    </w:pPr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A5248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5248A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5248A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248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5248A"/>
    <w:rPr>
      <w:b/>
      <w:bCs/>
      <w:lang w:eastAsia="en-US"/>
    </w:rPr>
  </w:style>
  <w:style w:type="paragraph" w:styleId="ae">
    <w:name w:val="Revision"/>
    <w:hidden/>
    <w:uiPriority w:val="99"/>
    <w:semiHidden/>
    <w:rsid w:val="00AF23D5"/>
    <w:rPr>
      <w:sz w:val="22"/>
      <w:szCs w:val="22"/>
      <w:lang w:eastAsia="en-US"/>
    </w:rPr>
  </w:style>
  <w:style w:type="paragraph" w:customStyle="1" w:styleId="FWNL1">
    <w:name w:val="FWN_L1"/>
    <w:basedOn w:val="a"/>
    <w:rsid w:val="00D62FF3"/>
    <w:pPr>
      <w:numPr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2">
    <w:name w:val="FWN_L2"/>
    <w:basedOn w:val="a"/>
    <w:rsid w:val="00D62FF3"/>
    <w:pPr>
      <w:numPr>
        <w:ilvl w:val="1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3">
    <w:name w:val="FWN_L3"/>
    <w:basedOn w:val="a"/>
    <w:rsid w:val="00D62FF3"/>
    <w:pPr>
      <w:numPr>
        <w:ilvl w:val="2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4">
    <w:name w:val="FWN_L4"/>
    <w:basedOn w:val="a"/>
    <w:rsid w:val="00D62FF3"/>
    <w:pPr>
      <w:numPr>
        <w:ilvl w:val="3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5">
    <w:name w:val="FWN_L5"/>
    <w:basedOn w:val="a"/>
    <w:rsid w:val="00D62FF3"/>
    <w:pPr>
      <w:numPr>
        <w:ilvl w:val="4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6">
    <w:name w:val="FWN_L6"/>
    <w:basedOn w:val="a"/>
    <w:rsid w:val="00D62FF3"/>
    <w:pPr>
      <w:numPr>
        <w:ilvl w:val="5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FWNL7">
    <w:name w:val="FWN_L7"/>
    <w:basedOn w:val="a"/>
    <w:rsid w:val="00D62FF3"/>
    <w:pPr>
      <w:numPr>
        <w:ilvl w:val="6"/>
        <w:numId w:val="4"/>
      </w:num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089F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E2489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6FF-F2D9-407A-B3E7-0CAD1FFE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Помогайбо Константин Викторович</cp:lastModifiedBy>
  <cp:revision>3</cp:revision>
  <cp:lastPrinted>2021-07-12T09:38:00Z</cp:lastPrinted>
  <dcterms:created xsi:type="dcterms:W3CDTF">2022-08-15T10:20:00Z</dcterms:created>
  <dcterms:modified xsi:type="dcterms:W3CDTF">2022-08-16T09:35:00Z</dcterms:modified>
</cp:coreProperties>
</file>