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</w:t>
      </w:r>
      <w:r/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/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/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«ПРИЛОЖЕНИЕ</w:t>
      </w:r>
      <w:r/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</w:t>
      </w:r>
      <w:r/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/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15.06.2022 № 273-п</w:t>
      </w:r>
      <w:r/>
    </w:p>
    <w:p>
      <w:pPr>
        <w:ind w:left="10490"/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8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ОБЪЕКТОВ ИНФРАСТРУКТУРЫ</w:t>
      </w:r>
      <w:r/>
    </w:p>
    <w:p>
      <w:pPr>
        <w:pStyle w:val="8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научно-технологического парка Новосибирского Академгородка на площадке в поселке Ложок </w:t>
      </w:r>
      <w:r/>
    </w:p>
    <w:p>
      <w:pPr>
        <w:pStyle w:val="8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Барышевского сельсовета Новосибирского района, на строительство которых предоставляются</w:t>
      </w:r>
      <w:r/>
    </w:p>
    <w:p>
      <w:pPr>
        <w:pStyle w:val="866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бюджетные инвестиции из областного бюджета Новосибирской области</w:t>
      </w:r>
      <w:r/>
    </w:p>
    <w:p>
      <w:pPr>
        <w:pStyle w:val="866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</w:r>
      <w:r/>
    </w:p>
    <w:p>
      <w:pPr>
        <w:pStyle w:val="866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</w:r>
      <w:r/>
    </w:p>
    <w:tbl>
      <w:tblPr>
        <w:tblW w:w="15282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2"/>
        <w:gridCol w:w="1878"/>
        <w:gridCol w:w="719"/>
        <w:gridCol w:w="967"/>
        <w:gridCol w:w="1348"/>
        <w:gridCol w:w="945"/>
        <w:gridCol w:w="1178"/>
        <w:gridCol w:w="1134"/>
        <w:gridCol w:w="2081"/>
        <w:gridCol w:w="1134"/>
        <w:gridCol w:w="992"/>
        <w:gridCol w:w="1201"/>
        <w:gridCol w:w="1253"/>
      </w:tblGrid>
      <w:tr>
        <w:trPr>
          <w:jc w:val="center"/>
          <w:tblHeader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52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</w:t>
            </w:r>
            <w:r/>
          </w:p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78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строительства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19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характерис-тики (мощность)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7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ввода объекта в эксплуатацию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3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всего, в тыс. рублей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312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Стоимость реализации инвестиционного проекта по годам, в тыс. рублей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081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Размер бюджетных инвестиций по объектам капитального строительства, в том числе и на ранее понесенные затраты, в тыс. рублей </w:t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Средства</w:t>
            </w:r>
            <w:r>
              <w:rPr>
                <w:highlight w:val="none"/>
              </w:rPr>
            </w:r>
          </w:p>
          <w:p>
            <w:pPr>
              <w:pStyle w:val="865"/>
              <w:jc w:val="center"/>
              <w:rPr>
                <w:rFonts w:ascii="Times New Roman" w:hAnsi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АО «Академпарк»</w:t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454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вложения инвестиций</w:t>
            </w:r>
            <w:r/>
          </w:p>
        </w:tc>
      </w:tr>
      <w:tr>
        <w:trPr>
          <w:jc w:val="center"/>
          <w:trHeight w:val="1222"/>
          <w:tblHeader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52" w:type="dxa"/>
            <w:vMerge w:val="continue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878" w:type="dxa"/>
            <w:vMerge w:val="continue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719" w:type="dxa"/>
            <w:vMerge w:val="continue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967" w:type="dxa"/>
            <w:vMerge w:val="continue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348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сметная стоимость, в тыс. рублей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45" w:type="dxa"/>
            <w:vMerge w:val="restart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ориентиро-вочная стоимость, в тыс. рублей</w:t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12" w:type="dxa"/>
            <w:vMerge w:val="continue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vMerge w:val="continue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54" w:type="dxa"/>
            <w:vMerge w:val="continue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jc w:val="center"/>
          <w:trHeight w:val="211"/>
          <w:tblHeader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vMerge w:val="continue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vMerge w:val="continue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vMerge w:val="continue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vMerge w:val="continue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vMerge w:val="continue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Merge w:val="continue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pStyle w:val="865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2022 год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65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2023 год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865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2022 год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65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2022 год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5"/>
              <w:ind w:left="-57" w:right="-57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2023 год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pStyle w:val="865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год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pStyle w:val="865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год</w:t>
            </w:r>
            <w:r/>
          </w:p>
        </w:tc>
      </w:tr>
      <w:tr>
        <w:trPr>
          <w:jc w:val="center"/>
          <w:trHeight w:val="3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7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9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10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11</w:t>
            </w:r>
            <w:r>
              <w:rPr>
                <w:highlight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pStyle w:val="865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/>
          </w:p>
        </w:tc>
      </w:tr>
      <w:tr>
        <w:trPr>
          <w:jc w:val="center"/>
          <w:trHeight w:val="200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Сети теплоснабжения, входящие в состав технологического парка, в рамках реализации проекта «Развитие инфраструктуры Технопарка на период 2021 – 2025 годов на площадке п. Ложок Барышевского сельсовета Новосибирского района Новосибирской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Гкал/час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</w:t>
            </w:r>
            <w:r>
              <w:rPr>
                <w:rFonts w:ascii="Times New Roman" w:hAnsi="Times New Roman" w:cs="Times New Roman"/>
              </w:rPr>
              <w:t xml:space="preserve"> кв.</w:t>
            </w:r>
            <w:r/>
          </w:p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</w:t>
            </w:r>
            <w:r>
              <w:rPr>
                <w:rFonts w:ascii="Times New Roman" w:hAnsi="Times New Roman" w:cs="Times New Roman"/>
                <w:lang w:val="en-US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62 396,47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26 086,1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 310,37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46 517,6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753,1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15 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125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7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IV кв.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Сети вод</w:t>
            </w:r>
            <w:r>
              <w:rPr>
                <w:rFonts w:ascii="Times New Roman" w:hAnsi="Times New Roman" w:cs="Times New Roman"/>
                <w:b w:val="0"/>
              </w:rPr>
              <w:t xml:space="preserve">оснабжения и сети водоотведения, входящие в состав технологического парка, в рамках реализации проекта «Развитие инфраструктуры Технопарка на период 2021 – 2025 годов на площадке п. Ложок Барышевского сельсовета Новосибирского района Новосибирской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300 м3/сутки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 кв.</w:t>
            </w:r>
            <w:r/>
          </w:p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9 137,50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6 614,8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2 522,7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6 216,2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414,6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2 506,7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IV кв.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IV кв.</w:t>
            </w:r>
            <w:r/>
          </w:p>
        </w:tc>
      </w:tr>
      <w:tr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Сети электроснабжения, входящие в состав технологического парка, в рамках реализации проекта «Развитие инфраструктуры Технопарка на период 2021 – 2025 годов на площадке п. Ложок Барышевского сельсовета Новосибирского района Новосибирской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1,27 мВт.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 кв.</w:t>
            </w:r>
            <w:r/>
          </w:p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23 437,74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905,3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22 532,44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20 406,0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48,8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2 982,94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IV кв.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IV кв.</w:t>
            </w:r>
            <w:r/>
          </w:p>
        </w:tc>
      </w:tr>
      <w:tr>
        <w:trPr>
          <w:jc w:val="center"/>
          <w:trHeight w:val="5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2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78" w:type="dxa"/>
            <w:textDirection w:val="lrTb"/>
            <w:noWrap w:val="false"/>
          </w:tcPr>
          <w:p>
            <w:pPr>
              <w:pStyle w:val="866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Сети связи, входящие в состав технологического парка, в рамках реализации проекта «Развитие инфраструктуры Технопарка на период 2021 – 2025 годов на площадке п. Ложок Барышевского сельсовета Новосибирского района Новосибирской области»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669 м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IV кв.</w:t>
            </w:r>
            <w:r/>
          </w:p>
          <w:p>
            <w:pPr>
              <w:pStyle w:val="86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г.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3 233,74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756,0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2 477,74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3 121,2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67,8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szCs w:val="20"/>
                <w:highlight w:val="none"/>
              </w:rPr>
              <w:t xml:space="preserve">44,74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IV кв.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IV кв.</w:t>
            </w:r>
            <w:r/>
          </w:p>
        </w:tc>
      </w:tr>
      <w:tr>
        <w:trPr>
          <w:jc w:val="center"/>
          <w:trHeight w:val="109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30" w:type="dxa"/>
            <w:textDirection w:val="lrTb"/>
            <w:noWrap w:val="false"/>
          </w:tcPr>
          <w:p>
            <w:pPr>
              <w:pStyle w:val="865"/>
              <w:contextualSpacing/>
              <w:rPr>
                <w:rFonts w:ascii="Times New Roman" w:hAnsi="Times New Roman" w:cs="Times New Roman"/>
                <w:b/>
                <w:highlight w:val="green"/>
              </w:rPr>
            </w:pPr>
            <w:r>
              <w:rPr>
                <w:rFonts w:ascii="Times New Roman" w:hAnsi="Times New Roman" w:cs="Times New Roman"/>
                <w:b/>
              </w:rPr>
              <w:t xml:space="preserve">ИТОГО: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9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7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48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98 205,45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8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34 362,2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highlight w:val="none"/>
                <w:lang w:eastAsia="ru-RU"/>
              </w:rPr>
              <w:t xml:space="preserve">63 843,25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81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76 261,0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1 284,3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b/>
                <w:highlight w:val="none"/>
              </w:rPr>
            </w:pPr>
            <w:r>
              <w:rPr>
                <w:rFonts w:ascii="Times New Roman" w:hAnsi="Times New Roman" w:cs="Times New Roman"/>
                <w:b/>
                <w:highlight w:val="none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highlight w:val="none"/>
              </w:rPr>
              <w:t xml:space="preserve"> 660,15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1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3" w:type="dxa"/>
            <w:textDirection w:val="lrTb"/>
            <w:noWrap w:val="false"/>
          </w:tcPr>
          <w:p>
            <w:pPr>
              <w:pStyle w:val="865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>
              <w:rPr>
                <w:rFonts w:ascii="Times New Roman" w:hAnsi="Times New Roman" w:cs="Times New Roman"/>
                <w:b/>
                <w:highlight w:val="green"/>
              </w:rPr>
            </w:r>
            <w:r/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_________».</w:t>
      </w:r>
      <w:r/>
    </w:p>
    <w:sectPr>
      <w:headerReference w:type="default" r:id="rId8"/>
      <w:footnotePr/>
      <w:endnotePr/>
      <w:type w:val="nextPage"/>
      <w:pgSz w:w="16838" w:h="11906" w:orient="landscape"/>
      <w:pgMar w:top="1418" w:right="567" w:bottom="567" w:left="56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5"/>
      <w:jc w:val="center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4</w:t>
    </w:r>
    <w:r>
      <w:rPr>
        <w:rFonts w:ascii="Times New Roman" w:hAnsi="Times New Roman"/>
        <w:sz w:val="20"/>
        <w:szCs w:val="20"/>
      </w:rP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9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50">
    <w:name w:val="Heading 1"/>
    <w:basedOn w:val="649"/>
    <w:next w:val="649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1">
    <w:name w:val="Heading 2"/>
    <w:basedOn w:val="649"/>
    <w:next w:val="649"/>
    <w:link w:val="6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2">
    <w:name w:val="Heading 3"/>
    <w:basedOn w:val="649"/>
    <w:next w:val="649"/>
    <w:link w:val="69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3">
    <w:name w:val="Heading 4"/>
    <w:basedOn w:val="649"/>
    <w:next w:val="649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649"/>
    <w:next w:val="649"/>
    <w:link w:val="70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5">
    <w:name w:val="Heading 6"/>
    <w:basedOn w:val="649"/>
    <w:next w:val="649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56">
    <w:name w:val="Heading 7"/>
    <w:basedOn w:val="649"/>
    <w:next w:val="649"/>
    <w:link w:val="70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57">
    <w:name w:val="Heading 8"/>
    <w:basedOn w:val="649"/>
    <w:next w:val="649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58">
    <w:name w:val="Heading 9"/>
    <w:basedOn w:val="649"/>
    <w:next w:val="649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Heading 1 Char"/>
    <w:basedOn w:val="659"/>
    <w:uiPriority w:val="9"/>
    <w:rPr>
      <w:rFonts w:ascii="Arial" w:hAnsi="Arial" w:eastAsia="Arial" w:cs="Arial"/>
      <w:sz w:val="40"/>
      <w:szCs w:val="40"/>
    </w:rPr>
  </w:style>
  <w:style w:type="character" w:styleId="663" w:customStyle="1">
    <w:name w:val="Heading 2 Char"/>
    <w:basedOn w:val="659"/>
    <w:uiPriority w:val="9"/>
    <w:rPr>
      <w:rFonts w:ascii="Arial" w:hAnsi="Arial" w:eastAsia="Arial" w:cs="Arial"/>
      <w:sz w:val="34"/>
    </w:rPr>
  </w:style>
  <w:style w:type="character" w:styleId="664" w:customStyle="1">
    <w:name w:val="Heading 3 Char"/>
    <w:basedOn w:val="659"/>
    <w:uiPriority w:val="9"/>
    <w:rPr>
      <w:rFonts w:ascii="Arial" w:hAnsi="Arial" w:eastAsia="Arial" w:cs="Arial"/>
      <w:sz w:val="30"/>
      <w:szCs w:val="30"/>
    </w:rPr>
  </w:style>
  <w:style w:type="character" w:styleId="665" w:customStyle="1">
    <w:name w:val="Heading 4 Char"/>
    <w:basedOn w:val="659"/>
    <w:uiPriority w:val="9"/>
    <w:rPr>
      <w:rFonts w:ascii="Arial" w:hAnsi="Arial" w:eastAsia="Arial" w:cs="Arial"/>
      <w:b/>
      <w:bCs/>
      <w:sz w:val="26"/>
      <w:szCs w:val="26"/>
    </w:rPr>
  </w:style>
  <w:style w:type="character" w:styleId="666" w:customStyle="1">
    <w:name w:val="Heading 5 Char"/>
    <w:basedOn w:val="659"/>
    <w:uiPriority w:val="9"/>
    <w:rPr>
      <w:rFonts w:ascii="Arial" w:hAnsi="Arial" w:eastAsia="Arial" w:cs="Arial"/>
      <w:b/>
      <w:bCs/>
      <w:sz w:val="24"/>
      <w:szCs w:val="24"/>
    </w:rPr>
  </w:style>
  <w:style w:type="character" w:styleId="667" w:customStyle="1">
    <w:name w:val="Heading 6 Char"/>
    <w:basedOn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68" w:customStyle="1">
    <w:name w:val="Heading 7 Char"/>
    <w:basedOn w:val="6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 w:customStyle="1">
    <w:name w:val="Heading 8 Char"/>
    <w:basedOn w:val="659"/>
    <w:uiPriority w:val="9"/>
    <w:rPr>
      <w:rFonts w:ascii="Arial" w:hAnsi="Arial" w:eastAsia="Arial" w:cs="Arial"/>
      <w:i/>
      <w:iCs/>
      <w:sz w:val="22"/>
      <w:szCs w:val="22"/>
    </w:rPr>
  </w:style>
  <w:style w:type="character" w:styleId="670" w:customStyle="1">
    <w:name w:val="Heading 9 Char"/>
    <w:basedOn w:val="659"/>
    <w:uiPriority w:val="9"/>
    <w:rPr>
      <w:rFonts w:ascii="Arial" w:hAnsi="Arial" w:eastAsia="Arial" w:cs="Arial"/>
      <w:i/>
      <w:iCs/>
      <w:sz w:val="21"/>
      <w:szCs w:val="21"/>
    </w:rPr>
  </w:style>
  <w:style w:type="character" w:styleId="671" w:customStyle="1">
    <w:name w:val="Title Char"/>
    <w:basedOn w:val="659"/>
    <w:uiPriority w:val="10"/>
    <w:rPr>
      <w:sz w:val="48"/>
      <w:szCs w:val="48"/>
    </w:rPr>
  </w:style>
  <w:style w:type="character" w:styleId="672" w:customStyle="1">
    <w:name w:val="Subtitle Char"/>
    <w:basedOn w:val="659"/>
    <w:uiPriority w:val="11"/>
    <w:rPr>
      <w:sz w:val="24"/>
      <w:szCs w:val="24"/>
    </w:rPr>
  </w:style>
  <w:style w:type="character" w:styleId="673" w:customStyle="1">
    <w:name w:val="Quote Char"/>
    <w:uiPriority w:val="29"/>
    <w:rPr>
      <w:i/>
    </w:rPr>
  </w:style>
  <w:style w:type="character" w:styleId="674" w:customStyle="1">
    <w:name w:val="Intense Quote Char"/>
    <w:uiPriority w:val="30"/>
    <w:rPr>
      <w:i/>
    </w:rPr>
  </w:style>
  <w:style w:type="table" w:styleId="675" w:customStyle="1">
    <w:name w:val="Plain Table 1"/>
    <w:basedOn w:val="660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 w:customStyle="1">
    <w:name w:val="Plain Table 2"/>
    <w:basedOn w:val="660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7" w:customStyle="1">
    <w:name w:val="Plain Table 3"/>
    <w:basedOn w:val="66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8" w:customStyle="1">
    <w:name w:val="Plain Table 4"/>
    <w:basedOn w:val="66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Plain Table 5"/>
    <w:basedOn w:val="66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0" w:customStyle="1">
    <w:name w:val="Grid Table 1 Light"/>
    <w:basedOn w:val="660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2"/>
    <w:basedOn w:val="66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 w:customStyle="1">
    <w:name w:val="Grid Table 3"/>
    <w:basedOn w:val="660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 w:customStyle="1">
    <w:name w:val="Grid Table 4"/>
    <w:basedOn w:val="660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4" w:customStyle="1">
    <w:name w:val="Grid Table 5 Dark"/>
    <w:basedOn w:val="660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85" w:customStyle="1">
    <w:name w:val="Grid Table 6 Colorful"/>
    <w:basedOn w:val="66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86" w:customStyle="1">
    <w:name w:val="Grid Table 7 Colorful"/>
    <w:basedOn w:val="660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687" w:customStyle="1">
    <w:name w:val="List Table 1 Light"/>
    <w:basedOn w:val="660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List Table 2"/>
    <w:basedOn w:val="660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689" w:customStyle="1">
    <w:name w:val="List Table 3"/>
    <w:basedOn w:val="66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List Table 4"/>
    <w:basedOn w:val="660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List Table 5 Dark"/>
    <w:basedOn w:val="66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692" w:customStyle="1">
    <w:name w:val="List Table 6 Colorful"/>
    <w:basedOn w:val="660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693" w:customStyle="1">
    <w:name w:val="List Table 7 Colorful"/>
    <w:basedOn w:val="660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character" w:styleId="694" w:customStyle="1">
    <w:name w:val="Footnote Text Char"/>
    <w:uiPriority w:val="99"/>
    <w:rPr>
      <w:sz w:val="18"/>
    </w:rPr>
  </w:style>
  <w:style w:type="character" w:styleId="695" w:customStyle="1">
    <w:name w:val="Endnote Text Char"/>
    <w:uiPriority w:val="99"/>
    <w:rPr>
      <w:sz w:val="20"/>
    </w:rPr>
  </w:style>
  <w:style w:type="character" w:styleId="696" w:customStyle="1">
    <w:name w:val="Заголовок 1 Знак"/>
    <w:link w:val="650"/>
    <w:uiPriority w:val="9"/>
    <w:rPr>
      <w:rFonts w:ascii="Arial" w:hAnsi="Arial" w:eastAsia="Arial" w:cs="Arial"/>
      <w:sz w:val="40"/>
      <w:szCs w:val="40"/>
    </w:rPr>
  </w:style>
  <w:style w:type="character" w:styleId="697" w:customStyle="1">
    <w:name w:val="Заголовок 2 Знак"/>
    <w:link w:val="651"/>
    <w:uiPriority w:val="9"/>
    <w:rPr>
      <w:rFonts w:ascii="Arial" w:hAnsi="Arial" w:eastAsia="Arial" w:cs="Arial"/>
      <w:sz w:val="34"/>
    </w:rPr>
  </w:style>
  <w:style w:type="character" w:styleId="698" w:customStyle="1">
    <w:name w:val="Заголовок 3 Знак"/>
    <w:link w:val="652"/>
    <w:uiPriority w:val="9"/>
    <w:rPr>
      <w:rFonts w:ascii="Arial" w:hAnsi="Arial" w:eastAsia="Arial" w:cs="Arial"/>
      <w:sz w:val="30"/>
      <w:szCs w:val="30"/>
    </w:rPr>
  </w:style>
  <w:style w:type="character" w:styleId="699" w:customStyle="1">
    <w:name w:val="Заголовок 4 Знак"/>
    <w:link w:val="653"/>
    <w:uiPriority w:val="9"/>
    <w:rPr>
      <w:rFonts w:ascii="Arial" w:hAnsi="Arial" w:eastAsia="Arial" w:cs="Arial"/>
      <w:b/>
      <w:bCs/>
      <w:sz w:val="26"/>
      <w:szCs w:val="26"/>
    </w:rPr>
  </w:style>
  <w:style w:type="character" w:styleId="700" w:customStyle="1">
    <w:name w:val="Заголовок 5 Знак"/>
    <w:link w:val="654"/>
    <w:uiPriority w:val="9"/>
    <w:rPr>
      <w:rFonts w:ascii="Arial" w:hAnsi="Arial" w:eastAsia="Arial" w:cs="Arial"/>
      <w:b/>
      <w:bCs/>
      <w:sz w:val="24"/>
      <w:szCs w:val="24"/>
    </w:rPr>
  </w:style>
  <w:style w:type="character" w:styleId="701" w:customStyle="1">
    <w:name w:val="Заголовок 6 Знак"/>
    <w:link w:val="655"/>
    <w:uiPriority w:val="9"/>
    <w:rPr>
      <w:rFonts w:ascii="Arial" w:hAnsi="Arial" w:eastAsia="Arial" w:cs="Arial"/>
      <w:b/>
      <w:bCs/>
      <w:sz w:val="22"/>
      <w:szCs w:val="22"/>
    </w:rPr>
  </w:style>
  <w:style w:type="character" w:styleId="702" w:customStyle="1">
    <w:name w:val="Заголовок 7 Знак"/>
    <w:link w:val="6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3" w:customStyle="1">
    <w:name w:val="Заголовок 8 Знак"/>
    <w:link w:val="657"/>
    <w:uiPriority w:val="9"/>
    <w:rPr>
      <w:rFonts w:ascii="Arial" w:hAnsi="Arial" w:eastAsia="Arial" w:cs="Arial"/>
      <w:i/>
      <w:iCs/>
      <w:sz w:val="22"/>
      <w:szCs w:val="22"/>
    </w:rPr>
  </w:style>
  <w:style w:type="character" w:styleId="704" w:customStyle="1">
    <w:name w:val="Заголовок 9 Знак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List Paragraph"/>
    <w:basedOn w:val="649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706">
    <w:name w:val="No Spacing"/>
    <w:uiPriority w:val="1"/>
    <w:qFormat/>
  </w:style>
  <w:style w:type="paragraph" w:styleId="707">
    <w:name w:val="Title"/>
    <w:basedOn w:val="649"/>
    <w:next w:val="649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 w:customStyle="1">
    <w:name w:val="Название Знак"/>
    <w:link w:val="707"/>
    <w:uiPriority w:val="10"/>
    <w:rPr>
      <w:sz w:val="48"/>
      <w:szCs w:val="48"/>
    </w:rPr>
  </w:style>
  <w:style w:type="paragraph" w:styleId="709">
    <w:name w:val="Subtitle"/>
    <w:basedOn w:val="649"/>
    <w:next w:val="649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 w:customStyle="1">
    <w:name w:val="Подзаголовок Знак"/>
    <w:link w:val="709"/>
    <w:uiPriority w:val="11"/>
    <w:rPr>
      <w:sz w:val="24"/>
      <w:szCs w:val="24"/>
    </w:rPr>
  </w:style>
  <w:style w:type="paragraph" w:styleId="711">
    <w:name w:val="Quote"/>
    <w:basedOn w:val="649"/>
    <w:next w:val="649"/>
    <w:link w:val="712"/>
    <w:uiPriority w:val="29"/>
    <w:qFormat/>
    <w:pPr>
      <w:ind w:left="720" w:right="720"/>
    </w:pPr>
    <w:rPr>
      <w:i/>
    </w:rPr>
  </w:style>
  <w:style w:type="character" w:styleId="712" w:customStyle="1">
    <w:name w:val="Цитата 2 Знак"/>
    <w:link w:val="711"/>
    <w:uiPriority w:val="29"/>
    <w:rPr>
      <w:i/>
    </w:rPr>
  </w:style>
  <w:style w:type="paragraph" w:styleId="713">
    <w:name w:val="Intense Quote"/>
    <w:basedOn w:val="649"/>
    <w:next w:val="649"/>
    <w:link w:val="71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 w:customStyle="1">
    <w:name w:val="Выделенная цитата Знак"/>
    <w:link w:val="713"/>
    <w:uiPriority w:val="30"/>
    <w:rPr>
      <w:i/>
    </w:rPr>
  </w:style>
  <w:style w:type="paragraph" w:styleId="715">
    <w:name w:val="Header"/>
    <w:basedOn w:val="649"/>
    <w:link w:val="86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6" w:customStyle="1">
    <w:name w:val="Header Char"/>
    <w:uiPriority w:val="99"/>
  </w:style>
  <w:style w:type="paragraph" w:styleId="717">
    <w:name w:val="Footer"/>
    <w:basedOn w:val="649"/>
    <w:link w:val="87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18" w:customStyle="1">
    <w:name w:val="Footer Char"/>
    <w:uiPriority w:val="99"/>
  </w:style>
  <w:style w:type="paragraph" w:styleId="719">
    <w:name w:val="Caption"/>
    <w:basedOn w:val="649"/>
    <w:next w:val="6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 w:customStyle="1">
    <w:name w:val="Caption Char"/>
    <w:uiPriority w:val="99"/>
  </w:style>
  <w:style w:type="table" w:styleId="72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6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3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0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1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9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649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 w:customStyle="1">
    <w:name w:val="Текст сноски Знак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649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 w:customStyle="1">
    <w:name w:val="Текст концевой сноски Знак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649"/>
    <w:next w:val="649"/>
    <w:uiPriority w:val="39"/>
    <w:unhideWhenUsed/>
    <w:pPr>
      <w:spacing w:after="57"/>
    </w:pPr>
  </w:style>
  <w:style w:type="paragraph" w:styleId="855">
    <w:name w:val="toc 2"/>
    <w:basedOn w:val="649"/>
    <w:next w:val="649"/>
    <w:uiPriority w:val="39"/>
    <w:unhideWhenUsed/>
    <w:pPr>
      <w:ind w:left="283"/>
      <w:spacing w:after="57"/>
    </w:pPr>
  </w:style>
  <w:style w:type="paragraph" w:styleId="856">
    <w:name w:val="toc 3"/>
    <w:basedOn w:val="649"/>
    <w:next w:val="649"/>
    <w:uiPriority w:val="39"/>
    <w:unhideWhenUsed/>
    <w:pPr>
      <w:ind w:left="567"/>
      <w:spacing w:after="57"/>
    </w:pPr>
  </w:style>
  <w:style w:type="paragraph" w:styleId="857">
    <w:name w:val="toc 4"/>
    <w:basedOn w:val="649"/>
    <w:next w:val="649"/>
    <w:uiPriority w:val="39"/>
    <w:unhideWhenUsed/>
    <w:pPr>
      <w:ind w:left="850"/>
      <w:spacing w:after="57"/>
    </w:pPr>
  </w:style>
  <w:style w:type="paragraph" w:styleId="858">
    <w:name w:val="toc 5"/>
    <w:basedOn w:val="649"/>
    <w:next w:val="649"/>
    <w:uiPriority w:val="39"/>
    <w:unhideWhenUsed/>
    <w:pPr>
      <w:ind w:left="1134"/>
      <w:spacing w:after="57"/>
    </w:pPr>
  </w:style>
  <w:style w:type="paragraph" w:styleId="859">
    <w:name w:val="toc 6"/>
    <w:basedOn w:val="649"/>
    <w:next w:val="649"/>
    <w:uiPriority w:val="39"/>
    <w:unhideWhenUsed/>
    <w:pPr>
      <w:ind w:left="1417"/>
      <w:spacing w:after="57"/>
    </w:pPr>
  </w:style>
  <w:style w:type="paragraph" w:styleId="860">
    <w:name w:val="toc 7"/>
    <w:basedOn w:val="649"/>
    <w:next w:val="649"/>
    <w:uiPriority w:val="39"/>
    <w:unhideWhenUsed/>
    <w:pPr>
      <w:ind w:left="1701"/>
      <w:spacing w:after="57"/>
    </w:pPr>
  </w:style>
  <w:style w:type="paragraph" w:styleId="861">
    <w:name w:val="toc 8"/>
    <w:basedOn w:val="649"/>
    <w:next w:val="649"/>
    <w:uiPriority w:val="39"/>
    <w:unhideWhenUsed/>
    <w:pPr>
      <w:ind w:left="1984"/>
      <w:spacing w:after="57"/>
    </w:pPr>
  </w:style>
  <w:style w:type="paragraph" w:styleId="862">
    <w:name w:val="toc 9"/>
    <w:basedOn w:val="649"/>
    <w:next w:val="649"/>
    <w:uiPriority w:val="39"/>
    <w:unhideWhenUsed/>
    <w:pPr>
      <w:ind w:left="2268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649"/>
    <w:next w:val="649"/>
    <w:uiPriority w:val="99"/>
    <w:unhideWhenUsed/>
    <w:pPr>
      <w:spacing w:after="0"/>
    </w:pPr>
  </w:style>
  <w:style w:type="paragraph" w:styleId="865" w:customStyle="1">
    <w:name w:val="ConsPlusNormal"/>
    <w:pPr>
      <w:widowControl w:val="off"/>
    </w:pPr>
    <w:rPr>
      <w:rFonts w:ascii="Arial" w:hAnsi="Arial" w:eastAsia="Times New Roman" w:cs="Arial"/>
      <w:lang w:eastAsia="ru-RU"/>
    </w:rPr>
  </w:style>
  <w:style w:type="paragraph" w:styleId="866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67">
    <w:name w:val="Balloon Text"/>
    <w:basedOn w:val="649"/>
    <w:link w:val="86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8" w:customStyle="1">
    <w:name w:val="Текст выноски Знак"/>
    <w:link w:val="867"/>
    <w:uiPriority w:val="99"/>
    <w:semiHidden/>
    <w:rPr>
      <w:rFonts w:ascii="Segoe UI" w:hAnsi="Segoe UI" w:cs="Segoe UI"/>
      <w:sz w:val="18"/>
      <w:szCs w:val="18"/>
    </w:rPr>
  </w:style>
  <w:style w:type="character" w:styleId="869" w:customStyle="1">
    <w:name w:val="Верхний колонтитул Знак"/>
    <w:link w:val="715"/>
    <w:uiPriority w:val="99"/>
    <w:rPr>
      <w:sz w:val="22"/>
      <w:szCs w:val="22"/>
      <w:lang w:eastAsia="en-US"/>
    </w:rPr>
  </w:style>
  <w:style w:type="character" w:styleId="870" w:customStyle="1">
    <w:name w:val="Нижний колонтитул Знак"/>
    <w:link w:val="717"/>
    <w:uiPriority w:val="99"/>
    <w:rPr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Арина Александровна</dc:creator>
  <cp:revision>11</cp:revision>
  <dcterms:created xsi:type="dcterms:W3CDTF">2023-11-22T08:14:00Z</dcterms:created>
  <dcterms:modified xsi:type="dcterms:W3CDTF">2023-11-27T02:32:20Z</dcterms:modified>
  <cp:version>983040</cp:version>
</cp:coreProperties>
</file>