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от 23.01.2015 № 24-п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lang w:eastAsia="ru-RU"/>
        </w:rPr>
        <w:t xml:space="preserve">п о с т а н о в л я е т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государственной программы Новосибирской области «Развитие физической культуры и спорта в Новосибирской области» (далее – 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) следующие изменения: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 государственной программе Новосибирской области «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Развитие физической культуры и спорта в Новосибирской области</w:t>
      </w:r>
      <w:r>
        <w:rPr>
          <w:rFonts w:ascii="TimesNewRoman" w:hAnsi="TimesNewRoman" w:eastAsia="TimesNewRoman" w:cs="TimesNewRoman"/>
          <w:sz w:val="28"/>
        </w:rPr>
        <w:t xml:space="preserve">» (далее – государственная программа):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1.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NewRoman" w:hAnsi="TimesNewRoman" w:eastAsia="TimesNewRoman" w:cs="TimesNewRoman"/>
          <w:sz w:val="28"/>
        </w:rPr>
        <w:t xml:space="preserve">Раздел I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NewRoman" w:hAnsi="TimesNewRoman" w:eastAsia="TimesNewRoman" w:cs="TimesNewRoman"/>
          <w:sz w:val="28"/>
        </w:rPr>
        <w:t xml:space="preserve">«Паспорт государственной программы Новосибирской области «Развитие физической культуры и спорта в Новосибирской области» изложить в следующей редакции: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pStyle w:val="69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«I. Стратегические приоритеты в сфере реализации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69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государственной программы Новосибирской области «</w:t>
      </w:r>
      <w:r>
        <w:rPr>
          <w:rFonts w:ascii="TimesNewRoman" w:hAnsi="TimesNewRoman" w:eastAsia="TimesNewRoman" w:cs="TimesNewRoman"/>
          <w:b/>
          <w:sz w:val="28"/>
        </w:rPr>
        <w:t xml:space="preserve">Развитие физической культуры и спорта в Новосибирской области</w:t>
      </w:r>
      <w:r>
        <w:rPr>
          <w:rFonts w:ascii="TimesNewRoman" w:hAnsi="TimesNewRoman" w:eastAsia="TimesNewRoman" w:cs="TimesNewRoman"/>
          <w:b/>
          <w:sz w:val="28"/>
        </w:rPr>
        <w:t xml:space="preserve">»</w:t>
      </w:r>
      <w:r>
        <w:rPr>
          <w:rFonts w:ascii="TimesNewRoman" w:hAnsi="TimesNewRoman" w:eastAsia="TimesNewRoman" w:cs="TimesNewRoman"/>
          <w:sz w:val="28"/>
        </w:rPr>
        <w:t xml:space="preserve"> </w:t>
      </w:r>
      <w:r>
        <w:rPr>
          <w:rFonts w:ascii="TimesNewRoman" w:hAnsi="TimesNewRoman" w:eastAsia="TimesNewRoman" w:cs="TimesNewRoman"/>
          <w:b/>
          <w:bCs/>
          <w:sz w:val="28"/>
        </w:rPr>
        <w:t xml:space="preserve">(далее – государственная программа)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69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69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1. Оценка текущего состояния сферы реализации государственной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sz w:val="24"/>
        </w:rPr>
      </w:r>
    </w:p>
    <w:p>
      <w:pPr>
        <w:pStyle w:val="69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программы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697"/>
        <w:contextualSpacing w:val="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highlight w:val="yellow"/>
        </w:rPr>
      </w:pPr>
      <w:r>
        <w:rPr>
          <w:rFonts w:ascii="TimesNewRoman" w:hAnsi="TimesNewRoman" w:eastAsia="TimesNewRoman" w:cs="TimesNewRoman"/>
          <w:sz w:val="28"/>
          <w:highlight w:val="yellow"/>
        </w:rPr>
      </w:r>
      <w:r>
        <w:rPr>
          <w:rFonts w:ascii="TimesNewRoman" w:hAnsi="TimesNewRoman" w:eastAsia="TimesNewRoman" w:cs="TimesNewRoman"/>
          <w:sz w:val="28"/>
          <w:highlight w:val="yellow"/>
        </w:rPr>
      </w:r>
      <w:r>
        <w:rPr>
          <w:rFonts w:ascii="TimesNewRoman" w:hAnsi="TimesNewRoman" w:eastAsia="TimesNewRoman" w:cs="TimesNewRoman"/>
          <w:sz w:val="28"/>
          <w:highlight w:val="yellow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Государственная политика в сфере физической культуры и спорта осуществляется в соответствии с поставленной стратегической целью – вовлечение максимального количества населения региона в систематические занятия физической культурой и спортом.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2023 году были реализованы мероприятия по совершенствованию спортивно-массовой и физкультурно-оздоровительной работы среди всех категорий и возрастных гру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пп населения Новосибирской области, развитию детско-юношеского спорта и спорта высших достижений, развитию инфраструктуры массового спорта и совершенствованию кадровой политики </w:t>
      </w:r>
      <w:r>
        <w:rPr>
          <w:rFonts w:ascii="Times New Roman" w:hAnsi="Times New Roman" w:eastAsia="Batang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результате планомерной работы по развитию массового спорта число жителей, занимающихся на постоянной основе физической культурой и спортом, в 2023 году составило более 1,2</w:t>
      </w:r>
      <w:r>
        <w:rPr>
          <w:rFonts w:ascii="Times New Roman" w:hAnsi="Times New Roman" w:eastAsia="Times New Roman"/>
          <w:color w:val="000000"/>
          <w:sz w:val="28"/>
        </w:rPr>
        <w:t xml:space="preserve"> млн человек, или 49,2% от общего числа активного населения Новосибирской области.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 2023 году в Новосибирской области было проведено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975 мероприятий, из них: 5 международных соревнования, 100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мероп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риятие всероссийского уровня, 92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 межрегионального уровня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, а также 778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региональных мероприятий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, всего количество участников составило 181,5 тыс. человек.</w:t>
      </w:r>
      <w:r>
        <w:rPr>
          <w:rFonts w:ascii="Times New Roman" w:hAnsi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none"/>
          <w:lang w:eastAsia="ru-RU"/>
        </w:rPr>
        <w:t xml:space="preserve">Для привлечения сельского населения к занятиям физической культурой и спортом совершенствовались формы работы с населением.</w:t>
      </w:r>
      <w:r>
        <w:rPr>
          <w:rFonts w:ascii="Times New Roman" w:hAnsi="Times New Roman" w:eastAsia="Batang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Приоритетной задачей по реализации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г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осударственной политики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сфере физич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еской культуры и спорта на территории региона являлась реализация Всероссийского физкультурно-спортивного комплекса «Готов к труду и обороне» (далее – комплекс ГТО), введенного на территории Российской Федерации по Указу Президента РФ от 24.03.2014 №</w:t>
      </w:r>
      <w:r>
        <w:rPr>
          <w:rFonts w:ascii="TimesNewRoman" w:hAnsi="TimesNewRoman" w:eastAsia="TimesNewRoman" w:cs="TimesNewRoman"/>
          <w:sz w:val="28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172.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56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2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023 году в рамках календарного плана официальных физкультурных мероприятий и спортивных меропр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иятий Новосибирской области, в том числе включающего в себя физкультурные мероприятия и спортивные мероприятия по реализации комплекса ГТО,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календа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рных планов муниципальных районов и городских округов Новосибирской области совместно с федерациями по видам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спорта с участием детей было организовано и проведено 1237 мероприятий, в которых приняло участие более 237,5 тыс. детей.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6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 рамках реализа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ции мероприятий по поэтапн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ому внедрению комплекса ГТО на территории Новосибирской областипо состоянию на 2023 год созданы и осуществляли свою деятельность 40 центров тестирования. В 2023 году ими проведено более 500 мероприятий по оценке выполнения нормативов комплекса ГТО, в том ч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исле 7 областных фестивалей комплекса ГТО, в которых приняли участие более 46,6 тыс. человек, из них 23,6 тыс. получили знаки отличия ГТО, в том числе: золотой знак – 8,8 тыс. человека, серебряный знак – 8,2 тыс. человек, бронзовый знак – 6,6 тыс. человек.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6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highlight w:val="none"/>
        </w:rPr>
        <w:t xml:space="preserve">Продолжается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реализация ме</w:t>
      </w:r>
      <w:r>
        <w:rPr>
          <w:rFonts w:ascii="Times New Roman" w:hAnsi="Times New Roman" w:eastAsia="Times New Roman"/>
          <w:color w:val="000000"/>
          <w:sz w:val="28"/>
        </w:rPr>
        <w:t xml:space="preserve">р по развитию адаптивной физической культуры и спорта на территории Новосибирской области.</w:t>
      </w:r>
      <w:r>
        <w:rPr>
          <w:highlight w:val="white"/>
        </w:rPr>
      </w:r>
      <w:r/>
    </w:p>
    <w:p>
      <w:pPr>
        <w:ind w:firstLine="709"/>
        <w:jc w:val="both"/>
        <w:spacing w:after="0" w:line="56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Согласно данным статистического наблюдения численность инвалидов и лиц с</w:t>
      </w:r>
      <w:r>
        <w:rPr>
          <w:rFonts w:ascii="Arial" w:hAnsi="Arial" w:eastAsia="Arial" w:cs="Arial"/>
          <w:color w:val="4d5156"/>
          <w:sz w:val="21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ограниченными возможностями здоровья</w:t>
      </w:r>
      <w:r>
        <w:rPr>
          <w:rFonts w:ascii="Times New Roman" w:hAnsi="Times New Roman" w:eastAsia="Times New Roman"/>
          <w:color w:val="000000"/>
          <w:sz w:val="28"/>
        </w:rPr>
        <w:t xml:space="preserve">, в том числе детей, систематически занимающихся ад</w:t>
      </w:r>
      <w:r>
        <w:rPr>
          <w:rFonts w:ascii="Times New Roman" w:hAnsi="Times New Roman" w:eastAsia="Times New Roman"/>
          <w:color w:val="000000"/>
          <w:sz w:val="28"/>
        </w:rPr>
        <w:t xml:space="preserve">аптивной физической культурой и спортом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(далее – АФК и С)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в Новосибирской области, составляет 26,7 тыс. человек. Количество учреждений,</w:t>
      </w:r>
      <w:r>
        <w:rPr>
          <w:rFonts w:ascii="Times New Roman" w:hAnsi="Times New Roman" w:eastAsia="Times New Roman"/>
          <w:color w:val="000000"/>
          <w:sz w:val="28"/>
        </w:rPr>
        <w:t xml:space="preserve"> осуществляющих физкультурно-оздоровительную работу с инвалидами и лицами с ОВЗ составляет 738 организаций, в том числе у</w:t>
      </w:r>
      <w:r>
        <w:rPr>
          <w:rFonts w:ascii="Times New Roman" w:hAnsi="Times New Roman" w:eastAsia="Times New Roman"/>
          <w:color w:val="000000"/>
          <w:sz w:val="28"/>
        </w:rPr>
        <w:t xml:space="preserve">чреждения в сфере физической культуры и спорта – 37, в сфере образования – 637 учреждений, в сфере труда и социальной защиты населения – 34 учреждения, в сфере здравоо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хранения – 4 учреждения, в сфере Всероссийских общественных организаций – 26 организаций.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6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Спортивную подготовку по адаптивным видам спорта проводят 4 государственные спортивные школы и 5 муниципальных учреждений города Новосибирска.</w:t>
      </w:r>
      <w:r>
        <w:rPr>
          <w:highlight w:val="white"/>
        </w:rPr>
      </w:r>
      <w:r/>
    </w:p>
    <w:p>
      <w:pPr>
        <w:ind w:firstLine="709"/>
        <w:jc w:val="both"/>
        <w:spacing w:after="0" w:line="56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соответствии с приказом мини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стерства физической культуры и спорта Новосибирской области от 29.08.2023 №</w:t>
      </w:r>
      <w:r>
        <w:rPr>
          <w:rFonts w:ascii="TimesNewRoman" w:hAnsi="TimesNewRoman" w:eastAsia="TimesNewRoman" w:cs="TimesNewRoman"/>
          <w:sz w:val="28"/>
          <w:highlight w:val="white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504 «Об организации работы по вовлечению инвалидов, лиц с ограниченными возможностями здоровья, включая участников специальной военной операции, ветеранов боевых действий, получивш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их ранение или инвалидность, в адаптивную физическую культуру и спорт»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государственное автономн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ое учреждение дополнительного образования Новосибирской области «Центр адаптивной физической культуры и спорта Новосибирской области»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назначено региональным оператором по организации работы по вовлечению указанных лиц в АФКиС, в том числе в паралимпийское и сурдлимпийское движения на территории Новосибирской области.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Особое внимание уделено развитию студенческого спорта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В 2022-2023 учебном году прошла 46-я Универсиада среди студентов высших учебных заведений по 22 видам спорта, в которой приняли участие 3,2 тыс. человек из 14 вузов, а также учащиеся из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Государственного автономного профессионального образовательного учреждения Новосибирской области</w:t>
      </w:r>
      <w:r>
        <w:rPr>
          <w:rFonts w:ascii="Times New Roman" w:hAnsi="Times New Roman" w:eastAsia="Times New Roman"/>
          <w:color w:val="000000"/>
          <w:sz w:val="28"/>
        </w:rPr>
        <w:t xml:space="preserve"> «Новосибирское училище (колледж) олимпийского резерва».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Новосибирские студенты принимают участие в таких спортивных соревнованиях как Кубок Новосибирской области среди вузов и профессиональных образовательных учреждений по спортивному ориентированию, </w:t>
      </w:r>
      <w:r>
        <w:rPr>
          <w:rFonts w:ascii="Times New Roman" w:hAnsi="Times New Roman" w:eastAsia="Times New Roman"/>
          <w:color w:val="000000"/>
          <w:sz w:val="28"/>
        </w:rPr>
        <w:t xml:space="preserve">Всероссийский фестиваль студенческого спорта, </w:t>
      </w:r>
      <w:r>
        <w:rPr>
          <w:rFonts w:ascii="Times New Roman" w:hAnsi="Times New Roman" w:eastAsia="Times New Roman"/>
          <w:color w:val="000000"/>
          <w:sz w:val="28"/>
        </w:rPr>
        <w:t xml:space="preserve">Областн</w:t>
      </w:r>
      <w:r>
        <w:rPr>
          <w:rFonts w:ascii="Times New Roman" w:hAnsi="Times New Roman" w:eastAsia="Times New Roman"/>
          <w:color w:val="000000"/>
          <w:sz w:val="28"/>
        </w:rPr>
        <w:t xml:space="preserve">ой фестиваль факультетов высших учебных заведений Новосибирской области, посвященный Международному дню студента имени святого благоверного князя Александра Невского, </w:t>
      </w:r>
      <w:r>
        <w:rPr>
          <w:rFonts w:ascii="Times New Roman" w:hAnsi="Times New Roman" w:eastAsia="Times New Roman"/>
          <w:color w:val="000000"/>
          <w:sz w:val="28"/>
        </w:rPr>
        <w:t xml:space="preserve">Универсиада среди студентов в</w:t>
      </w:r>
      <w:r>
        <w:rPr>
          <w:rFonts w:ascii="Times New Roman" w:hAnsi="Times New Roman" w:eastAsia="Times New Roman"/>
          <w:color w:val="000000"/>
          <w:sz w:val="28"/>
        </w:rPr>
        <w:t xml:space="preserve">ысших учебных заведений, </w:t>
      </w:r>
      <w:r>
        <w:rPr>
          <w:rFonts w:ascii="Times New Roman" w:hAnsi="Times New Roman" w:eastAsia="Times New Roman"/>
          <w:color w:val="000000"/>
          <w:sz w:val="28"/>
        </w:rPr>
        <w:t xml:space="preserve">физкультурные мероприятия среди студентов профессиональных образовательных учреждений.</w:t>
      </w:r>
      <w:r/>
    </w:p>
    <w:p>
      <w:pPr>
        <w:ind w:firstLine="709"/>
        <w:jc w:val="both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  <w:t xml:space="preserve">Для проведения физкультурно-оздоровительной и спортивно-массовой работы в государственных учреждениях профессионального образования в Новосибирской области</w:t>
      </w:r>
      <w:r>
        <w:rPr>
          <w:rFonts w:ascii="Times New Roman" w:hAnsi="Times New Roman" w:eastAsia="Times New Roman"/>
          <w:color w:val="000000"/>
          <w:sz w:val="28"/>
        </w:rPr>
        <w:t xml:space="preserve"> применяется необходимая спортивно-материальная база: спортивные залы, плоскостные спортивные сооружения (игровые площадки, футбольные поля), стрелковые тиры, тренажерные залы и приспособленные помещения для занятий физкультурно-оздоровительной работой.</w:t>
      </w:r>
      <w:r/>
      <w:r/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В 2023 году в целях реализации комплекса мероприятий, направленных на вовлечение детей и </w:t>
      </w:r>
      <w:r>
        <w:rPr>
          <w:rFonts w:ascii="Times New Roman" w:hAnsi="Times New Roman" w:eastAsia="Times New Roman"/>
          <w:color w:val="000000"/>
          <w:sz w:val="28"/>
        </w:rPr>
        <w:t xml:space="preserve">молодежи в систематические занятия физической культурой и спортом, реализовывались: региональная программа Новосибирской области «Развитие детско-юношеского спорта в Новосибирской области до 2030 года», утвержденная постановлением Правительства Новосибирск</w:t>
      </w:r>
      <w:r>
        <w:rPr>
          <w:rFonts w:ascii="Times New Roman" w:hAnsi="Times New Roman" w:eastAsia="Times New Roman"/>
          <w:color w:val="000000"/>
          <w:sz w:val="28"/>
        </w:rPr>
        <w:t xml:space="preserve">ой области от 05.05.2022 №</w:t>
      </w: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NewRoman" w:hAnsi="TimesNewRoman" w:eastAsia="TimesNewRoman" w:cs="TimesNewRoman"/>
          <w:sz w:val="28"/>
        </w:rPr>
        <w:t xml:space="preserve"> </w:t>
      </w:r>
      <w:r/>
      <w:r>
        <w:rPr>
          <w:rFonts w:ascii="Times New Roman" w:hAnsi="Times New Roman" w:eastAsia="Times New Roman"/>
          <w:color w:val="000000"/>
          <w:sz w:val="28"/>
        </w:rPr>
        <w:t xml:space="preserve">189-п, программа развития студенческого спорта в Новосибирской области до 2024 года, утвержденная приказом министерства физической культуры и спорта Новосибирской области, министерства образования Новосибирской области от 11.10.2</w:t>
      </w:r>
      <w:r>
        <w:rPr>
          <w:rFonts w:ascii="Times New Roman" w:hAnsi="Times New Roman" w:eastAsia="Times New Roman"/>
          <w:color w:val="000000"/>
          <w:sz w:val="28"/>
        </w:rPr>
        <w:t xml:space="preserve">021 №</w:t>
      </w:r>
      <w:r>
        <w:rPr>
          <w:rFonts w:ascii="TimesNewRoman" w:hAnsi="TimesNewRoman" w:eastAsia="TimesNewRoman" w:cs="TimesNewRoman"/>
          <w:sz w:val="28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</w:rPr>
        <w:t xml:space="preserve">936/2380, комплекс мер (дорожная карта) «Программа развития школьного спорта в Новосибирской области», утвержденная приказом министерства физической культуры и спорта Новосибирской области, министерства образования Новосибирской области от 08.02.2021</w:t>
      </w:r>
      <w:r>
        <w:rPr>
          <w:rFonts w:ascii="Times New Roman" w:hAnsi="Times New Roman" w:eastAsia="Times New Roman"/>
          <w:color w:val="000000"/>
          <w:sz w:val="28"/>
        </w:rPr>
        <w:t xml:space="preserve"> № 118/300/1, Межведомственная программа «Плавание для всех» в Новосибирской области, утвержденная приказом министерства физической культуры и спорта Новосибирской области и министерства образования Новосибирской области от 24.03.2021/25.03.2021 №</w:t>
      </w:r>
      <w:r>
        <w:rPr>
          <w:rFonts w:ascii="TimesNewRoman" w:hAnsi="TimesNewRoman" w:eastAsia="TimesNewRoman" w:cs="TimesNewRoman"/>
          <w:sz w:val="28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</w:rPr>
        <w:t xml:space="preserve">246/757.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Кроме</w:t>
      </w:r>
      <w:r>
        <w:rPr>
          <w:rFonts w:ascii="Times New Roman" w:hAnsi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</w:rPr>
        <w:t xml:space="preserve">того в Новосибирской области осуществляет деятельность Ассоциация «Региональная школьная спортивная лига», целью деятельности </w:t>
      </w:r>
      <w:r>
        <w:rPr>
          <w:rFonts w:ascii="Times New Roman" w:hAnsi="Times New Roman" w:eastAsia="Times New Roman"/>
          <w:color w:val="000000"/>
          <w:sz w:val="28"/>
        </w:rPr>
        <w:t xml:space="preserve">которой является вовлечение обучающихся в систематические занятия физической культурой и спортом и развитие массового спорта среди школьных спортивных клубов, популяризация вида (видов) спорта среди обучающихся, пропаганда здорового образа жизни.</w:t>
      </w:r>
      <w:r/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 2023 году активными занятиями физической культурой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и спортом занимались более 109 тыс. человек пенсионного и пожилого возраста. Во всех районах Новосибирской области были созданы клубы ветеранов и любителей физической культуры, с данной категорией людей проводились оздоровительные и спортивные мероприятия.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 2023 году состоялась X зимняя Спартакиада пенсионеров Новосибирской области, посвященная 100-летию образования государственного органа управления в сфере физ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ической культуры и спорта и посвященная 80-летию Победы в Сталинградской битве XII летняя Спартакиада пенсионеров Новосибирской области, в каждой из которой приняло участие 34 сборных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команд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муниципальных районов и городских округов Новосибирской области.</w:t>
      </w:r>
      <w:r>
        <w:rPr>
          <w:highlight w:val="white"/>
        </w:rPr>
      </w:r>
    </w:p>
    <w:p>
      <w:pPr>
        <w:ind w:firstLine="709"/>
        <w:jc w:val="both"/>
        <w:spacing w:after="0" w:line="56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В отчетном году большая часть мероприятий по привлечению граждан пожилого возраста к участию в общественной жизни, пр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опаганде активного долголетия и здорового образа жизни проходила совместно с Советом ветеранов физической культуры и спорта Новосибирской области, в который входят 35 советов ветеранов спорта муниципальных районов и городских округов Но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восибирской области.</w:t>
      </w:r>
      <w:r>
        <w:rPr>
          <w:highlight w:val="white"/>
        </w:rPr>
      </w:r>
      <w:r/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Спорт высших достижений остается одним из важнейших приоритетов спортивной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стратегии Новосибирской области.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56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Численность спортсменов Новосибирской области, включенных в составы спортивных сборных команд Российской Федерации по итогам 2023 года составила 728 человек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 –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на официальных международных и всероссийских соревнованиях было завоевано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2969 медалей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, в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том числе: золотых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–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1028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серебряных –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909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, бронзовых –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1032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целях стимулирования достижения результатов высшего спортивного мастерства ежегодно спортсменам, выступающим на официальных соревнованиях в составе сборных команд Российской Федерации или Новосибирской области, занявшим призовые места, а также их тренерам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и тренерам-преподавателям осуществляется дополнительное материальное обеспечение в виде приза в денежной форме, выплачиваемого единовременно в соответствии с постановлением Губернатора Новосибирской области от 02.03.2012 №</w:t>
      </w:r>
      <w:r>
        <w:rPr>
          <w:rFonts w:ascii="TimesNewRoman" w:hAnsi="TimesNewRoman" w:eastAsia="TimesNewRoman" w:cs="TimesNewRoman"/>
          <w:sz w:val="28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35 «О дополните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ьном материальном обеспечении в виде приза в денежной форме, выплачиваемом единовременно спортсменам,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рных команд Новосибирской области, а также их тренерам-преподавателям». Кроме того, лицам, имеющим выдающиеся достижения и особые заслуги перед Российской Федерацией и Новосибирской областью, устанавливается дополнительное материальное обеспечение в виде е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жемесячной стипендии спортсменам и пожизненных ежемесячных денежных выплат в соответствии с постановлением Губернатора Новосибирской области от 06.12.2013 №</w:t>
      </w:r>
      <w:r>
        <w:rPr>
          <w:rFonts w:ascii="TimesNewRoman" w:hAnsi="TimesNewRoman" w:eastAsia="TimesNewRoman" w:cs="TimesNewRoman"/>
          <w:sz w:val="28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297 «О ежемесячно выплачиваемой стипендии спортсменам, проживающим на территории Новосибирской облас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области».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Спортсменам Новосибирской области присвоено более 2,9 тыс. спортивных разрядов, в том числе I спортивный разряд – более 1,6 тыс. участникам, кандидат в мастера спорта – более 1,3 тыс. человек.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Подтверждено 263 спортивных разряда, в том числе I спортивный разряд – 171 человеку, кандидат в мастера спорта – 92 спортсменам, а также продлено действие спортивного разряда на 12 месяцев (участнику СВО) кандидат в мастера спорта – 1 человек, </w:t>
      </w:r>
      <w:r>
        <w:rPr>
          <w:rFonts w:ascii="Times New Roman" w:hAnsi="Times New Roman" w:eastAsia="Times New Roman"/>
          <w:color w:val="000000"/>
          <w:sz w:val="28"/>
        </w:rPr>
        <w:t xml:space="preserve">спортивное звание «мастер спорта России»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</w:rPr>
        <w:t xml:space="preserve">165 спортсменам; спортивное звание «</w:t>
      </w:r>
      <w:r>
        <w:rPr>
          <w:rFonts w:ascii="Times New Roman" w:hAnsi="Times New Roman" w:eastAsia="Times New Roman"/>
          <w:color w:val="000000"/>
          <w:sz w:val="28"/>
        </w:rPr>
        <w:t xml:space="preserve">мастер спорта России международного класса»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6 спортсменам; квалификационная категория спортивного судьи «Спортивный судья всероссийской категории»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20 судьям; квалификационная категория спортивного судьи «Спортивный судья первой категории» </w:t>
      </w:r>
      <w:r>
        <w:rPr>
          <w:rFonts w:ascii="Times New Roman" w:hAnsi="Times New Roman" w:eastAsia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</w:rPr>
        <w:t xml:space="preserve"> 111 судьям.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В текущее время на территории Новосибирской области осуществляют</w:t>
      </w:r>
      <w:r>
        <w:rPr>
          <w:rFonts w:ascii="Times New Roman" w:hAnsi="Times New Roman" w:eastAsia="Times New Roman"/>
          <w:color w:val="000000"/>
          <w:sz w:val="28"/>
        </w:rPr>
        <w:t xml:space="preserve"> деятельность 21 учреждение, </w:t>
      </w:r>
      <w:r>
        <w:rPr>
          <w:rFonts w:ascii="Times New Roman" w:hAnsi="Times New Roman" w:eastAsia="Times New Roman"/>
          <w:color w:val="000000"/>
          <w:sz w:val="28"/>
        </w:rPr>
        <w:t xml:space="preserve">подведомственное</w:t>
      </w:r>
      <w:r>
        <w:rPr>
          <w:rFonts w:ascii="Times New Roman" w:hAnsi="Times New Roman" w:eastAsia="Times New Roman"/>
          <w:color w:val="000000"/>
          <w:sz w:val="28"/>
        </w:rPr>
        <w:t xml:space="preserve"> министерству физической</w:t>
      </w:r>
      <w:r>
        <w:rPr>
          <w:rFonts w:ascii="Times New Roman" w:hAnsi="Times New Roman" w:eastAsia="Times New Roman"/>
          <w:color w:val="000000"/>
          <w:sz w:val="28"/>
        </w:rPr>
        <w:t xml:space="preserve"> культуры и спорта Новосибирской области, 19 из них проводят подготовку</w:t>
      </w:r>
      <w:r>
        <w:rPr>
          <w:rFonts w:ascii="Times New Roman" w:hAnsi="Times New Roman" w:eastAsia="Times New Roman"/>
          <w:color w:val="000000"/>
          <w:sz w:val="28"/>
        </w:rPr>
        <w:t xml:space="preserve"> спортивного резерва по 40 видам спорта, и 117 аккредитованных спортивных</w:t>
      </w:r>
      <w:r>
        <w:rPr>
          <w:rFonts w:ascii="Times New Roman" w:hAnsi="Times New Roman" w:eastAsia="Times New Roman"/>
          <w:color w:val="000000"/>
          <w:sz w:val="28"/>
        </w:rPr>
        <w:t xml:space="preserve"> федераций по 119 видам спорта.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В целях пропаганды здорового образа жизни и привлечения граждан к занятиям фи</w:t>
      </w:r>
      <w:r>
        <w:rPr>
          <w:rFonts w:ascii="Times New Roman" w:hAnsi="Times New Roman" w:eastAsia="Times New Roman"/>
          <w:color w:val="000000"/>
          <w:sz w:val="28"/>
        </w:rPr>
        <w:t xml:space="preserve">зической культурой и спортом информация о выступлении новосибирских спортсменов, проведении в регионе крупных физкультурно- спортивных и массовых мероприятий размещается на официальном сайте министерства физической культуры и спорта Новосибирской области (</w:t>
      </w:r>
      <w:hyperlink r:id="rId11" w:tooltip="https://sport.nso.ru/" w:history="1">
        <w:r>
          <w:rPr>
            <w:rStyle w:val="934"/>
            <w:rFonts w:ascii="Times New Roman" w:hAnsi="Times New Roman" w:eastAsia="Times New Roman"/>
            <w:color w:val="0000ff"/>
            <w:sz w:val="28"/>
          </w:rPr>
          <w:t xml:space="preserve">https://sport.nso.ru/</w:t>
        </w:r>
      </w:hyperlink>
      <w:r>
        <w:rPr>
          <w:rFonts w:ascii="Times New Roman" w:hAnsi="Times New Roman" w:eastAsia="Times New Roman"/>
          <w:color w:val="000000"/>
          <w:sz w:val="28"/>
        </w:rPr>
        <w:t xml:space="preserve">), социальных сетях ВКонтакте ( </w:t>
      </w:r>
      <w:hyperlink r:id="rId12" w:tooltip="https://vk.com/minsport_nso" w:history="1">
        <w:r>
          <w:rPr>
            <w:rStyle w:val="934"/>
            <w:rFonts w:ascii="Times New Roman" w:hAnsi="Times New Roman" w:eastAsia="Times New Roman"/>
            <w:color w:val="0000ff"/>
            <w:sz w:val="28"/>
          </w:rPr>
          <w:t xml:space="preserve">https://vk.com/minsport_nso</w:t>
        </w:r>
      </w:hyperlink>
      <w:r>
        <w:rPr>
          <w:rFonts w:ascii="Times New Roman" w:hAnsi="Times New Roman" w:eastAsia="Times New Roman"/>
          <w:color w:val="000000"/>
          <w:sz w:val="28"/>
        </w:rPr>
        <w:t xml:space="preserve">), Одноклассники (</w:t>
      </w:r>
      <w:hyperlink r:id="rId13" w:tooltip="https://ok.ru/minsport54" w:history="1">
        <w:r>
          <w:rPr>
            <w:rStyle w:val="934"/>
            <w:rFonts w:ascii="Times New Roman" w:hAnsi="Times New Roman" w:eastAsia="Times New Roman"/>
            <w:color w:val="0000ff"/>
            <w:sz w:val="28"/>
          </w:rPr>
          <w:t xml:space="preserve">https://ok.ru/minsport54</w:t>
        </w:r>
      </w:hyperlink>
      <w:r>
        <w:rPr>
          <w:rFonts w:ascii="Times New Roman" w:hAnsi="Times New Roman" w:eastAsia="Times New Roman"/>
          <w:color w:val="000000"/>
          <w:sz w:val="28"/>
        </w:rPr>
        <w:t xml:space="preserve">) и телеграм-канале </w:t>
      </w:r>
      <w:hyperlink r:id="rId14" w:tooltip="https://t.me/minsportnso" w:history="1">
        <w:r>
          <w:rPr>
            <w:rStyle w:val="934"/>
            <w:rFonts w:ascii="Times New Roman" w:hAnsi="Times New Roman" w:eastAsia="Times New Roman"/>
            <w:color w:val="0000ff"/>
            <w:sz w:val="28"/>
          </w:rPr>
          <w:t xml:space="preserve">https://t.me/minsportnso</w:t>
        </w:r>
      </w:hyperlink>
      <w:r>
        <w:rPr>
          <w:rFonts w:ascii="Times New Roman" w:hAnsi="Times New Roman" w:eastAsia="Times New Roman"/>
          <w:color w:val="000000"/>
          <w:sz w:val="28"/>
        </w:rPr>
        <w:t xml:space="preserve">. Информация о событиях в сфере физической культуры и спорта направляется в средства массовой информации региона.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Разработаны и размещены мотивирующие баннеры, направленные на пропаганду физической культуры и спорта, в социальных сетях ведомства разрабатываются и размещаются мотивирующие ролики.</w:t>
      </w:r>
      <w:r/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В Музее Олимпийской славы Новосибирской области организована выставка «Как воспитать чемпиона». </w:t>
      </w:r>
      <w:r>
        <w:rPr>
          <w:rFonts w:ascii="Times New Roman" w:hAnsi="Times New Roman" w:eastAsia="Times New Roman"/>
          <w:color w:val="000000"/>
          <w:sz w:val="28"/>
        </w:rPr>
        <w:t xml:space="preserve">Выпускаются иллюстрированные книги о спорте и иная печатная продукция.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</w:rPr>
        <w:t xml:space="preserve">Реализуется</w:t>
      </w:r>
      <w:r>
        <w:rPr>
          <w:rFonts w:ascii="Times New Roman" w:hAnsi="Times New Roman" w:eastAsia="Times New Roman"/>
          <w:color w:val="000000"/>
          <w:sz w:val="28"/>
        </w:rPr>
        <w:t xml:space="preserve"> мотивационная информационная кампания в рамках федерального проекта «Спорт-норма жизни» национального проекта «Демография». </w:t>
      </w:r>
      <w:r/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Для сохранения положительной динамики и устойчивого развития физической культуры и спорта в Новосибирской области необходимо: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обеспечить сохранение темпов строительства и реконструкции объектов спорта, в том числе с учетом потребностей лиц с ограниченными возможностями здоровья и инвалидов;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продолжить модернизацию системы подготовки спортивного резерва и повысить эффективность деятельности учреждений, осуществляющих спортивную подготовку;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создать условия для подготовки спортсменов, представляющих Новосибирскую область в составе сборных команд по олимпийским и паралимпийским видам спорта, на территории Новосибирской области;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штатных работников физической культуры и спорта;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муниципальных и областных телерадиокомпаний, увеличить объем вещания на эти цели.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b w:val="0"/>
          <w:i w:val="0"/>
          <w:strike w:val="0"/>
          <w:color w:val="000000"/>
          <w:sz w:val="16"/>
          <w14:ligatures w14:val="none"/>
        </w:rPr>
      </w:r>
    </w:p>
    <w:p>
      <w:pPr>
        <w:ind w:firstLine="709"/>
        <w:jc w:val="both"/>
        <w:spacing w:after="0" w:line="56" w:lineRule="atLeast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0"/>
      </w:pP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pStyle w:val="69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2.</w:t>
      </w:r>
      <w:r>
        <w:rPr>
          <w:rFonts w:ascii="TimesNewRoman" w:hAnsi="TimesNewRoman" w:eastAsia="TimesNewRoman" w:cs="TimesNewRoman"/>
          <w:sz w:val="28"/>
        </w:rPr>
        <w:t xml:space="preserve"> </w:t>
      </w:r>
      <w:r>
        <w:rPr>
          <w:rFonts w:ascii="TimesNewRoman" w:hAnsi="TimesNewRoman" w:eastAsia="TimesNewRoman" w:cs="TimesNewRoman"/>
          <w:b/>
          <w:sz w:val="28"/>
        </w:rPr>
        <w:t xml:space="preserve">Приоритеты и цели государственной политики в сфере реализации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sz w:val="24"/>
        </w:rPr>
      </w:r>
    </w:p>
    <w:p>
      <w:pPr>
        <w:pStyle w:val="69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государственной программы</w:t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highlight w:val="none"/>
        </w:rPr>
      </w:pPr>
      <w:r>
        <w:rPr>
          <w:rFonts w:ascii="TimesNewRoman" w:hAnsi="TimesNewRoman" w:eastAsia="TimesNewRoman" w:cs="TimesNewRoman"/>
          <w:sz w:val="28"/>
        </w:rPr>
        <w:t xml:space="preserve">Приоритеты государственной политики в с</w:t>
      </w:r>
      <w:r>
        <w:rPr>
          <w:rFonts w:ascii="TimesNewRoman" w:hAnsi="TimesNewRoman" w:eastAsia="TimesNewRoman" w:cs="TimesNewRoman"/>
          <w:sz w:val="28"/>
        </w:rPr>
        <w:t xml:space="preserve">фере физической культуры и спорта определены </w:t>
      </w:r>
      <w:r>
        <w:rPr>
          <w:rFonts w:ascii="TimesNewRoman" w:hAnsi="TimesNewRoman" w:eastAsia="TimesNewRoman" w:cs="TimesNewRoman"/>
          <w:sz w:val="28"/>
        </w:rPr>
        <w:t xml:space="preserve">в </w:t>
      </w:r>
      <w:r>
        <w:rPr>
          <w:rFonts w:ascii="TimesNewRoman" w:hAnsi="TimesNewRoman" w:eastAsia="TimesNewRoman" w:cs="TimesNewRoman"/>
          <w:sz w:val="28"/>
        </w:rPr>
        <w:t xml:space="preserve">Указе Президента Российской Федерации от 21.07.2020 №</w:t>
      </w:r>
      <w:r>
        <w:rPr>
          <w:rFonts w:ascii="TimesNewRoman" w:hAnsi="TimesNewRoman" w:eastAsia="TimesNewRoman" w:cs="TimesNewRoman"/>
          <w:sz w:val="28"/>
        </w:rPr>
        <w:t xml:space="preserve"> </w:t>
      </w:r>
      <w:r>
        <w:rPr>
          <w:rFonts w:ascii="TimesNewRoman" w:hAnsi="TimesNewRoman" w:eastAsia="TimesNewRoman" w:cs="TimesNewRoman"/>
          <w:sz w:val="28"/>
        </w:rPr>
        <w:t xml:space="preserve">474 «О национальных целях развития Российской Федерации на период до 2030 года», а так же</w:t>
      </w:r>
      <w:r>
        <w:rPr>
          <w:rFonts w:ascii="TimesNewRoman" w:hAnsi="TimesNewRoman" w:eastAsia="TimesNewRoman" w:cs="TimesNewRoman"/>
          <w:sz w:val="28"/>
        </w:rPr>
        <w:t xml:space="preserve"> </w:t>
      </w:r>
      <w:r>
        <w:rPr>
          <w:rFonts w:ascii="TimesNewRoman" w:hAnsi="TimesNewRoman" w:eastAsia="TimesNewRoman" w:cs="TimesNewRoman"/>
          <w:sz w:val="28"/>
        </w:rPr>
        <w:t xml:space="preserve">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 19.03.2019 № 105-п.</w:t>
      </w:r>
      <w:r>
        <w:rPr>
          <w:rFonts w:ascii="TimesNewRoman" w:hAnsi="TimesNewRoman" w:eastAsia="TimesNewRoman" w:cs="TimesNewRoman"/>
          <w:sz w:val="28"/>
        </w:rPr>
      </w:r>
      <w:r>
        <w:rPr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</w:pPr>
      <w:r>
        <w:rPr>
          <w:rFonts w:ascii="TimesNewRoman" w:hAnsi="TimesNewRoman" w:eastAsia="TimesNewRoman" w:cs="TimesNewRoman"/>
          <w:sz w:val="28"/>
          <w:szCs w:val="28"/>
        </w:rPr>
        <w:t xml:space="preserve">В соответствии с указанными программными документами к числу приоритетных направлений развития физической культуры и спорта относятся:</w:t>
      </w:r>
      <w:r/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вовлечение граждан, прежде всего детей и молодежи, в регулярные занятия физической культурой и массовым спортом;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</w:rPr>
        <w:t xml:space="preserve">развитие адаптивной физической культуры и адаптивного спорта;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повышение 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мотивации населения к регулярным занятиям физической культурой и спортом и ведению здорового образа жизни;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расширение сети современной инфраструктуры физической культуры и спорта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обеспечение развития спорта высших достижений и совершенствование системы подготовки спортивного резерва;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</w:pPr>
      <w:r>
        <w:rPr>
          <w:rFonts w:ascii="TimesNewRoman" w:hAnsi="TimesNewRoman" w:eastAsia="TimesNewRoman" w:cs="TimesNewRoman"/>
          <w:sz w:val="28"/>
          <w:szCs w:val="28"/>
        </w:rPr>
        <w:t xml:space="preserve">Для оценки хода реализации государственной программы и характеристики состояния сферы физической культуры и спорта предусмотрена система показателей.</w:t>
      </w:r>
      <w:r/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</w:rPr>
        <w:t xml:space="preserve">Участие муниципальных образований в реализации мероприятий государственной программы является необходимым условием ее эффективности.</w:t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69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3.</w:t>
      </w:r>
      <w:r>
        <w:rPr>
          <w:rFonts w:ascii="TimesNewRoman" w:hAnsi="TimesNewRoman" w:eastAsia="TimesNewRoman" w:cs="TimesNewRoman"/>
          <w:sz w:val="28"/>
        </w:rPr>
        <w:t xml:space="preserve"> </w:t>
      </w:r>
      <w:r>
        <w:rPr>
          <w:rFonts w:ascii="TimesNewRoman" w:hAnsi="TimesNewRoman" w:eastAsia="TimesNewRoman" w:cs="TimesNewRoman"/>
          <w:b/>
          <w:sz w:val="28"/>
        </w:rPr>
        <w:t xml:space="preserve">Сведения о взаимосвязи со стратегическими приоритетами, целями и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sz w:val="24"/>
        </w:rPr>
      </w:r>
    </w:p>
    <w:p>
      <w:pPr>
        <w:pStyle w:val="69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показателями государственных программ Российской Федерации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</w:rPr>
        <w:t xml:space="preserve">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30.09.2021 №</w:t>
      </w:r>
      <w:r>
        <w:rPr>
          <w:rFonts w:ascii="TimesNewRoman" w:hAnsi="TimesNewRoman" w:eastAsia="TimesNewRoman" w:cs="TimesNewRoman"/>
          <w:sz w:val="28"/>
        </w:rPr>
        <w:t xml:space="preserve"> 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1661 для Новосибирской области установлены следующие показатели, достижение которых необходимо обеспечить:</w:t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highlight w:val="none"/>
        </w:rPr>
        <w:t xml:space="preserve">увеличение доли граждан, систематически занимающихся физической культурой и спортом до 70% к 2030 году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highlight w:val="none"/>
        </w:rPr>
        <w:t xml:space="preserve">уровень обеспеченности граждан спортивными сооружениями исходя из единовременной пропускной способности объектов спорта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95,5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% к 2030 году;</w:t>
      </w: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 90% к 2030 году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 70% к 2030 году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 45% к 2030 году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доля граждан трудоспособного возраста, систематически занимающихся физической культурой и спортом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 73% к 2030 году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доля сельского населения, систематически занимающегося физической культурой и спортом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 49,8% к 2026 году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до 29,4% к 2030 году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.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pStyle w:val="697"/>
        <w:contextualSpacing w:val="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4. Задачи (направления) государственной программы, способы их эффективного решения</w:t>
      </w:r>
      <w:r>
        <w:rPr>
          <w:rFonts w:ascii="TimesNewRoman" w:hAnsi="TimesNewRoman" w:eastAsia="TimesNewRoman" w:cs="TimesNewRoman"/>
          <w:b/>
          <w:sz w:val="24"/>
        </w:rPr>
      </w:r>
      <w:r>
        <w:rPr>
          <w:rFonts w:ascii="TimesNewRoman" w:hAnsi="TimesNewRoman" w:eastAsia="TimesNewRoman" w:cs="TimesNewRoman"/>
          <w:b/>
          <w:sz w:val="24"/>
        </w:rPr>
      </w:r>
    </w:p>
    <w:p>
      <w:pPr>
        <w:pStyle w:val="697"/>
        <w:contextualSpacing w:val="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  <w:r>
        <w:rPr>
          <w:rFonts w:ascii="TimesNewRoman" w:hAnsi="TimesNewRoman" w:eastAsia="TimesNewRoman" w:cs="TimesNewRoman"/>
          <w:b/>
          <w:sz w:val="28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highlight w:val="none"/>
        </w:rPr>
        <w:t xml:space="preserve">Для достижения установленной цели реализации государственной программы определены следующие задачи:</w:t>
      </w: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  <w:t xml:space="preserve">повышение мотивации жителей Новосибирской области к регулярным занятиям физической культурой и спортом и ведению здорового образа жизни</w:t>
      </w:r>
      <w:r>
        <w:rPr>
          <w:rFonts w:ascii="TimesNewRoman" w:hAnsi="TimesNewRoman" w:eastAsia="TimesNewRoman" w:cs="TimesNewRoman"/>
          <w:sz w:val="28"/>
          <w:szCs w:val="28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развитие инфраструктуры физической культуры и спорта в Новосибирской области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;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развитие спорта высших достижений и совершенствование системы подготовки спортивного резерва в Новосибирской области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  <w:t xml:space="preserve">.</w:t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</w:rPr>
        <w:t xml:space="preserve">Решение указанных задач обеспечивается </w:t>
      </w:r>
      <w:r>
        <w:rPr>
          <w:rFonts w:ascii="TimesNewRoman" w:hAnsi="TimesNewRoman" w:eastAsia="TimesNewRoman" w:cs="TimesNewRoman"/>
          <w:sz w:val="28"/>
        </w:rPr>
        <w:t xml:space="preserve">посредством реализации системы мероприятий</w:t>
      </w:r>
      <w:r>
        <w:rPr>
          <w:rFonts w:ascii="TimesNewRoman" w:hAnsi="TimesNewRoman" w:eastAsia="TimesNewRoman" w:cs="TimesNewRoman"/>
          <w:sz w:val="28"/>
        </w:rPr>
        <w:t xml:space="preserve">, предусмотренных региональным проектом «</w:t>
      </w:r>
      <w:r>
        <w:rPr>
          <w:rFonts w:ascii="TimesNewRoman" w:hAnsi="TimesNewRoman" w:eastAsia="TimesNewRoman" w:cs="TimesNewRoman"/>
          <w:sz w:val="28"/>
        </w:rPr>
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(Новосибирская область)</w:t>
      </w:r>
      <w:r>
        <w:rPr>
          <w:rFonts w:ascii="TimesNewRoman" w:hAnsi="TimesNewRoman" w:eastAsia="TimesNewRoman" w:cs="TimesNewRoman"/>
          <w:sz w:val="28"/>
        </w:rPr>
        <w:t xml:space="preserve">» (Спорт – норма жизни»), иными региональными проектами «Спортивная инфраструктура» и «Бизнес-спринт (Я выбираю спорт)», а также комплексами процессных мероприятий «</w:t>
      </w:r>
      <w:r>
        <w:rPr>
          <w:rFonts w:ascii="TimesNewRoman" w:hAnsi="TimesNewRoman" w:eastAsia="TimesNewRoman" w:cs="TimesNewRoman"/>
          <w:sz w:val="28"/>
        </w:rPr>
        <w:t xml:space="preserve">Обеспечение функционирования системы в сфере физической культуры и спорта</w:t>
      </w:r>
      <w:r>
        <w:rPr>
          <w:rFonts w:ascii="TimesNewRoman" w:hAnsi="TimesNewRoman" w:eastAsia="TimesNewRoman" w:cs="TimesNewRoman"/>
          <w:sz w:val="28"/>
        </w:rPr>
        <w:t xml:space="preserve">» и «</w:t>
      </w:r>
      <w:r>
        <w:rPr>
          <w:rFonts w:ascii="TimesNewRoman" w:hAnsi="TimesNewRoman" w:eastAsia="TimesNewRoman" w:cs="TimesNewRoman"/>
          <w:sz w:val="28"/>
        </w:rPr>
        <w:t xml:space="preserve">Спорт высших достижений</w:t>
      </w:r>
      <w:r>
        <w:rPr>
          <w:rFonts w:ascii="TimesNewRoman" w:hAnsi="TimesNewRoman" w:eastAsia="TimesNewRoman" w:cs="TimesNewRoman"/>
          <w:sz w:val="28"/>
        </w:rPr>
        <w:t xml:space="preserve">».».</w:t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highlight w:val="none"/>
        </w:rPr>
        <w:t xml:space="preserve">2.</w:t>
      </w:r>
      <w:r>
        <w:rPr>
          <w:rFonts w:ascii="TimesNewRoman" w:hAnsi="TimesNewRoman" w:eastAsia="TimesNewRoman" w:cs="TimesNewRoman"/>
          <w:sz w:val="28"/>
        </w:rPr>
        <w:t xml:space="preserve"> 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Разделы государственной программы «Обоснование необходимости реализации государственной программы», «Система основных мероприятий государственной программы» признать утративныими силу.</w:t>
      </w: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3.</w:t>
      </w:r>
      <w:r>
        <w:rPr>
          <w:rFonts w:ascii="TimesNewRoman" w:hAnsi="TimesNewRoman" w:eastAsia="TimesNewRoman" w:cs="TimesNewRoman"/>
          <w:sz w:val="28"/>
        </w:rPr>
        <w:t xml:space="preserve"> </w:t>
      </w:r>
      <w:r/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Приложение № 1 «Цели, задачи и целевые индикаторы государственной программы Новосибирской области «Развитие физической культуры и спорта в Новосибирской области»: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1) изложить в редакции согласно приложению № 1 к настоящему постановлению;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sz w:val="28"/>
        </w:rPr>
        <w:t xml:space="preserve">2) признать утратившим силу с 01.06.2024.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  <w:szCs w:val="28"/>
          <w:highlight w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highlight w:val="none"/>
        </w:rPr>
        <w:t xml:space="preserve">4.</w:t>
      </w:r>
      <w:r>
        <w:rPr>
          <w:rFonts w:ascii="TimesNewRoman" w:hAnsi="TimesNewRoman" w:eastAsia="TimesNewRoman" w:cs="TimesNewRoman"/>
          <w:sz w:val="28"/>
        </w:rPr>
        <w:t xml:space="preserve"> </w:t>
      </w:r>
      <w:r/>
      <w:r>
        <w:rPr>
          <w:rFonts w:ascii="TimesNewRoman" w:hAnsi="TimesNewRoman" w:eastAsia="TimesNewRoman" w:cs="TimesNewRoman"/>
          <w:sz w:val="28"/>
          <w:highlight w:val="none"/>
        </w:rPr>
        <w:t xml:space="preserve">Приложение № 2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«Основные мероприятия государственной программы Новосибирской области «Развитие физической культуры и спорта в Новосибирской области»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 признать утратившим силу.</w:t>
      </w:r>
      <w:r>
        <w:rPr>
          <w:rFonts w:ascii="TimesNewRoman" w:hAnsi="TimesNewRoman" w:eastAsia="TimesNewRoman" w:cs="TimesNewRoman"/>
          <w:sz w:val="28"/>
          <w:highlight w:val="none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5. Приложение № 2.1 «Основные мероприятия государственной программы Новосибирской области «Развитие физической культуры и спорта в Новосибирской области»: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1) изложить в редакции согласно приложению № 2 к настоящему постановлению;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2) признать утратившим силу с 01.06.2024.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6. Приложение № 3 «Сводные финансовые затраты и налоговые расходы государственной программы Новосибирской области «Развитие физической культуры и спорта в Новосибирской области»: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1) изложить в редакции согласно приложению № 3 к настоящему постановлению;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697"/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2) признать утратившим силу с 01.06.2024.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    А.А. Травников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С.А. Ахапов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851" w:left="1418" w:header="720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238 61 08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Первый заместитель Губернатора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  <w:t xml:space="preserve">                          Ю.В. Петухов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«___»_________2024 года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Министр юстиции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     Т.Н. Деркач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«___»_________2024 года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М.Г. Кудрявцев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«___»_________2024 года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Министр экономического развития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Л.Н. Решетников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«___»_________2024 года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Министр строительства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 А.В. Колмаков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«___»_________2024 года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Министр жилищно-коммунального хозяйства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и энергетики Новосибирской области                                                     Д.Н. Архипов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«___»_________2024 года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Министр транспорта и дорожного хозяйства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ab/>
        <w:t xml:space="preserve">       А.В. Костылевский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«___»_________2024 года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Министр физической культуры и спорта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     С.А. Ахапов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«___»_________2024 года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  <w:t xml:space="preserve">Начальник отдела </w:t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  <w:t xml:space="preserve">бюджетно-экономического планирования</w:t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  <w:t xml:space="preserve">и мониторинга тел. 238 64 30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  <w:t xml:space="preserve">        А.В. Марно Консультант отдела организационной, правовой </w:t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  <w:t xml:space="preserve">работы и контроля </w:t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tabs>
          <w:tab w:val="right" w:pos="9923" w:leader="none"/>
        </w:tabs>
        <w:rPr>
          <w:rFonts w:ascii="Times New Roman" w:hAnsi="Times New Roman" w:eastAsia="Batang" w:cs="Times New Roman"/>
          <w:sz w:val="20"/>
          <w:szCs w:val="24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lang w:eastAsia="ru-RU"/>
        </w:rPr>
        <w:t xml:space="preserve">тел. 238 77 4</w:t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 xml:space="preserve">4</w:t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  <w:t xml:space="preserve">А.С. Чередова</w:t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  <w:r>
        <w:rPr>
          <w:rFonts w:ascii="Times New Roman" w:hAnsi="Times New Roman" w:eastAsia="Batang" w:cs="Times New Roman"/>
          <w:sz w:val="20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Calibri">
    <w:panose1 w:val="020F0502020204030204"/>
  </w:font>
  <w:font w:name="Batang">
    <w:panose1 w:val="0200050600000002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0431059"/>
      <w:docPartObj>
        <w:docPartGallery w:val="Page Numbers (Top of Page)"/>
        <w:docPartUnique w:val="true"/>
      </w:docPartObj>
      <w:rPr/>
    </w:sdtPr>
    <w:sdtContent>
      <w:p>
        <w:pPr>
          <w:pStyle w:val="93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8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8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9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2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6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link w:val="7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table" w:styleId="710" w:customStyle="1">
    <w:name w:val="Таблица простая 11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Таблица простая 21"/>
    <w:basedOn w:val="7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Таблица простая 3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Таблица простая 4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Таблица простая 5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Таблица-сетка 1 светл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Таблица-сетка 2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Таблица-сетка 3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Таблица-сетка 4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Таблица-сетка 5 тем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 w:customStyle="1">
    <w:name w:val="Таблица-сетка 6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1" w:customStyle="1">
    <w:name w:val="Таблица-сетка 7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2" w:customStyle="1">
    <w:name w:val="Список-таблица 1 светлая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Список-таблица 2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4" w:customStyle="1">
    <w:name w:val="Список-таблица 3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Список-таблица 4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Список-таблица 5 тем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7" w:customStyle="1">
    <w:name w:val="Список-таблица 6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8" w:customStyle="1">
    <w:name w:val="Список-таблица 7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9" w:customStyle="1">
    <w:name w:val="Таблица простая 11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Таблица простая 21"/>
    <w:basedOn w:val="7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3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Таблица простая 4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Таблица простая 5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Таблица-сетка 1 светл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Таблица-сетка 2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3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Таблица-сетка 4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Таблица-сетка 5 тем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Таблица-сетка 6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Таблица-сетка 7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Список-таблица 1 светлая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Список-таблица 2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3" w:customStyle="1">
    <w:name w:val="Список-таблица 3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Список-таблица 4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Список-таблица 5 тем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 w:customStyle="1">
    <w:name w:val="Список-таблица 6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7" w:customStyle="1">
    <w:name w:val="Список-таблица 7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8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50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Title Char"/>
    <w:basedOn w:val="707"/>
    <w:uiPriority w:val="10"/>
    <w:rPr>
      <w:sz w:val="48"/>
      <w:szCs w:val="48"/>
    </w:rPr>
  </w:style>
  <w:style w:type="character" w:styleId="758" w:customStyle="1">
    <w:name w:val="Subtitle Char"/>
    <w:basedOn w:val="707"/>
    <w:uiPriority w:val="11"/>
    <w:rPr>
      <w:sz w:val="24"/>
      <w:szCs w:val="24"/>
    </w:rPr>
  </w:style>
  <w:style w:type="character" w:styleId="759" w:customStyle="1">
    <w:name w:val="Quote Char"/>
    <w:uiPriority w:val="29"/>
    <w:rPr>
      <w:i/>
    </w:rPr>
  </w:style>
  <w:style w:type="character" w:styleId="760" w:customStyle="1">
    <w:name w:val="Intense Quote Char"/>
    <w:uiPriority w:val="30"/>
    <w:rPr>
      <w:i/>
    </w:rPr>
  </w:style>
  <w:style w:type="character" w:styleId="761" w:customStyle="1">
    <w:name w:val="Caption Char"/>
    <w:uiPriority w:val="99"/>
  </w:style>
  <w:style w:type="character" w:styleId="762" w:customStyle="1">
    <w:name w:val="Footnote Text Char"/>
    <w:uiPriority w:val="99"/>
    <w:rPr>
      <w:sz w:val="18"/>
    </w:rPr>
  </w:style>
  <w:style w:type="character" w:styleId="763" w:customStyle="1">
    <w:name w:val="Endnote Text Char"/>
    <w:uiPriority w:val="99"/>
    <w:rPr>
      <w:sz w:val="20"/>
    </w:rPr>
  </w:style>
  <w:style w:type="character" w:styleId="764" w:customStyle="1">
    <w:name w:val="Заголовок 1 Знак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No Spacing"/>
    <w:uiPriority w:val="1"/>
    <w:qFormat/>
    <w:pPr>
      <w:spacing w:after="0" w:line="240" w:lineRule="auto"/>
    </w:pPr>
  </w:style>
  <w:style w:type="paragraph" w:styleId="774">
    <w:name w:val="Title"/>
    <w:basedOn w:val="697"/>
    <w:next w:val="697"/>
    <w:link w:val="775"/>
    <w:uiPriority w:val="10"/>
    <w:qFormat/>
    <w:pPr>
      <w:contextualSpacing/>
      <w:spacing w:before="300"/>
    </w:pPr>
    <w:rPr>
      <w:sz w:val="48"/>
      <w:szCs w:val="48"/>
    </w:rPr>
  </w:style>
  <w:style w:type="character" w:styleId="775" w:customStyle="1">
    <w:name w:val="Название Знак"/>
    <w:basedOn w:val="707"/>
    <w:link w:val="774"/>
    <w:uiPriority w:val="10"/>
    <w:rPr>
      <w:sz w:val="48"/>
      <w:szCs w:val="48"/>
    </w:rPr>
  </w:style>
  <w:style w:type="paragraph" w:styleId="776">
    <w:name w:val="Subtitle"/>
    <w:basedOn w:val="697"/>
    <w:next w:val="697"/>
    <w:link w:val="777"/>
    <w:uiPriority w:val="11"/>
    <w:qFormat/>
    <w:pPr>
      <w:spacing w:before="200"/>
    </w:pPr>
    <w:rPr>
      <w:sz w:val="24"/>
      <w:szCs w:val="24"/>
    </w:rPr>
  </w:style>
  <w:style w:type="character" w:styleId="777" w:customStyle="1">
    <w:name w:val="Подзаголовок Знак"/>
    <w:basedOn w:val="707"/>
    <w:link w:val="776"/>
    <w:uiPriority w:val="11"/>
    <w:rPr>
      <w:sz w:val="24"/>
      <w:szCs w:val="24"/>
    </w:rPr>
  </w:style>
  <w:style w:type="paragraph" w:styleId="778">
    <w:name w:val="Quote"/>
    <w:basedOn w:val="697"/>
    <w:next w:val="697"/>
    <w:link w:val="779"/>
    <w:uiPriority w:val="29"/>
    <w:qFormat/>
    <w:pPr>
      <w:ind w:left="720" w:right="720"/>
    </w:pPr>
    <w:rPr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basedOn w:val="697"/>
    <w:next w:val="697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character" w:styleId="782" w:customStyle="1">
    <w:name w:val="Header Char"/>
    <w:basedOn w:val="707"/>
    <w:uiPriority w:val="99"/>
  </w:style>
  <w:style w:type="paragraph" w:styleId="783">
    <w:name w:val="Footer"/>
    <w:basedOn w:val="697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basedOn w:val="707"/>
    <w:uiPriority w:val="99"/>
  </w:style>
  <w:style w:type="paragraph" w:styleId="785">
    <w:name w:val="Caption"/>
    <w:basedOn w:val="697"/>
    <w:next w:val="69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86" w:customStyle="1">
    <w:name w:val="Нижний колонтитул Знак"/>
    <w:link w:val="783"/>
    <w:uiPriority w:val="99"/>
  </w:style>
  <w:style w:type="table" w:styleId="787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8" w:customStyle="1">
    <w:name w:val="Table Grid Light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9" w:customStyle="1">
    <w:name w:val="Таблица простая 11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 w:customStyle="1">
    <w:name w:val="Таблица простая 21"/>
    <w:basedOn w:val="7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Таблица простая 3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 w:customStyle="1">
    <w:name w:val="Таблица простая 4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Таблица простая 5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1 светл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Таблица-сетка 2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Таблица-сетка 3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4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 w:customStyle="1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7" w:customStyle="1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9" w:customStyle="1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1" w:customStyle="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2" w:customStyle="1">
    <w:name w:val="Таблица-сетка 5 тем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9" w:customStyle="1">
    <w:name w:val="Таблица-сетка 6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0" w:customStyle="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1" w:customStyle="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2" w:customStyle="1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3" w:customStyle="1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4" w:customStyle="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5" w:customStyle="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6" w:customStyle="1">
    <w:name w:val="Таблица-сетка 7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Список-таблица 1 светлая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Список-таблица 2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7" w:customStyle="1">
    <w:name w:val="Список-таблица 3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Список-таблица 4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Список-таблица 5 тем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Список-таблица 6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9" w:customStyle="1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0" w:customStyle="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1" w:customStyle="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2" w:customStyle="1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3" w:customStyle="1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4" w:customStyle="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5" w:customStyle="1">
    <w:name w:val="Список-таблица 7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 &amp; 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Bordered &amp; 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1" w:customStyle="1">
    <w:name w:val="Bordered &amp; 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2" w:customStyle="1">
    <w:name w:val="Bordered &amp; 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3" w:customStyle="1">
    <w:name w:val="Bordered &amp; 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4" w:customStyle="1">
    <w:name w:val="Bordered &amp; 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5" w:customStyle="1">
    <w:name w:val="Bordered &amp; 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6" w:customStyle="1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7" w:customStyle="1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8" w:customStyle="1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9" w:customStyle="1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0" w:customStyle="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1" w:customStyle="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2" w:customStyle="1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3">
    <w:name w:val="footnote text"/>
    <w:basedOn w:val="697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 w:customStyle="1">
    <w:name w:val="Текст сноски Знак"/>
    <w:link w:val="913"/>
    <w:uiPriority w:val="99"/>
    <w:rPr>
      <w:sz w:val="18"/>
    </w:rPr>
  </w:style>
  <w:style w:type="character" w:styleId="915">
    <w:name w:val="footnote reference"/>
    <w:basedOn w:val="707"/>
    <w:uiPriority w:val="99"/>
    <w:unhideWhenUsed/>
    <w:rPr>
      <w:vertAlign w:val="superscript"/>
    </w:rPr>
  </w:style>
  <w:style w:type="paragraph" w:styleId="916">
    <w:name w:val="endnote text"/>
    <w:basedOn w:val="697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 w:customStyle="1">
    <w:name w:val="Текст концевой сноски Знак"/>
    <w:link w:val="916"/>
    <w:uiPriority w:val="99"/>
    <w:rPr>
      <w:sz w:val="20"/>
    </w:rPr>
  </w:style>
  <w:style w:type="character" w:styleId="918">
    <w:name w:val="endnote reference"/>
    <w:basedOn w:val="707"/>
    <w:uiPriority w:val="99"/>
    <w:semiHidden/>
    <w:unhideWhenUsed/>
    <w:rPr>
      <w:vertAlign w:val="superscript"/>
    </w:rPr>
  </w:style>
  <w:style w:type="paragraph" w:styleId="919">
    <w:name w:val="toc 1"/>
    <w:basedOn w:val="697"/>
    <w:next w:val="697"/>
    <w:uiPriority w:val="39"/>
    <w:unhideWhenUsed/>
    <w:pPr>
      <w:spacing w:after="57"/>
    </w:pPr>
  </w:style>
  <w:style w:type="paragraph" w:styleId="920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921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922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923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924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925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926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927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697"/>
    <w:next w:val="697"/>
    <w:uiPriority w:val="99"/>
    <w:unhideWhenUsed/>
    <w:pPr>
      <w:spacing w:after="0"/>
    </w:pPr>
  </w:style>
  <w:style w:type="paragraph" w:styleId="930">
    <w:name w:val="Header"/>
    <w:basedOn w:val="697"/>
    <w:link w:val="93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931" w:customStyle="1">
    <w:name w:val="Верхний колонтитул Знак"/>
    <w:basedOn w:val="707"/>
    <w:link w:val="930"/>
    <w:uiPriority w:val="99"/>
    <w:rPr>
      <w:rFonts w:ascii="Times New Roman" w:hAnsi="Times New Roman" w:eastAsia="Batang" w:cs="Times New Roman"/>
      <w:sz w:val="24"/>
      <w:szCs w:val="24"/>
      <w:lang w:eastAsia="ru-RU"/>
    </w:rPr>
  </w:style>
  <w:style w:type="paragraph" w:styleId="932">
    <w:name w:val="Balloon Text"/>
    <w:basedOn w:val="697"/>
    <w:link w:val="93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3" w:customStyle="1">
    <w:name w:val="Текст выноски Знак"/>
    <w:basedOn w:val="707"/>
    <w:link w:val="932"/>
    <w:uiPriority w:val="99"/>
    <w:semiHidden/>
    <w:rPr>
      <w:rFonts w:ascii="Tahoma" w:hAnsi="Tahoma" w:cs="Tahoma"/>
      <w:sz w:val="16"/>
      <w:szCs w:val="16"/>
    </w:rPr>
  </w:style>
  <w:style w:type="character" w:styleId="934">
    <w:name w:val="Hyperlink"/>
    <w:basedOn w:val="707"/>
    <w:uiPriority w:val="99"/>
    <w:unhideWhenUsed/>
    <w:rPr>
      <w:color w:val="0000ff" w:themeColor="hyperlink"/>
      <w:u w:val="single"/>
    </w:rPr>
  </w:style>
  <w:style w:type="paragraph" w:styleId="935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936">
    <w:name w:val="annotation reference"/>
    <w:basedOn w:val="707"/>
    <w:uiPriority w:val="99"/>
    <w:semiHidden/>
    <w:unhideWhenUsed/>
    <w:rPr>
      <w:sz w:val="16"/>
      <w:szCs w:val="16"/>
    </w:rPr>
  </w:style>
  <w:style w:type="paragraph" w:styleId="937">
    <w:name w:val="annotation text"/>
    <w:basedOn w:val="697"/>
    <w:link w:val="938"/>
    <w:uiPriority w:val="99"/>
    <w:unhideWhenUsed/>
    <w:pPr>
      <w:spacing w:line="240" w:lineRule="auto"/>
    </w:pPr>
    <w:rPr>
      <w:sz w:val="20"/>
      <w:szCs w:val="20"/>
    </w:rPr>
  </w:style>
  <w:style w:type="character" w:styleId="938" w:customStyle="1">
    <w:name w:val="Текст примечания Знак"/>
    <w:basedOn w:val="707"/>
    <w:link w:val="937"/>
    <w:uiPriority w:val="99"/>
    <w:rPr>
      <w:sz w:val="20"/>
      <w:szCs w:val="20"/>
    </w:rPr>
  </w:style>
  <w:style w:type="paragraph" w:styleId="939">
    <w:name w:val="annotation subject"/>
    <w:basedOn w:val="937"/>
    <w:next w:val="937"/>
    <w:link w:val="940"/>
    <w:uiPriority w:val="99"/>
    <w:semiHidden/>
    <w:unhideWhenUsed/>
    <w:rPr>
      <w:b/>
      <w:bCs/>
    </w:rPr>
  </w:style>
  <w:style w:type="character" w:styleId="940" w:customStyle="1">
    <w:name w:val="Тема примечания Знак"/>
    <w:basedOn w:val="938"/>
    <w:link w:val="939"/>
    <w:uiPriority w:val="99"/>
    <w:semiHidden/>
    <w:rPr>
      <w:b/>
      <w:bCs/>
      <w:sz w:val="20"/>
      <w:szCs w:val="20"/>
    </w:rPr>
  </w:style>
  <w:style w:type="paragraph" w:styleId="941">
    <w:name w:val="List Paragraph"/>
    <w:basedOn w:val="697"/>
    <w:uiPriority w:val="34"/>
    <w:qFormat/>
    <w:pPr>
      <w:contextualSpacing/>
      <w:ind w:left="720"/>
    </w:pPr>
  </w:style>
  <w:style w:type="paragraph" w:styleId="942">
    <w:name w:val="Revision"/>
    <w:hidden/>
    <w:uiPriority w:val="99"/>
    <w:semiHidden/>
    <w:pPr>
      <w:spacing w:after="0" w:line="240" w:lineRule="auto"/>
    </w:pPr>
  </w:style>
  <w:style w:type="paragraph" w:styleId="943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lang w:eastAsia="ru-RU"/>
    </w:rPr>
  </w:style>
  <w:style w:type="paragraph" w:styleId="94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sport.nso.ru/" TargetMode="External"/><Relationship Id="rId12" Type="http://schemas.openxmlformats.org/officeDocument/2006/relationships/hyperlink" Target="https://vk.com/minsport_nso" TargetMode="External"/><Relationship Id="rId13" Type="http://schemas.openxmlformats.org/officeDocument/2006/relationships/hyperlink" Target="https://ok.ru/minsport54" TargetMode="External"/><Relationship Id="rId14" Type="http://schemas.openxmlformats.org/officeDocument/2006/relationships/hyperlink" Target="https://t.me/minsportns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48FB-9895-446E-9157-967A86F2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2023-11-01T10:52:00Z</dcterms:created>
  <dcterms:modified xsi:type="dcterms:W3CDTF">2024-02-12T03:00:23Z</dcterms:modified>
</cp:coreProperties>
</file>