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60"/>
        <w:ind w:left="9639"/>
        <w:jc w:val="right"/>
        <w:widowControl/>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ПРИЛОЖЕНИЕ № </w:t>
      </w:r>
      <w:r>
        <w:rPr>
          <w:rFonts w:ascii="Times New Roman" w:hAnsi="Times New Roman" w:cs="Times New Roman"/>
          <w:color w:val="000000"/>
          <w:sz w:val="28"/>
          <w:szCs w:val="28"/>
        </w:rPr>
        <w:t xml:space="preserve">1</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860"/>
        <w:ind w:left="9639"/>
        <w:jc w:val="right"/>
        <w:widowControl/>
        <w:rPr>
          <w:rFonts w:ascii="Times New Roman" w:hAnsi="Times New Roman" w:cs="Times New Roman"/>
          <w:color w:val="000000"/>
          <w:sz w:val="28"/>
          <w:szCs w:val="28"/>
        </w:rPr>
      </w:pPr>
      <w:r>
        <w:rPr>
          <w:rFonts w:ascii="Times New Roman" w:hAnsi="Times New Roman" w:cs="Times New Roman"/>
          <w:color w:val="000000"/>
          <w:sz w:val="28"/>
          <w:szCs w:val="28"/>
        </w:rPr>
        <w:t xml:space="preserve">к постановлению</w:t>
      </w:r>
      <w:r>
        <w:rPr>
          <w:rFonts w:ascii="Times New Roman" w:hAnsi="Times New Roman" w:cs="Times New Roman"/>
          <w:color w:val="000000"/>
          <w:sz w:val="28"/>
          <w:szCs w:val="28"/>
        </w:rPr>
        <w:t xml:space="preserve"> Правительства</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860"/>
        <w:ind w:left="9639"/>
        <w:jc w:val="right"/>
        <w:widowControl/>
        <w:rPr>
          <w:rFonts w:ascii="Times New Roman" w:hAnsi="Times New Roman" w:cs="Times New Roman"/>
          <w:color w:val="000000"/>
          <w:sz w:val="28"/>
          <w:szCs w:val="28"/>
        </w:rPr>
      </w:pPr>
      <w:r>
        <w:rPr>
          <w:rFonts w:ascii="Times New Roman" w:hAnsi="Times New Roman" w:cs="Times New Roman"/>
          <w:color w:val="000000"/>
          <w:sz w:val="28"/>
          <w:szCs w:val="28"/>
        </w:rPr>
        <w:t xml:space="preserve">Новосибирской</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области</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860"/>
        <w:ind w:left="9639"/>
        <w:jc w:val="center"/>
        <w:widowControl/>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860"/>
        <w:ind w:left="9639"/>
        <w:jc w:val="center"/>
        <w:widowControl/>
        <w:rPr>
          <w:rFonts w:ascii="Times New Roman" w:hAnsi="Times New Roman" w:cs="Times New Roman"/>
          <w:color w:val="000000"/>
          <w:sz w:val="28"/>
          <w:szCs w:val="28"/>
        </w:rPr>
      </w:pP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ПРИЛОЖЕНИЕ № 1</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860"/>
        <w:ind w:left="9639"/>
        <w:jc w:val="center"/>
        <w:widowControl/>
        <w:rPr>
          <w:rFonts w:ascii="Times New Roman" w:hAnsi="Times New Roman" w:cs="Times New Roman"/>
          <w:sz w:val="28"/>
          <w:szCs w:val="28"/>
        </w:rPr>
      </w:pPr>
      <w:r>
        <w:rPr>
          <w:rFonts w:ascii="Times New Roman" w:hAnsi="Times New Roman" w:cs="Times New Roman"/>
          <w:color w:val="000000"/>
          <w:sz w:val="28"/>
          <w:szCs w:val="28"/>
        </w:rPr>
        <w:t xml:space="preserve">к государственной программе Новосибирской</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области «Развитие физической культуры и спорта</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Новосибирской области»</w:t>
      </w:r>
      <w:r>
        <w:rPr>
          <w:rFonts w:ascii="Times New Roman" w:hAnsi="Times New Roman" w:cs="Times New Roman"/>
          <w:sz w:val="28"/>
          <w:szCs w:val="28"/>
        </w:rPr>
      </w:r>
      <w:r>
        <w:rPr>
          <w:rFonts w:ascii="Times New Roman" w:hAnsi="Times New Roman" w:cs="Times New Roman"/>
          <w:sz w:val="28"/>
          <w:szCs w:val="28"/>
        </w:rPr>
      </w:r>
    </w:p>
    <w:p>
      <w:pPr>
        <w:pStyle w:val="860"/>
        <w:jc w:val="center"/>
        <w:rPr>
          <w:rFonts w:ascii="Times New Roman" w:hAnsi="Times New Roman" w:cs="Times New Roman"/>
          <w:b/>
          <w:bCs/>
          <w:sz w:val="28"/>
          <w:szCs w:val="28"/>
        </w:rPr>
      </w:pPr>
      <w:r>
        <w:rPr>
          <w:rFonts w:ascii="Times New Roman" w:hAnsi="Times New Roman" w:cs="Times New Roman"/>
          <w:b/>
          <w:sz w:val="28"/>
          <w:szCs w:val="28"/>
        </w:rPr>
      </w:r>
      <w:r>
        <w:rPr>
          <w:rFonts w:ascii="Times New Roman" w:hAnsi="Times New Roman" w:cs="Times New Roman"/>
          <w:b/>
          <w:bCs/>
          <w:sz w:val="28"/>
          <w:szCs w:val="28"/>
        </w:rPr>
      </w:r>
      <w:r>
        <w:rPr>
          <w:rFonts w:ascii="Times New Roman" w:hAnsi="Times New Roman" w:cs="Times New Roman"/>
          <w:b/>
          <w:bCs/>
          <w:sz w:val="28"/>
          <w:szCs w:val="28"/>
        </w:rPr>
      </w:r>
    </w:p>
    <w:p>
      <w:pPr>
        <w:pStyle w:val="860"/>
        <w:jc w:val="center"/>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pPr>
        <w:pStyle w:val="860"/>
        <w:jc w:val="center"/>
        <w:rPr>
          <w:rFonts w:ascii="Times New Roman" w:hAnsi="Times New Roman" w:cs="Times New Roman"/>
          <w:b/>
          <w:bCs/>
          <w:sz w:val="28"/>
          <w:szCs w:val="28"/>
        </w:rPr>
      </w:pPr>
      <w:r>
        <w:rPr>
          <w:rFonts w:ascii="Times New Roman" w:hAnsi="Times New Roman" w:cs="Times New Roman"/>
          <w:b/>
          <w:sz w:val="28"/>
          <w:szCs w:val="28"/>
        </w:rPr>
      </w:r>
      <w:r>
        <w:rPr>
          <w:rFonts w:ascii="Times New Roman" w:hAnsi="Times New Roman" w:cs="Times New Roman"/>
          <w:b/>
          <w:bCs/>
          <w:sz w:val="28"/>
          <w:szCs w:val="28"/>
        </w:rPr>
      </w:r>
      <w:r>
        <w:rPr>
          <w:rFonts w:ascii="Times New Roman" w:hAnsi="Times New Roman" w:cs="Times New Roman"/>
          <w:b/>
          <w:bCs/>
          <w:sz w:val="28"/>
          <w:szCs w:val="28"/>
        </w:rPr>
      </w:r>
    </w:p>
    <w:p>
      <w:pPr>
        <w:pStyle w:val="860"/>
        <w:jc w:val="center"/>
        <w:rPr>
          <w:rFonts w:ascii="Times New Roman" w:hAnsi="Times New Roman" w:cs="Times New Roman"/>
          <w:b/>
          <w:sz w:val="28"/>
          <w:szCs w:val="28"/>
        </w:rPr>
      </w:pPr>
      <w:r>
        <w:rPr>
          <w:rFonts w:ascii="Times New Roman" w:hAnsi="Times New Roman" w:cs="Times New Roman"/>
          <w:b/>
          <w:sz w:val="28"/>
          <w:szCs w:val="28"/>
        </w:rPr>
        <w:t xml:space="preserve">ЦЕЛИ, ЗАДАЧИ И ЦЕЛЕВЫЕ ИНДИКАТОРЫ</w:t>
      </w:r>
      <w:r>
        <w:rPr>
          <w:rFonts w:ascii="Times New Roman" w:hAnsi="Times New Roman" w:cs="Times New Roman"/>
          <w:b/>
          <w:sz w:val="28"/>
          <w:szCs w:val="28"/>
        </w:rPr>
      </w:r>
      <w:r>
        <w:rPr>
          <w:rFonts w:ascii="Times New Roman" w:hAnsi="Times New Roman" w:cs="Times New Roman"/>
          <w:b/>
          <w:sz w:val="28"/>
          <w:szCs w:val="28"/>
        </w:rPr>
      </w:r>
    </w:p>
    <w:p>
      <w:pPr>
        <w:jc w:val="center"/>
        <w:rPr>
          <w:b/>
          <w:sz w:val="28"/>
          <w:szCs w:val="28"/>
        </w:rPr>
      </w:pPr>
      <w:r>
        <w:rPr>
          <w:b/>
          <w:sz w:val="28"/>
          <w:szCs w:val="28"/>
        </w:rPr>
        <w:t xml:space="preserve">государственной программы Новосибирской области </w:t>
      </w:r>
      <w:r>
        <w:rPr>
          <w:b/>
          <w:sz w:val="28"/>
          <w:szCs w:val="28"/>
        </w:rPr>
      </w:r>
      <w:r>
        <w:rPr>
          <w:b/>
          <w:sz w:val="28"/>
          <w:szCs w:val="28"/>
        </w:rPr>
      </w:r>
    </w:p>
    <w:p>
      <w:pPr>
        <w:jc w:val="center"/>
        <w:rPr>
          <w:rFonts w:eastAsia="Batang"/>
          <w:b/>
          <w:bCs/>
          <w:sz w:val="28"/>
          <w:szCs w:val="28"/>
          <w:highlight w:val="none"/>
        </w:rPr>
      </w:pPr>
      <w:r>
        <w:rPr>
          <w:rFonts w:eastAsia="Batang"/>
          <w:b/>
          <w:sz w:val="28"/>
          <w:szCs w:val="28"/>
        </w:rPr>
        <w:t xml:space="preserve">«Развитие физической культуры и спорта в Новосибирской области»</w:t>
      </w:r>
      <w:r>
        <w:rPr>
          <w:rFonts w:eastAsia="Batang"/>
          <w:b/>
          <w:bCs/>
          <w:sz w:val="28"/>
          <w:szCs w:val="28"/>
          <w:highlight w:val="none"/>
        </w:rPr>
      </w:r>
      <w:r>
        <w:rPr>
          <w:rFonts w:eastAsia="Batang"/>
          <w:b/>
          <w:bCs/>
          <w:sz w:val="28"/>
          <w:szCs w:val="28"/>
          <w:highlight w:val="none"/>
        </w:rPr>
      </w:r>
    </w:p>
    <w:p>
      <w:pPr>
        <w:jc w:val="center"/>
        <w:rPr>
          <w:sz w:val="28"/>
          <w:szCs w:val="28"/>
        </w:rPr>
      </w:pPr>
      <w:r>
        <w:rPr>
          <w:sz w:val="28"/>
          <w:szCs w:val="28"/>
        </w:rPr>
      </w:r>
      <w:r>
        <w:rPr>
          <w:sz w:val="28"/>
          <w:szCs w:val="28"/>
        </w:rPr>
      </w:r>
      <w:r>
        <w:rPr>
          <w:sz w:val="28"/>
          <w:szCs w:val="28"/>
        </w:rPr>
      </w:r>
    </w:p>
    <w:p>
      <w:pPr>
        <w:jc w:val="center"/>
        <w:rPr>
          <w:sz w:val="28"/>
          <w:szCs w:val="28"/>
        </w:rPr>
      </w:pPr>
      <w:r>
        <w:rPr>
          <w:sz w:val="28"/>
          <w:szCs w:val="28"/>
        </w:rPr>
      </w:r>
      <w:r>
        <w:rPr>
          <w:sz w:val="28"/>
          <w:szCs w:val="28"/>
        </w:rPr>
      </w:r>
      <w:r>
        <w:rPr>
          <w:sz w:val="28"/>
          <w:szCs w:val="28"/>
        </w:rPr>
      </w:r>
    </w:p>
    <w:p>
      <w:pPr>
        <w:jc w:val="center"/>
        <w:rPr>
          <w:sz w:val="28"/>
          <w:szCs w:val="28"/>
        </w:rPr>
      </w:pPr>
      <w:r>
        <w:rPr>
          <w:sz w:val="28"/>
          <w:szCs w:val="28"/>
        </w:rPr>
      </w:r>
      <w:r>
        <w:rPr>
          <w:sz w:val="28"/>
          <w:szCs w:val="28"/>
        </w:rPr>
      </w:r>
      <w:r>
        <w:rPr>
          <w:sz w:val="28"/>
          <w:szCs w:val="28"/>
        </w:rPr>
      </w:r>
    </w:p>
    <w:tbl>
      <w:tblPr>
        <w:tblStyle w:val="862"/>
        <w:tblW w:w="0" w:type="auto"/>
        <w:tblLook w:val="04A0" w:firstRow="1" w:lastRow="0" w:firstColumn="1" w:lastColumn="0" w:noHBand="0" w:noVBand="1"/>
      </w:tblPr>
      <w:tblGrid>
        <w:gridCol w:w="2865"/>
        <w:gridCol w:w="5160"/>
        <w:gridCol w:w="945"/>
        <w:gridCol w:w="945"/>
        <w:gridCol w:w="945"/>
        <w:gridCol w:w="945"/>
        <w:gridCol w:w="945"/>
        <w:gridCol w:w="945"/>
        <w:gridCol w:w="1125"/>
        <w:gridCol w:w="945"/>
        <w:gridCol w:w="945"/>
        <w:gridCol w:w="945"/>
        <w:gridCol w:w="945"/>
        <w:gridCol w:w="2295"/>
      </w:tblGrid>
      <w:tr>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65"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Цель/задачи, требующие решения для достижения цели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Наименование целевого индикатора</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Ед. измерения</w:t>
            </w:r>
            <w:r/>
          </w:p>
        </w:tc>
        <w:tc>
          <w:tcPr>
            <w:gridSpan w:val="10"/>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9630"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Значение целевого индикатора</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Примечание</w:t>
            </w:r>
            <w:r/>
          </w:p>
        </w:tc>
      </w:tr>
      <w:tr>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6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gridSpan w:val="10"/>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9630"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в том числе по годам</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r>
      <w:tr>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6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2014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2015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2016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2017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2018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2019</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2020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2021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2022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2023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left"/>
            </w:pPr>
            <w:r>
              <w:rPr>
                <w:rFonts w:ascii="Calibri" w:hAnsi="Calibri" w:eastAsia="Calibri" w:cs="Calibri"/>
                <w:b w:val="0"/>
                <w:i w:val="0"/>
                <w:strike w:val="0"/>
                <w:color w:val="000000"/>
                <w:sz w:val="22"/>
                <w:u w:val="none"/>
                <w:vertAlign w:val="baseline"/>
              </w:rPr>
            </w:r>
            <w:r/>
          </w:p>
        </w:tc>
      </w:tr>
      <w:tr>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6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14</w:t>
            </w:r>
            <w:r/>
          </w:p>
        </w:tc>
      </w:tr>
      <w:tr>
        <w:tblPrEx/>
        <w:trPr>
          <w:trHeight w:val="285"/>
        </w:trPr>
        <w:tc>
          <w:tcPr>
            <w:gridSpan w:val="14"/>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089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Государственная программа Новосибирской области «Развитие физической культуры и спорта в Новосибирской области»</w:t>
            </w:r>
            <w:r/>
          </w:p>
        </w:tc>
      </w:tr>
      <w:tr>
        <w:tblPrEx/>
        <w:trPr>
          <w:trHeight w:val="1620"/>
        </w:trPr>
        <w:tc>
          <w:tcPr>
            <w:tcBorders>
              <w:top w:val="single" w:color="000000" w:sz="6" w:space="0"/>
              <w:left w:val="single" w:color="000000" w:sz="6" w:space="0"/>
              <w:bottom w:val="none" w:color="000000" w:sz="4" w:space="0"/>
              <w:right w:val="single" w:color="000000" w:sz="6" w:space="0"/>
            </w:tcBorders>
            <w:tcMar>
              <w:left w:w="0" w:type="dxa"/>
              <w:top w:w="0" w:type="dxa"/>
              <w:right w:w="0" w:type="dxa"/>
              <w:bottom w:w="0" w:type="dxa"/>
            </w:tcMar>
            <w:tcW w:w="2865" w:type="dxa"/>
            <w:vAlign w:val="center"/>
            <w:vMerge w:val="restart"/>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Цель: создание условий для развития физической культуры и спорта в Новосибирской области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1. Доля граждан, систематически занимающихся физической культурой и спортом</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26,2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34,7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36,5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39,4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43,7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44,2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46,7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49,9</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РП. Целевой индикатор вводится с 2019 года, на 2018 год приведено базовое значение</w:t>
            </w:r>
            <w:r/>
          </w:p>
        </w:tc>
      </w:tr>
      <w:tr>
        <w:tblPrEx/>
        <w:trPr>
          <w:trHeight w:val="115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286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2. Уровень обеспеченности населения Новосибирской области спортивными сооружениями, исходя из единовременной пропускной способности объектов спорта</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 от норматива</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26,6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30,7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37,8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41,6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Целевой индикатор исключен с 2019 года</w:t>
            </w:r>
            <w:r/>
          </w:p>
        </w:tc>
      </w:tr>
      <w:tr>
        <w:tblPrEx/>
        <w:trPr>
          <w:trHeight w:val="145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286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3. Уровень обеспеченности граждан спортивными сооружениями исходя из единовременной пропускной способности объектов спорта</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41,6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42,2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43,5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47,5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50,5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РП. Целевой индикатор вводится с 2019 года, на 2018 год приведено базовое значение</w:t>
            </w:r>
            <w:r/>
          </w:p>
        </w:tc>
      </w:tr>
      <w:tr>
        <w:tblPrEx/>
        <w:trPr>
          <w:trHeight w:val="157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286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4. Доля детей и молодежи (возраст 3-29 лет), систематически занимающихся физической культурой и спортом, в общей численности детей и молодежи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80,5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81,5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Целевой индикатор вводится с 2019 года, на 2018 год приведено базовое значение</w:t>
            </w:r>
            <w:r/>
          </w:p>
        </w:tc>
      </w:tr>
      <w:tr>
        <w:tblPrEx/>
        <w:trPr>
          <w:trHeight w:val="15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286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5. Доля граждан среднего возраста (женщины: 30-54 года; мужчины: 30-59 лет), систематически занимающихся физической культурой и спортом, в общей численности граждан среднего возраста</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23,1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23,8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30,8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36,7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43,8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top"/>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Целевой индикатор вводится с 2019 года, на 2018 год приведено базовое значение</w:t>
            </w:r>
            <w:r/>
          </w:p>
        </w:tc>
      </w:tr>
      <w:tr>
        <w:tblPrEx/>
        <w:trPr>
          <w:trHeight w:val="133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286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6. Доля граждан старшего возраста (женщины: 55-79 лет; мужчины: 60-79 лет), систематически занимающихся физической культурой и спортом, в общей численности граждан старшего возраста</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16,5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Целевой индикатор вводится с 2019 года, на 2018 год приведено базовое значение</w:t>
            </w:r>
            <w:r/>
          </w:p>
        </w:tc>
      </w:tr>
      <w:tr>
        <w:tblPrEx/>
        <w:trPr>
          <w:trHeight w:val="127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286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7. Доля сельского населения, систематически занимающегося физической культурой и спортом, в общей численности сельского населения Новосибирской области в возрасте 3 - 79 лет</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42,8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44,6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45,9</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Целевой индикатор вводится с 2022 года, на 2021 год приведено базовое значение</w:t>
            </w:r>
            <w:r/>
          </w:p>
        </w:tc>
      </w:tr>
      <w:tr>
        <w:tblPrEx/>
        <w:trPr>
          <w:trHeight w:val="1305"/>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286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8. Доля граждан трудоспособного возраста, систематически занимающихся физической культурой и спортом, в общей численности граждан трудоспособного возраста</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48,2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51,3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Целевой индикатор вводится с 2023 года, на 2022 год приведено базовое значение</w:t>
            </w:r>
            <w:r/>
          </w:p>
        </w:tc>
      </w:tr>
      <w:tr>
        <w:tblPrEx/>
        <w:trPr>
          <w:trHeight w:val="1680"/>
        </w:trPr>
        <w:tc>
          <w:tcPr>
            <w:tcBorders>
              <w:top w:val="single" w:color="000000" w:sz="6" w:space="0"/>
              <w:left w:val="single" w:color="000000" w:sz="6" w:space="0"/>
              <w:bottom w:val="none" w:color="000000" w:sz="4" w:space="0"/>
              <w:right w:val="single" w:color="000000" w:sz="6" w:space="0"/>
            </w:tcBorders>
            <w:tcMar>
              <w:left w:w="0" w:type="dxa"/>
              <w:top w:w="0" w:type="dxa"/>
              <w:right w:w="0" w:type="dxa"/>
              <w:bottom w:w="0" w:type="dxa"/>
            </w:tcMar>
            <w:tcW w:w="2865" w:type="dxa"/>
            <w:vAlign w:val="center"/>
            <w:vMerge w:val="restart"/>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Задача 1. Повышение мотивации жителей Новосибирской области к регулярным занятиям физической культурой и спортом и ведению здорового образа жизни, в том числе для лиц с ограниченными возможностями здоровья и инвалидов</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9. Доля граждан в возрасте 6 - 15 лет, занимающихся в спортивных организациях, в общей численности детей и молодежи в возрасте 6 - 15 лет</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16,6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Целевой индикатор исключен с 2022 года</w:t>
            </w:r>
            <w:r/>
          </w:p>
        </w:tc>
      </w:tr>
      <w:tr>
        <w:tblPrEx/>
        <w:trPr>
          <w:trHeight w:val="1185"/>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286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10. Доля учащихся и студентов, систематически занимающихся физической культурой и спортом, в общей численности учащихся и студентов</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51,5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59</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82,8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 Целевой индикатор исключен с 2023 года</w:t>
            </w:r>
            <w:r/>
          </w:p>
        </w:tc>
      </w:tr>
      <w:tr>
        <w:tblPrEx/>
        <w:trPr>
          <w:trHeight w:val="20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6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11. 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не имеющего противопоказаний для занятий физической культурой и спортом</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12,6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18,2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18,9</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21,8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28,7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 </w:t>
            </w:r>
            <w:r/>
          </w:p>
        </w:tc>
      </w:tr>
      <w:tr>
        <w:tblPrEx/>
        <w:trPr>
          <w:trHeight w:val="144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6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12. Доля лиц с ограниченными возможностями здоровья и инвалидов от 6 до 18 лет, систематически занимающихся физической культурой и спортом, в общей численности этой категории населения</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67,5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91,5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98,5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Целевой индикатор исключен с 2022 года</w:t>
            </w:r>
            <w:r/>
          </w:p>
        </w:tc>
      </w:tr>
      <w:tr>
        <w:tblPrEx/>
        <w:trPr>
          <w:trHeight w:val="99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6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13. Эффективность использования существующих объектов спорта</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 </w:t>
            </w:r>
            <w:r/>
          </w:p>
        </w:tc>
      </w:tr>
      <w:tr>
        <w:tblPrEx/>
        <w:trPr>
          <w:trHeight w:val="124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6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14. Доля населения Новосибирской области, занятого в экономике, занимающегося физической культурой и спортом, в общей численности населения, занятого в экономике</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11,2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11,9</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13,9</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26,9</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Целевой индикатор исключен с 2019 года</w:t>
            </w:r>
            <w:r/>
          </w:p>
        </w:tc>
      </w:tr>
      <w:tr>
        <w:tblPrEx/>
        <w:trPr>
          <w:trHeight w:val="261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6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15. Доля жителей Новосибирской области, выполнивших нормативы</w:t>
            </w:r>
            <w:r>
              <w:rPr>
                <w:rFonts w:ascii="Times New Roman" w:hAnsi="Times New Roman" w:eastAsia="Times New Roman" w:cs="Times New Roman"/>
                <w:b w:val="0"/>
                <w:i w:val="0"/>
                <w:strike w:val="0"/>
                <w:color w:val="000000"/>
                <w:sz w:val="22"/>
                <w:u w:val="none"/>
                <w:vertAlign w:val="baseline"/>
              </w:rPr>
              <w:t xml:space="preserve"> Всероссийского физкультурно-спортивного комплекса «Готов к труду и обороне» (ГТО), в общей численности населения Новосибирской области, принявшего участие в сдаче нормативов Всероссийского физкультурно-спортивного комплекса «Готов к труду и обороне» (ГТО)</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Calibri" w:hAnsi="Calibri" w:eastAsia="Calibri" w:cs="Calibri"/>
                <w:b w:val="0"/>
                <w:i w:val="0"/>
                <w:strike w:val="0"/>
                <w:color w:val="000000"/>
                <w:sz w:val="22"/>
                <w:u w:val="none"/>
                <w:vertAlign w:val="baseline"/>
              </w:rPr>
              <w:t xml:space="preserve">58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Целевой индикатор вводится с 2017 года</w:t>
            </w:r>
            <w:r/>
          </w:p>
        </w:tc>
      </w:tr>
      <w:tr>
        <w:tblPrEx/>
        <w:trPr>
          <w:trHeight w:val="930"/>
        </w:trPr>
        <w:tc>
          <w:tcPr>
            <w:tcBorders>
              <w:top w:val="single" w:color="000000" w:sz="6" w:space="0"/>
              <w:left w:val="single" w:color="000000" w:sz="6" w:space="0"/>
              <w:bottom w:val="none" w:color="000000" w:sz="4" w:space="0"/>
              <w:right w:val="single" w:color="000000" w:sz="6" w:space="0"/>
            </w:tcBorders>
            <w:tcMar>
              <w:left w:w="0" w:type="dxa"/>
              <w:top w:w="0" w:type="dxa"/>
              <w:right w:w="0" w:type="dxa"/>
              <w:bottom w:w="0" w:type="dxa"/>
            </w:tcMar>
            <w:tcW w:w="2865" w:type="dxa"/>
            <w:vAlign w:val="center"/>
            <w:vMerge w:val="restart"/>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Задача 2. Развитие инфраструктуры физической культуры и спорта в Новосибирской области, в том числе для лиц с ограниченными возможностями здоровья и инвалидов</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16. Количество спортивных объектов, построенных/реконструированных/отремонтированных в рамках государственной программы</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ед.</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2/0/2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22/0/14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9/0/10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3/1/11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2/2/7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1/0/1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1/1/10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2/1/23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top"/>
            <w:textDirection w:val="lrTb"/>
            <w:noWrap w:val="false"/>
          </w:tcPr>
          <w:p>
            <w:pPr>
              <w:jc w:val="left"/>
            </w:pPr>
            <w:r>
              <w:rPr>
                <w:rFonts w:ascii="Calibri" w:hAnsi="Calibri" w:eastAsia="Calibri" w:cs="Calibri"/>
                <w:b w:val="0"/>
                <w:i w:val="0"/>
                <w:strike w:val="0"/>
                <w:color w:val="000000"/>
                <w:sz w:val="22"/>
                <w:u w:val="none"/>
                <w:vertAlign w:val="baseline"/>
              </w:rPr>
              <w:t xml:space="preserve"> </w:t>
            </w:r>
            <w:r/>
          </w:p>
        </w:tc>
      </w:tr>
      <w:tr>
        <w:tblPrEx/>
        <w:trPr>
          <w:trHeight w:val="1410"/>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286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17. Единовременная пропускная способность объектов спорта, введенных в эксплуатацию в рамках государственной программы (нарастающим итогом)</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чел.</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431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521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1180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1714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2450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3021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4505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5678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highlight w:val="none"/>
                <w:u w:val="none"/>
                <w:vertAlign w:val="baseline"/>
              </w:rPr>
              <w:t xml:space="preserve">6810</w:t>
            </w:r>
            <w:r>
              <w:rPr>
                <w:rFonts w:ascii="Times New Roman" w:hAnsi="Times New Roman" w:eastAsia="Times New Roman" w:cs="Times New Roman"/>
                <w:b w:val="0"/>
                <w:i w:val="0"/>
                <w:strike w:val="0"/>
                <w:color w:val="000000"/>
                <w:sz w:val="22"/>
                <w:highlight w:val="none"/>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top"/>
            <w:textDirection w:val="lrTb"/>
            <w:noWrap w:val="false"/>
          </w:tcPr>
          <w:p>
            <w:pPr>
              <w:jc w:val="left"/>
            </w:pPr>
            <w:r>
              <w:rPr>
                <w:rFonts w:ascii="Calibri" w:hAnsi="Calibri" w:eastAsia="Calibri" w:cs="Calibri"/>
                <w:b w:val="0"/>
                <w:i w:val="0"/>
                <w:strike w:val="0"/>
                <w:color w:val="000000"/>
                <w:sz w:val="22"/>
                <w:u w:val="none"/>
                <w:vertAlign w:val="baseline"/>
              </w:rPr>
              <w:t xml:space="preserve"> </w:t>
            </w:r>
            <w:r/>
          </w:p>
        </w:tc>
      </w:tr>
      <w:tr>
        <w:tblPrEx/>
        <w:trPr>
          <w:trHeight w:val="85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6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18. Количество спортивных региональных центров, введенных в эксплуатацию в рамках государственной программы (нарастающим итогом)</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ед.</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 </w:t>
            </w:r>
            <w:r/>
          </w:p>
        </w:tc>
      </w:tr>
      <w:tr>
        <w:tblPrEx/>
        <w:trPr>
          <w:trHeight w:val="855"/>
        </w:trPr>
        <w:tc>
          <w:tcPr>
            <w:tcBorders>
              <w:top w:val="single" w:color="000000" w:sz="6" w:space="0"/>
              <w:left w:val="single" w:color="000000" w:sz="6" w:space="0"/>
              <w:bottom w:val="none" w:color="000000" w:sz="4" w:space="0"/>
              <w:right w:val="single" w:color="000000" w:sz="6" w:space="0"/>
            </w:tcBorders>
            <w:tcMar>
              <w:left w:w="0" w:type="dxa"/>
              <w:top w:w="0" w:type="dxa"/>
              <w:right w:w="0" w:type="dxa"/>
              <w:bottom w:w="0" w:type="dxa"/>
            </w:tcMar>
            <w:tcW w:w="2865" w:type="dxa"/>
            <w:vAlign w:val="center"/>
            <w:vMerge w:val="restart"/>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Задача 3. Развитие спорта высших достижений и совершенствование системы подготовки спортивного резерва в Новосибирской области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19. Численность спортсменов Новосибирской области, включенных в составы спортивных сборных команд Российской Федерации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чел.</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311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310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310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340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340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355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450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455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650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Calibri" w:hAnsi="Calibri" w:eastAsia="Calibri" w:cs="Calibri"/>
                <w:b w:val="0"/>
                <w:i w:val="0"/>
                <w:strike w:val="0"/>
                <w:color w:val="000000"/>
                <w:sz w:val="22"/>
                <w:u w:val="none"/>
                <w:vertAlign w:val="baseline"/>
              </w:rPr>
              <w:t xml:space="preserve">670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 </w:t>
            </w:r>
            <w:r/>
          </w:p>
        </w:tc>
      </w:tr>
      <w:tr>
        <w:tblPrEx/>
        <w:trPr>
          <w:trHeight w:val="570"/>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286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20. Количество завоеванных медалей на международных и российских соревнованиях</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шт.</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1894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1500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1800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1900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1910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1920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1930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1940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2400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3700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 </w:t>
            </w:r>
            <w:r/>
          </w:p>
        </w:tc>
      </w:tr>
      <w:tr>
        <w:tblPrEx/>
        <w:trPr>
          <w:trHeight w:val="85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286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21. Количество квалифицированных тренеров и тренеров-преподавателей физкультурно-спортивных организаций, работающих по специальности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чел.</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1894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2000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2100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2200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2300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2470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2500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2600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 Целевой индикатор исключен с 2022 года</w:t>
            </w:r>
            <w:r/>
          </w:p>
        </w:tc>
      </w:tr>
      <w:tr>
        <w:tblPrEx/>
        <w:trPr>
          <w:trHeight w:val="1140"/>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286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22. Количество тренеров и тренеров-преподавателей в организациях, осуществляющих спортивную подготовку</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Calibri" w:hAnsi="Calibri" w:eastAsia="Calibri" w:cs="Calibri"/>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1033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1040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1720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Целевой индикатор вводится с 2022 года, на 2021 год приведено базовое значение</w:t>
            </w:r>
            <w:r/>
          </w:p>
        </w:tc>
      </w:tr>
      <w:tr>
        <w:tblPrEx/>
        <w:trPr>
          <w:trHeight w:val="142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286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23. Доля спортсменов-разрядников в общем количестве лиц, занимающихся в системе специализированных детско-юношеских спортивных школ олимпийского резерва и училищ олимпийского резерва</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53,9</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54,3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59,6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60,7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60,8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70,1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70,2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70,3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 </w:t>
            </w:r>
            <w:r/>
          </w:p>
        </w:tc>
      </w:tr>
      <w:tr>
        <w:tblPrEx/>
        <w:trPr>
          <w:trHeight w:val="199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286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24. Доля спортсменов-раз</w:t>
            </w:r>
            <w:r>
              <w:rPr>
                <w:rFonts w:ascii="Times New Roman" w:hAnsi="Times New Roman" w:eastAsia="Times New Roman" w:cs="Times New Roman"/>
                <w:b w:val="0"/>
                <w:i w:val="0"/>
                <w:strike w:val="0"/>
                <w:color w:val="000000"/>
                <w:sz w:val="22"/>
                <w:u w:val="none"/>
                <w:vertAlign w:val="baseline"/>
              </w:rPr>
              <w:t xml:space="preserve">рядников, имеющих разряды и звания (от I разряда до спортивного звания «Заслуженный мастер спорта»), в общем количестве спортсменов-разрядников в системе специализированных детско-юношеских спортивных школ олимпийского резерва и училищ олимпийского резерва</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22,3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22,4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22,6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28,8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29</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29,5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30,3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Целевой индикатор вводится с 2017 года, на 2016 год приведено базовое значение</w:t>
            </w:r>
            <w:r/>
          </w:p>
        </w:tc>
      </w:tr>
      <w:tr>
        <w:tblPrEx/>
        <w:trPr>
          <w:trHeight w:val="142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286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25. Производительность труда в сфере физической культуры и спорта, исходя из численности жителей Новосибирской области, систематически занимающихся физической культурой и спортом, в расчете на одного штатного работника</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чел./штатного работника</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117,2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120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123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129,6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132,6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137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146,8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178,8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Целевой индикатор исключен с 2022 года</w:t>
            </w:r>
            <w:r/>
          </w:p>
        </w:tc>
      </w:tr>
      <w:tr>
        <w:tblPrEx/>
        <w:trPr>
          <w:trHeight w:val="1710"/>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286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26. Количество выпускников образовательных организаций, завершивших обучение по образовательным программам среднего профессионального образования подготовки специалистов среднего звена по специальности «физическая культура»</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чел.</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149</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160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170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180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180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180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180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180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180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235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 </w:t>
            </w:r>
            <w:r/>
          </w:p>
        </w:tc>
      </w:tr>
      <w:tr>
        <w:tblPrEx/>
        <w:trPr>
          <w:trHeight w:val="199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286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27. Доля орган</w:t>
            </w:r>
            <w:r>
              <w:rPr>
                <w:rFonts w:ascii="Times New Roman" w:hAnsi="Times New Roman" w:eastAsia="Times New Roman" w:cs="Times New Roman"/>
                <w:b w:val="0"/>
                <w:i w:val="0"/>
                <w:strike w:val="0"/>
                <w:color w:val="000000"/>
                <w:sz w:val="22"/>
                <w:u w:val="none"/>
                <w:vertAlign w:val="baseline"/>
              </w:rPr>
              <w:t xml:space="preserve">изаций, оказывающих услуги по спортивной подготовке в соответствии с федеральными стандартами спортивной подготовки, в общем количестве организаций в сфере физической культуры и спорта, в том числе для лиц с ограниченными возможностями здоровья и инвалидов</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Целевой индикатор вводится с 2018 года, на 2017 год приведено базовое значение</w:t>
            </w:r>
            <w:r/>
          </w:p>
        </w:tc>
      </w:tr>
      <w:tr>
        <w:tblPrEx/>
        <w:trPr>
          <w:trHeight w:val="199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286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28. Доля занимающихся на этапе высшего спортивного мастерства в организациях, осуществляющих спортивную подготовку, в общем количестве занимающихся на этапе совершенствования спортивного мастерства в организациях, осуществляющих спортивную подготовку</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23,5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30,2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35,5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Целевой индикатор вводится с 2018 года, на 2017 год приведено базовое значение</w:t>
            </w:r>
            <w:r/>
          </w:p>
        </w:tc>
      </w:tr>
      <w:tr>
        <w:tblPrEx/>
        <w:trPr>
          <w:trHeight w:val="1710"/>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286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29. Доля лиц,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38,2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97,5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97,5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Целевой индикатор вводится с 2019 года, на 2018 год приведено базовое значение</w:t>
            </w:r>
            <w:r/>
          </w:p>
        </w:tc>
      </w:tr>
      <w:tr>
        <w:tblPrEx/>
        <w:trPr>
          <w:trHeight w:val="1710"/>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2865" w:type="dxa"/>
            <w:vAlign w:val="center"/>
            <w:vMerge w:val="continue"/>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30. Доля лиц, имеющих спортивные разряды и звания, занимающихся футболом в организациях, осуществляющих спортивную подготовку, в общей численности лиц, занимающихся в организациях, осуществляющих спортивную подготовку по виду спорта «футбол»</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21,2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22,2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23,3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38,7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Целевой индикатор исключен с 2022 года</w:t>
            </w:r>
            <w:r/>
          </w:p>
        </w:tc>
      </w:tr>
      <w:tr>
        <w:tblPrEx/>
        <w:trPr>
          <w:trHeight w:val="1425"/>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2865" w:type="dxa"/>
            <w:vAlign w:val="center"/>
            <w:textDirection w:val="lrTb"/>
            <w:noWrap w:val="false"/>
          </w:tcPr>
          <w:p>
            <w:pPr>
              <w:jc w:val="left"/>
            </w:pPr>
            <w:r>
              <w:rPr>
                <w:rFonts w:ascii="Calibri" w:hAnsi="Calibri" w:eastAsia="Calibri" w:cs="Calibri"/>
                <w:b w:val="0"/>
                <w:i w:val="0"/>
                <w:strike w:val="0"/>
                <w:color w:val="000000"/>
                <w:sz w:val="22"/>
                <w:u w:val="none"/>
                <w:vertAlign w:val="baseli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6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31. Доля организаций спортивной подготовки, использующих информационные системы для предоставления услуг гражданам в электронном виде, в общем числе организаций спортивной подготовки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9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Целевой индикатор вводится с 2023 года, на 2022 год приведено базовое значение</w:t>
            </w:r>
            <w:r/>
          </w:p>
        </w:tc>
      </w:tr>
    </w:tbl>
    <w:p>
      <w:pPr>
        <w:jc w:val="center"/>
        <w:rPr>
          <w:sz w:val="28"/>
          <w:szCs w:val="28"/>
        </w:rPr>
      </w:pPr>
      <w:r>
        <w:rPr>
          <w:sz w:val="28"/>
          <w:szCs w:val="28"/>
        </w:rPr>
        <w:t xml:space="preserve">_________</w:t>
      </w:r>
      <w:r>
        <w:rPr>
          <w:sz w:val="28"/>
          <w:szCs w:val="28"/>
        </w:rPr>
        <w:t xml:space="preserve">»</w:t>
      </w:r>
      <w:r>
        <w:rPr>
          <w:sz w:val="28"/>
          <w:szCs w:val="28"/>
        </w:rPr>
      </w:r>
      <w:r>
        <w:rPr>
          <w:sz w:val="28"/>
          <w:szCs w:val="28"/>
        </w:rPr>
      </w:r>
    </w:p>
    <w:sectPr>
      <w:headerReference w:type="default" r:id="rId9"/>
      <w:footnotePr/>
      <w:endnotePr/>
      <w:type w:val="nextPage"/>
      <w:pgSz w:w="16838" w:h="11906" w:orient="landscape"/>
      <w:pgMar w:top="1418" w:right="567" w:bottom="567" w:left="567" w:header="709" w:footer="318"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Batang">
    <w:panose1 w:val="02000506000000020000"/>
  </w:font>
  <w:font w:name="Wingdings">
    <w:panose1 w:val="05010000000000000000"/>
  </w:font>
  <w:font w:name="Courier New">
    <w:panose1 w:val="02070309020205020404"/>
  </w:font>
  <w:font w:name="Symbol">
    <w:panose1 w:val="05010000000000000000"/>
  </w:font>
  <w:font w:name="Tahoma">
    <w:panose1 w:val="020B060403050404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733121488"/>
      <w:docPartObj>
        <w:docPartGallery w:val="Page Numbers (Top of Page)"/>
        <w:docPartUnique w:val="true"/>
      </w:docPartObj>
      <w:rPr/>
    </w:sdtPr>
    <w:sdtContent>
      <w:p>
        <w:pPr>
          <w:pStyle w:val="871"/>
          <w:jc w:val="center"/>
          <w:rPr>
            <w:sz w:val="20"/>
            <w:szCs w:val="20"/>
          </w:rPr>
        </w:pPr>
        <w:r>
          <w:rPr>
            <w:sz w:val="20"/>
            <w:szCs w:val="20"/>
          </w:rPr>
          <w:fldChar w:fldCharType="begin"/>
        </w:r>
        <w:r>
          <w:rPr>
            <w:sz w:val="20"/>
            <w:szCs w:val="20"/>
          </w:rPr>
          <w:instrText xml:space="preserve">PAGE   \* MERGEFORMAT</w:instrText>
        </w:r>
        <w:r>
          <w:rPr>
            <w:sz w:val="20"/>
            <w:szCs w:val="20"/>
          </w:rPr>
          <w:fldChar w:fldCharType="separate"/>
        </w:r>
        <w:r>
          <w:rPr>
            <w:sz w:val="20"/>
            <w:szCs w:val="20"/>
          </w:rPr>
          <w:t xml:space="preserve">9</w:t>
        </w:r>
        <w:r>
          <w:rPr>
            <w:sz w:val="20"/>
            <w:szCs w:val="20"/>
          </w:rPr>
          <w:fldChar w:fldCharType="end"/>
        </w:r>
        <w:r>
          <w:rPr>
            <w:sz w:val="20"/>
            <w:szCs w:val="20"/>
          </w:rPr>
        </w:r>
        <w:r>
          <w:rPr>
            <w:sz w:val="20"/>
            <w:szCs w:val="20"/>
          </w:rP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9"/>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
    <w:multiLevelType w:val="hybridMultilevel"/>
    <w:lvl w:ilvl="0">
      <w:start w:val="9"/>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9"/>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82">
    <w:name w:val="Heading 1"/>
    <w:basedOn w:val="856"/>
    <w:next w:val="856"/>
    <w:link w:val="683"/>
    <w:uiPriority w:val="9"/>
    <w:qFormat/>
    <w:pPr>
      <w:keepLines/>
      <w:keepNext/>
      <w:spacing w:before="480" w:after="200"/>
      <w:outlineLvl w:val="0"/>
    </w:pPr>
    <w:rPr>
      <w:rFonts w:ascii="Arial" w:hAnsi="Arial" w:eastAsia="Arial" w:cs="Arial"/>
      <w:sz w:val="40"/>
      <w:szCs w:val="40"/>
    </w:rPr>
  </w:style>
  <w:style w:type="character" w:styleId="683">
    <w:name w:val="Heading 1 Char"/>
    <w:basedOn w:val="857"/>
    <w:link w:val="682"/>
    <w:uiPriority w:val="9"/>
    <w:rPr>
      <w:rFonts w:ascii="Arial" w:hAnsi="Arial" w:eastAsia="Arial" w:cs="Arial"/>
      <w:sz w:val="40"/>
      <w:szCs w:val="40"/>
    </w:rPr>
  </w:style>
  <w:style w:type="paragraph" w:styleId="684">
    <w:name w:val="Heading 2"/>
    <w:basedOn w:val="856"/>
    <w:next w:val="856"/>
    <w:link w:val="685"/>
    <w:uiPriority w:val="9"/>
    <w:unhideWhenUsed/>
    <w:qFormat/>
    <w:pPr>
      <w:keepLines/>
      <w:keepNext/>
      <w:spacing w:before="360" w:after="200"/>
      <w:outlineLvl w:val="1"/>
    </w:pPr>
    <w:rPr>
      <w:rFonts w:ascii="Arial" w:hAnsi="Arial" w:eastAsia="Arial" w:cs="Arial"/>
      <w:sz w:val="34"/>
    </w:rPr>
  </w:style>
  <w:style w:type="character" w:styleId="685">
    <w:name w:val="Heading 2 Char"/>
    <w:basedOn w:val="857"/>
    <w:link w:val="684"/>
    <w:uiPriority w:val="9"/>
    <w:rPr>
      <w:rFonts w:ascii="Arial" w:hAnsi="Arial" w:eastAsia="Arial" w:cs="Arial"/>
      <w:sz w:val="34"/>
    </w:rPr>
  </w:style>
  <w:style w:type="paragraph" w:styleId="686">
    <w:name w:val="Heading 3"/>
    <w:basedOn w:val="856"/>
    <w:next w:val="856"/>
    <w:link w:val="687"/>
    <w:uiPriority w:val="9"/>
    <w:unhideWhenUsed/>
    <w:qFormat/>
    <w:pPr>
      <w:keepLines/>
      <w:keepNext/>
      <w:spacing w:before="320" w:after="200"/>
      <w:outlineLvl w:val="2"/>
    </w:pPr>
    <w:rPr>
      <w:rFonts w:ascii="Arial" w:hAnsi="Arial" w:eastAsia="Arial" w:cs="Arial"/>
      <w:sz w:val="30"/>
      <w:szCs w:val="30"/>
    </w:rPr>
  </w:style>
  <w:style w:type="character" w:styleId="687">
    <w:name w:val="Heading 3 Char"/>
    <w:basedOn w:val="857"/>
    <w:link w:val="686"/>
    <w:uiPriority w:val="9"/>
    <w:rPr>
      <w:rFonts w:ascii="Arial" w:hAnsi="Arial" w:eastAsia="Arial" w:cs="Arial"/>
      <w:sz w:val="30"/>
      <w:szCs w:val="30"/>
    </w:rPr>
  </w:style>
  <w:style w:type="paragraph" w:styleId="688">
    <w:name w:val="Heading 4"/>
    <w:basedOn w:val="856"/>
    <w:next w:val="856"/>
    <w:link w:val="689"/>
    <w:uiPriority w:val="9"/>
    <w:unhideWhenUsed/>
    <w:qFormat/>
    <w:pPr>
      <w:keepLines/>
      <w:keepNext/>
      <w:spacing w:before="320" w:after="200"/>
      <w:outlineLvl w:val="3"/>
    </w:pPr>
    <w:rPr>
      <w:rFonts w:ascii="Arial" w:hAnsi="Arial" w:eastAsia="Arial" w:cs="Arial"/>
      <w:b/>
      <w:bCs/>
      <w:sz w:val="26"/>
      <w:szCs w:val="26"/>
    </w:rPr>
  </w:style>
  <w:style w:type="character" w:styleId="689">
    <w:name w:val="Heading 4 Char"/>
    <w:basedOn w:val="857"/>
    <w:link w:val="688"/>
    <w:uiPriority w:val="9"/>
    <w:rPr>
      <w:rFonts w:ascii="Arial" w:hAnsi="Arial" w:eastAsia="Arial" w:cs="Arial"/>
      <w:b/>
      <w:bCs/>
      <w:sz w:val="26"/>
      <w:szCs w:val="26"/>
    </w:rPr>
  </w:style>
  <w:style w:type="paragraph" w:styleId="690">
    <w:name w:val="Heading 5"/>
    <w:basedOn w:val="856"/>
    <w:next w:val="856"/>
    <w:link w:val="691"/>
    <w:uiPriority w:val="9"/>
    <w:unhideWhenUsed/>
    <w:qFormat/>
    <w:pPr>
      <w:keepLines/>
      <w:keepNext/>
      <w:spacing w:before="320" w:after="200"/>
      <w:outlineLvl w:val="4"/>
    </w:pPr>
    <w:rPr>
      <w:rFonts w:ascii="Arial" w:hAnsi="Arial" w:eastAsia="Arial" w:cs="Arial"/>
      <w:b/>
      <w:bCs/>
      <w:sz w:val="24"/>
      <w:szCs w:val="24"/>
    </w:rPr>
  </w:style>
  <w:style w:type="character" w:styleId="691">
    <w:name w:val="Heading 5 Char"/>
    <w:basedOn w:val="857"/>
    <w:link w:val="690"/>
    <w:uiPriority w:val="9"/>
    <w:rPr>
      <w:rFonts w:ascii="Arial" w:hAnsi="Arial" w:eastAsia="Arial" w:cs="Arial"/>
      <w:b/>
      <w:bCs/>
      <w:sz w:val="24"/>
      <w:szCs w:val="24"/>
    </w:rPr>
  </w:style>
  <w:style w:type="paragraph" w:styleId="692">
    <w:name w:val="Heading 6"/>
    <w:basedOn w:val="856"/>
    <w:next w:val="856"/>
    <w:link w:val="693"/>
    <w:uiPriority w:val="9"/>
    <w:unhideWhenUsed/>
    <w:qFormat/>
    <w:pPr>
      <w:keepLines/>
      <w:keepNext/>
      <w:spacing w:before="320" w:after="200"/>
      <w:outlineLvl w:val="5"/>
    </w:pPr>
    <w:rPr>
      <w:rFonts w:ascii="Arial" w:hAnsi="Arial" w:eastAsia="Arial" w:cs="Arial"/>
      <w:b/>
      <w:bCs/>
      <w:sz w:val="22"/>
      <w:szCs w:val="22"/>
    </w:rPr>
  </w:style>
  <w:style w:type="character" w:styleId="693">
    <w:name w:val="Heading 6 Char"/>
    <w:basedOn w:val="857"/>
    <w:link w:val="692"/>
    <w:uiPriority w:val="9"/>
    <w:rPr>
      <w:rFonts w:ascii="Arial" w:hAnsi="Arial" w:eastAsia="Arial" w:cs="Arial"/>
      <w:b/>
      <w:bCs/>
      <w:sz w:val="22"/>
      <w:szCs w:val="22"/>
    </w:rPr>
  </w:style>
  <w:style w:type="paragraph" w:styleId="694">
    <w:name w:val="Heading 7"/>
    <w:basedOn w:val="856"/>
    <w:next w:val="856"/>
    <w:link w:val="695"/>
    <w:uiPriority w:val="9"/>
    <w:unhideWhenUsed/>
    <w:qFormat/>
    <w:pPr>
      <w:keepLines/>
      <w:keepNext/>
      <w:spacing w:before="320" w:after="200"/>
      <w:outlineLvl w:val="6"/>
    </w:pPr>
    <w:rPr>
      <w:rFonts w:ascii="Arial" w:hAnsi="Arial" w:eastAsia="Arial" w:cs="Arial"/>
      <w:b/>
      <w:bCs/>
      <w:i/>
      <w:iCs/>
      <w:sz w:val="22"/>
      <w:szCs w:val="22"/>
    </w:rPr>
  </w:style>
  <w:style w:type="character" w:styleId="695">
    <w:name w:val="Heading 7 Char"/>
    <w:basedOn w:val="857"/>
    <w:link w:val="694"/>
    <w:uiPriority w:val="9"/>
    <w:rPr>
      <w:rFonts w:ascii="Arial" w:hAnsi="Arial" w:eastAsia="Arial" w:cs="Arial"/>
      <w:b/>
      <w:bCs/>
      <w:i/>
      <w:iCs/>
      <w:sz w:val="22"/>
      <w:szCs w:val="22"/>
    </w:rPr>
  </w:style>
  <w:style w:type="paragraph" w:styleId="696">
    <w:name w:val="Heading 8"/>
    <w:basedOn w:val="856"/>
    <w:next w:val="856"/>
    <w:link w:val="697"/>
    <w:uiPriority w:val="9"/>
    <w:unhideWhenUsed/>
    <w:qFormat/>
    <w:pPr>
      <w:keepLines/>
      <w:keepNext/>
      <w:spacing w:before="320" w:after="200"/>
      <w:outlineLvl w:val="7"/>
    </w:pPr>
    <w:rPr>
      <w:rFonts w:ascii="Arial" w:hAnsi="Arial" w:eastAsia="Arial" w:cs="Arial"/>
      <w:i/>
      <w:iCs/>
      <w:sz w:val="22"/>
      <w:szCs w:val="22"/>
    </w:rPr>
  </w:style>
  <w:style w:type="character" w:styleId="697">
    <w:name w:val="Heading 8 Char"/>
    <w:basedOn w:val="857"/>
    <w:link w:val="696"/>
    <w:uiPriority w:val="9"/>
    <w:rPr>
      <w:rFonts w:ascii="Arial" w:hAnsi="Arial" w:eastAsia="Arial" w:cs="Arial"/>
      <w:i/>
      <w:iCs/>
      <w:sz w:val="22"/>
      <w:szCs w:val="22"/>
    </w:rPr>
  </w:style>
  <w:style w:type="paragraph" w:styleId="698">
    <w:name w:val="Heading 9"/>
    <w:basedOn w:val="856"/>
    <w:next w:val="856"/>
    <w:link w:val="699"/>
    <w:uiPriority w:val="9"/>
    <w:unhideWhenUsed/>
    <w:qFormat/>
    <w:pPr>
      <w:keepLines/>
      <w:keepNext/>
      <w:spacing w:before="320" w:after="200"/>
      <w:outlineLvl w:val="8"/>
    </w:pPr>
    <w:rPr>
      <w:rFonts w:ascii="Arial" w:hAnsi="Arial" w:eastAsia="Arial" w:cs="Arial"/>
      <w:i/>
      <w:iCs/>
      <w:sz w:val="21"/>
      <w:szCs w:val="21"/>
    </w:rPr>
  </w:style>
  <w:style w:type="character" w:styleId="699">
    <w:name w:val="Heading 9 Char"/>
    <w:basedOn w:val="857"/>
    <w:link w:val="698"/>
    <w:uiPriority w:val="9"/>
    <w:rPr>
      <w:rFonts w:ascii="Arial" w:hAnsi="Arial" w:eastAsia="Arial" w:cs="Arial"/>
      <w:i/>
      <w:iCs/>
      <w:sz w:val="21"/>
      <w:szCs w:val="21"/>
    </w:rPr>
  </w:style>
  <w:style w:type="paragraph" w:styleId="700">
    <w:name w:val="No Spacing"/>
    <w:uiPriority w:val="1"/>
    <w:qFormat/>
    <w:pPr>
      <w:spacing w:before="0" w:after="0" w:line="240" w:lineRule="auto"/>
    </w:pPr>
  </w:style>
  <w:style w:type="paragraph" w:styleId="701">
    <w:name w:val="Title"/>
    <w:basedOn w:val="856"/>
    <w:next w:val="856"/>
    <w:link w:val="702"/>
    <w:uiPriority w:val="10"/>
    <w:qFormat/>
    <w:pPr>
      <w:contextualSpacing/>
      <w:spacing w:before="300" w:after="200"/>
    </w:pPr>
    <w:rPr>
      <w:sz w:val="48"/>
      <w:szCs w:val="48"/>
    </w:rPr>
  </w:style>
  <w:style w:type="character" w:styleId="702">
    <w:name w:val="Title Char"/>
    <w:basedOn w:val="857"/>
    <w:link w:val="701"/>
    <w:uiPriority w:val="10"/>
    <w:rPr>
      <w:sz w:val="48"/>
      <w:szCs w:val="48"/>
    </w:rPr>
  </w:style>
  <w:style w:type="paragraph" w:styleId="703">
    <w:name w:val="Subtitle"/>
    <w:basedOn w:val="856"/>
    <w:next w:val="856"/>
    <w:link w:val="704"/>
    <w:uiPriority w:val="11"/>
    <w:qFormat/>
    <w:pPr>
      <w:spacing w:before="200" w:after="200"/>
    </w:pPr>
    <w:rPr>
      <w:sz w:val="24"/>
      <w:szCs w:val="24"/>
    </w:rPr>
  </w:style>
  <w:style w:type="character" w:styleId="704">
    <w:name w:val="Subtitle Char"/>
    <w:basedOn w:val="857"/>
    <w:link w:val="703"/>
    <w:uiPriority w:val="11"/>
    <w:rPr>
      <w:sz w:val="24"/>
      <w:szCs w:val="24"/>
    </w:rPr>
  </w:style>
  <w:style w:type="paragraph" w:styleId="705">
    <w:name w:val="Quote"/>
    <w:basedOn w:val="856"/>
    <w:next w:val="856"/>
    <w:link w:val="706"/>
    <w:uiPriority w:val="29"/>
    <w:qFormat/>
    <w:pPr>
      <w:ind w:left="720" w:right="720"/>
    </w:pPr>
    <w:rPr>
      <w:i/>
    </w:rPr>
  </w:style>
  <w:style w:type="character" w:styleId="706">
    <w:name w:val="Quote Char"/>
    <w:link w:val="705"/>
    <w:uiPriority w:val="29"/>
    <w:rPr>
      <w:i/>
    </w:rPr>
  </w:style>
  <w:style w:type="paragraph" w:styleId="707">
    <w:name w:val="Intense Quote"/>
    <w:basedOn w:val="856"/>
    <w:next w:val="856"/>
    <w:link w:val="70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08">
    <w:name w:val="Intense Quote Char"/>
    <w:link w:val="707"/>
    <w:uiPriority w:val="30"/>
    <w:rPr>
      <w:i/>
    </w:rPr>
  </w:style>
  <w:style w:type="character" w:styleId="709">
    <w:name w:val="Header Char"/>
    <w:basedOn w:val="857"/>
    <w:link w:val="871"/>
    <w:uiPriority w:val="99"/>
  </w:style>
  <w:style w:type="character" w:styleId="710">
    <w:name w:val="Footer Char"/>
    <w:basedOn w:val="857"/>
    <w:link w:val="873"/>
    <w:uiPriority w:val="99"/>
  </w:style>
  <w:style w:type="paragraph" w:styleId="711">
    <w:name w:val="Caption"/>
    <w:basedOn w:val="856"/>
    <w:next w:val="856"/>
    <w:uiPriority w:val="35"/>
    <w:semiHidden/>
    <w:unhideWhenUsed/>
    <w:qFormat/>
    <w:pPr>
      <w:spacing w:line="276" w:lineRule="auto"/>
    </w:pPr>
    <w:rPr>
      <w:b/>
      <w:bCs/>
      <w:color w:val="4f81bd" w:themeColor="accent1"/>
      <w:sz w:val="18"/>
      <w:szCs w:val="18"/>
    </w:rPr>
  </w:style>
  <w:style w:type="character" w:styleId="712">
    <w:name w:val="Caption Char"/>
    <w:basedOn w:val="711"/>
    <w:link w:val="873"/>
    <w:uiPriority w:val="99"/>
  </w:style>
  <w:style w:type="table" w:styleId="713">
    <w:name w:val="Table Grid Light"/>
    <w:basedOn w:val="85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14">
    <w:name w:val="Plain Table 1"/>
    <w:basedOn w:val="85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15">
    <w:name w:val="Plain Table 2"/>
    <w:basedOn w:val="85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16">
    <w:name w:val="Plain Table 3"/>
    <w:basedOn w:val="85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17">
    <w:name w:val="Plain Table 4"/>
    <w:basedOn w:val="85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18">
    <w:name w:val="Plain Table 5"/>
    <w:basedOn w:val="85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19">
    <w:name w:val="Grid Table 1 Light"/>
    <w:basedOn w:val="85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20">
    <w:name w:val="Grid Table 1 Light - Accent 1"/>
    <w:basedOn w:val="85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21">
    <w:name w:val="Grid Table 1 Light - Accent 2"/>
    <w:basedOn w:val="85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22">
    <w:name w:val="Grid Table 1 Light - Accent 3"/>
    <w:basedOn w:val="85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23">
    <w:name w:val="Grid Table 1 Light - Accent 4"/>
    <w:basedOn w:val="85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24">
    <w:name w:val="Grid Table 1 Light - Accent 5"/>
    <w:basedOn w:val="85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25">
    <w:name w:val="Grid Table 1 Light - Accent 6"/>
    <w:basedOn w:val="85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26">
    <w:name w:val="Grid Table 2"/>
    <w:basedOn w:val="85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27">
    <w:name w:val="Grid Table 2 - Accent 1"/>
    <w:basedOn w:val="85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28">
    <w:name w:val="Grid Table 2 - Accent 2"/>
    <w:basedOn w:val="85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29">
    <w:name w:val="Grid Table 2 - Accent 3"/>
    <w:basedOn w:val="85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30">
    <w:name w:val="Grid Table 2 - Accent 4"/>
    <w:basedOn w:val="85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31">
    <w:name w:val="Grid Table 2 - Accent 5"/>
    <w:basedOn w:val="85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32">
    <w:name w:val="Grid Table 2 - Accent 6"/>
    <w:basedOn w:val="85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33">
    <w:name w:val="Grid Table 3"/>
    <w:basedOn w:val="85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4">
    <w:name w:val="Grid Table 3 - Accent 1"/>
    <w:basedOn w:val="85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5">
    <w:name w:val="Grid Table 3 - Accent 2"/>
    <w:basedOn w:val="85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6">
    <w:name w:val="Grid Table 3 - Accent 3"/>
    <w:basedOn w:val="85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7">
    <w:name w:val="Grid Table 3 - Accent 4"/>
    <w:basedOn w:val="85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8">
    <w:name w:val="Grid Table 3 - Accent 5"/>
    <w:basedOn w:val="85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9">
    <w:name w:val="Grid Table 3 - Accent 6"/>
    <w:basedOn w:val="85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0">
    <w:name w:val="Grid Table 4"/>
    <w:basedOn w:val="85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41">
    <w:name w:val="Grid Table 4 - Accent 1"/>
    <w:basedOn w:val="85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42">
    <w:name w:val="Grid Table 4 - Accent 2"/>
    <w:basedOn w:val="85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43">
    <w:name w:val="Grid Table 4 - Accent 3"/>
    <w:basedOn w:val="85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44">
    <w:name w:val="Grid Table 4 - Accent 4"/>
    <w:basedOn w:val="85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45">
    <w:name w:val="Grid Table 4 - Accent 5"/>
    <w:basedOn w:val="85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46">
    <w:name w:val="Grid Table 4 - Accent 6"/>
    <w:basedOn w:val="85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47">
    <w:name w:val="Grid Table 5 Dark"/>
    <w:basedOn w:val="8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48">
    <w:name w:val="Grid Table 5 Dark- Accent 1"/>
    <w:basedOn w:val="8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49">
    <w:name w:val="Grid Table 5 Dark - Accent 2"/>
    <w:basedOn w:val="8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50">
    <w:name w:val="Grid Table 5 Dark - Accent 3"/>
    <w:basedOn w:val="8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51">
    <w:name w:val="Grid Table 5 Dark- Accent 4"/>
    <w:basedOn w:val="8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52">
    <w:name w:val="Grid Table 5 Dark - Accent 5"/>
    <w:basedOn w:val="8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53">
    <w:name w:val="Grid Table 5 Dark - Accent 6"/>
    <w:basedOn w:val="8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54">
    <w:name w:val="Grid Table 6 Colorful"/>
    <w:basedOn w:val="85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55">
    <w:name w:val="Grid Table 6 Colorful - Accent 1"/>
    <w:basedOn w:val="85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56">
    <w:name w:val="Grid Table 6 Colorful - Accent 2"/>
    <w:basedOn w:val="85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57">
    <w:name w:val="Grid Table 6 Colorful - Accent 3"/>
    <w:basedOn w:val="85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58">
    <w:name w:val="Grid Table 6 Colorful - Accent 4"/>
    <w:basedOn w:val="85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59">
    <w:name w:val="Grid Table 6 Colorful - Accent 5"/>
    <w:basedOn w:val="85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60">
    <w:name w:val="Grid Table 6 Colorful - Accent 6"/>
    <w:basedOn w:val="85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61">
    <w:name w:val="Grid Table 7 Colorful"/>
    <w:basedOn w:val="85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62">
    <w:name w:val="Grid Table 7 Colorful - Accent 1"/>
    <w:basedOn w:val="85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63">
    <w:name w:val="Grid Table 7 Colorful - Accent 2"/>
    <w:basedOn w:val="85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64">
    <w:name w:val="Grid Table 7 Colorful - Accent 3"/>
    <w:basedOn w:val="85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65">
    <w:name w:val="Grid Table 7 Colorful - Accent 4"/>
    <w:basedOn w:val="85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66">
    <w:name w:val="Grid Table 7 Colorful - Accent 5"/>
    <w:basedOn w:val="85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67">
    <w:name w:val="Grid Table 7 Colorful - Accent 6"/>
    <w:basedOn w:val="85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68">
    <w:name w:val="List Table 1 Light"/>
    <w:basedOn w:val="85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9">
    <w:name w:val="List Table 1 Light - Accent 1"/>
    <w:basedOn w:val="858"/>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70">
    <w:name w:val="List Table 1 Light - Accent 2"/>
    <w:basedOn w:val="858"/>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71">
    <w:name w:val="List Table 1 Light - Accent 3"/>
    <w:basedOn w:val="858"/>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72">
    <w:name w:val="List Table 1 Light - Accent 4"/>
    <w:basedOn w:val="858"/>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73">
    <w:name w:val="List Table 1 Light - Accent 5"/>
    <w:basedOn w:val="858"/>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74">
    <w:name w:val="List Table 1 Light - Accent 6"/>
    <w:basedOn w:val="858"/>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75">
    <w:name w:val="List Table 2"/>
    <w:basedOn w:val="85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76">
    <w:name w:val="List Table 2 - Accent 1"/>
    <w:basedOn w:val="85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77">
    <w:name w:val="List Table 2 - Accent 2"/>
    <w:basedOn w:val="85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78">
    <w:name w:val="List Table 2 - Accent 3"/>
    <w:basedOn w:val="85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9">
    <w:name w:val="List Table 2 - Accent 4"/>
    <w:basedOn w:val="85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80">
    <w:name w:val="List Table 2 - Accent 5"/>
    <w:basedOn w:val="85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81">
    <w:name w:val="List Table 2 - Accent 6"/>
    <w:basedOn w:val="85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82">
    <w:name w:val="List Table 3"/>
    <w:basedOn w:val="85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3">
    <w:name w:val="List Table 3 - Accent 1"/>
    <w:basedOn w:val="85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4">
    <w:name w:val="List Table 3 - Accent 2"/>
    <w:basedOn w:val="85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85">
    <w:name w:val="List Table 3 - Accent 3"/>
    <w:basedOn w:val="85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86">
    <w:name w:val="List Table 3 - Accent 4"/>
    <w:basedOn w:val="85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87">
    <w:name w:val="List Table 3 - Accent 5"/>
    <w:basedOn w:val="85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88">
    <w:name w:val="List Table 3 - Accent 6"/>
    <w:basedOn w:val="85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89">
    <w:name w:val="List Table 4"/>
    <w:basedOn w:val="85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0">
    <w:name w:val="List Table 4 - Accent 1"/>
    <w:basedOn w:val="85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1">
    <w:name w:val="List Table 4 - Accent 2"/>
    <w:basedOn w:val="85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92">
    <w:name w:val="List Table 4 - Accent 3"/>
    <w:basedOn w:val="85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93">
    <w:name w:val="List Table 4 - Accent 4"/>
    <w:basedOn w:val="85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94">
    <w:name w:val="List Table 4 - Accent 5"/>
    <w:basedOn w:val="85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95">
    <w:name w:val="List Table 4 - Accent 6"/>
    <w:basedOn w:val="85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96">
    <w:name w:val="List Table 5 Dark"/>
    <w:basedOn w:val="85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7">
    <w:name w:val="List Table 5 Dark - Accent 1"/>
    <w:basedOn w:val="85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8">
    <w:name w:val="List Table 5 Dark - Accent 2"/>
    <w:basedOn w:val="85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9">
    <w:name w:val="List Table 5 Dark - Accent 3"/>
    <w:basedOn w:val="85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0">
    <w:name w:val="List Table 5 Dark - Accent 4"/>
    <w:basedOn w:val="85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1">
    <w:name w:val="List Table 5 Dark - Accent 5"/>
    <w:basedOn w:val="85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2">
    <w:name w:val="List Table 5 Dark - Accent 6"/>
    <w:basedOn w:val="85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3">
    <w:name w:val="List Table 6 Colorful"/>
    <w:basedOn w:val="85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04">
    <w:name w:val="List Table 6 Colorful - Accent 1"/>
    <w:basedOn w:val="85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05">
    <w:name w:val="List Table 6 Colorful - Accent 2"/>
    <w:basedOn w:val="85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06">
    <w:name w:val="List Table 6 Colorful - Accent 3"/>
    <w:basedOn w:val="85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07">
    <w:name w:val="List Table 6 Colorful - Accent 4"/>
    <w:basedOn w:val="85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08">
    <w:name w:val="List Table 6 Colorful - Accent 5"/>
    <w:basedOn w:val="85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09">
    <w:name w:val="List Table 6 Colorful - Accent 6"/>
    <w:basedOn w:val="85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10">
    <w:name w:val="List Table 7 Colorful"/>
    <w:basedOn w:val="85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11">
    <w:name w:val="List Table 7 Colorful - Accent 1"/>
    <w:basedOn w:val="85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12">
    <w:name w:val="List Table 7 Colorful - Accent 2"/>
    <w:basedOn w:val="85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13">
    <w:name w:val="List Table 7 Colorful - Accent 3"/>
    <w:basedOn w:val="85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14">
    <w:name w:val="List Table 7 Colorful - Accent 4"/>
    <w:basedOn w:val="85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15">
    <w:name w:val="List Table 7 Colorful - Accent 5"/>
    <w:basedOn w:val="85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16">
    <w:name w:val="List Table 7 Colorful - Accent 6"/>
    <w:basedOn w:val="85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17">
    <w:name w:val="Lined - Accent"/>
    <w:basedOn w:val="8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8">
    <w:name w:val="Lined - Accent 1"/>
    <w:basedOn w:val="8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9">
    <w:name w:val="Lined - Accent 2"/>
    <w:basedOn w:val="8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20">
    <w:name w:val="Lined - Accent 3"/>
    <w:basedOn w:val="8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21">
    <w:name w:val="Lined - Accent 4"/>
    <w:basedOn w:val="8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2">
    <w:name w:val="Lined - Accent 5"/>
    <w:basedOn w:val="8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3">
    <w:name w:val="Lined - Accent 6"/>
    <w:basedOn w:val="8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4">
    <w:name w:val="Bordered &amp; Lined - Accent"/>
    <w:basedOn w:val="85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5">
    <w:name w:val="Bordered &amp; Lined - Accent 1"/>
    <w:basedOn w:val="85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26">
    <w:name w:val="Bordered &amp; Lined - Accent 2"/>
    <w:basedOn w:val="85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27">
    <w:name w:val="Bordered &amp; Lined - Accent 3"/>
    <w:basedOn w:val="85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28">
    <w:name w:val="Bordered &amp; Lined - Accent 4"/>
    <w:basedOn w:val="85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9">
    <w:name w:val="Bordered &amp; Lined - Accent 5"/>
    <w:basedOn w:val="85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30">
    <w:name w:val="Bordered &amp; Lined - Accent 6"/>
    <w:basedOn w:val="85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31">
    <w:name w:val="Bordered"/>
    <w:basedOn w:val="85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32">
    <w:name w:val="Bordered - Accent 1"/>
    <w:basedOn w:val="85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33">
    <w:name w:val="Bordered - Accent 2"/>
    <w:basedOn w:val="85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34">
    <w:name w:val="Bordered - Accent 3"/>
    <w:basedOn w:val="85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35">
    <w:name w:val="Bordered - Accent 4"/>
    <w:basedOn w:val="85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36">
    <w:name w:val="Bordered - Accent 5"/>
    <w:basedOn w:val="85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37">
    <w:name w:val="Bordered - Accent 6"/>
    <w:basedOn w:val="85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38">
    <w:name w:val="Hyperlink"/>
    <w:uiPriority w:val="99"/>
    <w:unhideWhenUsed/>
    <w:rPr>
      <w:color w:val="0000ff" w:themeColor="hyperlink"/>
      <w:u w:val="single"/>
    </w:rPr>
  </w:style>
  <w:style w:type="paragraph" w:styleId="839">
    <w:name w:val="footnote text"/>
    <w:basedOn w:val="856"/>
    <w:link w:val="840"/>
    <w:uiPriority w:val="99"/>
    <w:semiHidden/>
    <w:unhideWhenUsed/>
    <w:pPr>
      <w:spacing w:after="40" w:line="240" w:lineRule="auto"/>
    </w:pPr>
    <w:rPr>
      <w:sz w:val="18"/>
    </w:rPr>
  </w:style>
  <w:style w:type="character" w:styleId="840">
    <w:name w:val="Footnote Text Char"/>
    <w:link w:val="839"/>
    <w:uiPriority w:val="99"/>
    <w:rPr>
      <w:sz w:val="18"/>
    </w:rPr>
  </w:style>
  <w:style w:type="character" w:styleId="841">
    <w:name w:val="footnote reference"/>
    <w:basedOn w:val="857"/>
    <w:uiPriority w:val="99"/>
    <w:unhideWhenUsed/>
    <w:rPr>
      <w:vertAlign w:val="superscript"/>
    </w:rPr>
  </w:style>
  <w:style w:type="paragraph" w:styleId="842">
    <w:name w:val="endnote text"/>
    <w:basedOn w:val="856"/>
    <w:link w:val="843"/>
    <w:uiPriority w:val="99"/>
    <w:semiHidden/>
    <w:unhideWhenUsed/>
    <w:pPr>
      <w:spacing w:after="0" w:line="240" w:lineRule="auto"/>
    </w:pPr>
    <w:rPr>
      <w:sz w:val="20"/>
    </w:rPr>
  </w:style>
  <w:style w:type="character" w:styleId="843">
    <w:name w:val="Endnote Text Char"/>
    <w:link w:val="842"/>
    <w:uiPriority w:val="99"/>
    <w:rPr>
      <w:sz w:val="20"/>
    </w:rPr>
  </w:style>
  <w:style w:type="character" w:styleId="844">
    <w:name w:val="endnote reference"/>
    <w:basedOn w:val="857"/>
    <w:uiPriority w:val="99"/>
    <w:semiHidden/>
    <w:unhideWhenUsed/>
    <w:rPr>
      <w:vertAlign w:val="superscript"/>
    </w:rPr>
  </w:style>
  <w:style w:type="paragraph" w:styleId="845">
    <w:name w:val="toc 1"/>
    <w:basedOn w:val="856"/>
    <w:next w:val="856"/>
    <w:uiPriority w:val="39"/>
    <w:unhideWhenUsed/>
    <w:pPr>
      <w:ind w:left="0" w:right="0" w:firstLine="0"/>
      <w:spacing w:after="57"/>
    </w:pPr>
  </w:style>
  <w:style w:type="paragraph" w:styleId="846">
    <w:name w:val="toc 2"/>
    <w:basedOn w:val="856"/>
    <w:next w:val="856"/>
    <w:uiPriority w:val="39"/>
    <w:unhideWhenUsed/>
    <w:pPr>
      <w:ind w:left="283" w:right="0" w:firstLine="0"/>
      <w:spacing w:after="57"/>
    </w:pPr>
  </w:style>
  <w:style w:type="paragraph" w:styleId="847">
    <w:name w:val="toc 3"/>
    <w:basedOn w:val="856"/>
    <w:next w:val="856"/>
    <w:uiPriority w:val="39"/>
    <w:unhideWhenUsed/>
    <w:pPr>
      <w:ind w:left="567" w:right="0" w:firstLine="0"/>
      <w:spacing w:after="57"/>
    </w:pPr>
  </w:style>
  <w:style w:type="paragraph" w:styleId="848">
    <w:name w:val="toc 4"/>
    <w:basedOn w:val="856"/>
    <w:next w:val="856"/>
    <w:uiPriority w:val="39"/>
    <w:unhideWhenUsed/>
    <w:pPr>
      <w:ind w:left="850" w:right="0" w:firstLine="0"/>
      <w:spacing w:after="57"/>
    </w:pPr>
  </w:style>
  <w:style w:type="paragraph" w:styleId="849">
    <w:name w:val="toc 5"/>
    <w:basedOn w:val="856"/>
    <w:next w:val="856"/>
    <w:uiPriority w:val="39"/>
    <w:unhideWhenUsed/>
    <w:pPr>
      <w:ind w:left="1134" w:right="0" w:firstLine="0"/>
      <w:spacing w:after="57"/>
    </w:pPr>
  </w:style>
  <w:style w:type="paragraph" w:styleId="850">
    <w:name w:val="toc 6"/>
    <w:basedOn w:val="856"/>
    <w:next w:val="856"/>
    <w:uiPriority w:val="39"/>
    <w:unhideWhenUsed/>
    <w:pPr>
      <w:ind w:left="1417" w:right="0" w:firstLine="0"/>
      <w:spacing w:after="57"/>
    </w:pPr>
  </w:style>
  <w:style w:type="paragraph" w:styleId="851">
    <w:name w:val="toc 7"/>
    <w:basedOn w:val="856"/>
    <w:next w:val="856"/>
    <w:uiPriority w:val="39"/>
    <w:unhideWhenUsed/>
    <w:pPr>
      <w:ind w:left="1701" w:right="0" w:firstLine="0"/>
      <w:spacing w:after="57"/>
    </w:pPr>
  </w:style>
  <w:style w:type="paragraph" w:styleId="852">
    <w:name w:val="toc 8"/>
    <w:basedOn w:val="856"/>
    <w:next w:val="856"/>
    <w:uiPriority w:val="39"/>
    <w:unhideWhenUsed/>
    <w:pPr>
      <w:ind w:left="1984" w:right="0" w:firstLine="0"/>
      <w:spacing w:after="57"/>
    </w:pPr>
  </w:style>
  <w:style w:type="paragraph" w:styleId="853">
    <w:name w:val="toc 9"/>
    <w:basedOn w:val="856"/>
    <w:next w:val="856"/>
    <w:uiPriority w:val="39"/>
    <w:unhideWhenUsed/>
    <w:pPr>
      <w:ind w:left="2268" w:right="0" w:firstLine="0"/>
      <w:spacing w:after="57"/>
    </w:pPr>
  </w:style>
  <w:style w:type="paragraph" w:styleId="854">
    <w:name w:val="TOC Heading"/>
    <w:uiPriority w:val="39"/>
    <w:unhideWhenUsed/>
  </w:style>
  <w:style w:type="paragraph" w:styleId="855">
    <w:name w:val="table of figures"/>
    <w:basedOn w:val="856"/>
    <w:next w:val="856"/>
    <w:uiPriority w:val="99"/>
    <w:unhideWhenUsed/>
    <w:pPr>
      <w:spacing w:after="0" w:afterAutospacing="0"/>
    </w:pPr>
  </w:style>
  <w:style w:type="paragraph" w:styleId="856" w:default="1">
    <w:name w:val="Normal"/>
    <w:qFormat/>
    <w:pPr>
      <w:spacing w:after="0" w:line="240" w:lineRule="auto"/>
    </w:pPr>
    <w:rPr>
      <w:rFonts w:ascii="Times New Roman" w:hAnsi="Times New Roman" w:eastAsia="Times New Roman" w:cs="Times New Roman"/>
      <w:sz w:val="24"/>
      <w:szCs w:val="24"/>
      <w:lang w:eastAsia="ru-RU"/>
    </w:rPr>
  </w:style>
  <w:style w:type="character" w:styleId="857" w:default="1">
    <w:name w:val="Default Paragraph Font"/>
    <w:uiPriority w:val="1"/>
    <w:semiHidden/>
    <w:unhideWhenUsed/>
  </w:style>
  <w:style w:type="table" w:styleId="858" w:default="1">
    <w:name w:val="Normal Table"/>
    <w:uiPriority w:val="99"/>
    <w:semiHidden/>
    <w:unhideWhenUsed/>
    <w:tblPr>
      <w:tblInd w:w="0" w:type="dxa"/>
      <w:tblCellMar>
        <w:left w:w="108" w:type="dxa"/>
        <w:top w:w="0" w:type="dxa"/>
        <w:right w:w="108" w:type="dxa"/>
        <w:bottom w:w="0" w:type="dxa"/>
      </w:tblCellMar>
    </w:tblPr>
  </w:style>
  <w:style w:type="numbering" w:styleId="859" w:default="1">
    <w:name w:val="No List"/>
    <w:uiPriority w:val="99"/>
    <w:semiHidden/>
    <w:unhideWhenUsed/>
  </w:style>
  <w:style w:type="paragraph" w:styleId="860" w:customStyle="1">
    <w:name w:val="ConsPlusNormal"/>
    <w:pPr>
      <w:spacing w:after="0" w:line="240" w:lineRule="auto"/>
      <w:widowControl w:val="off"/>
    </w:pPr>
    <w:rPr>
      <w:rFonts w:ascii="Arial" w:hAnsi="Arial" w:eastAsia="Times New Roman" w:cs="Arial"/>
      <w:sz w:val="20"/>
      <w:szCs w:val="20"/>
      <w:lang w:eastAsia="ru-RU"/>
    </w:rPr>
  </w:style>
  <w:style w:type="paragraph" w:styleId="861" w:customStyle="1">
    <w:name w:val="ConsPlusCell"/>
    <w:uiPriority w:val="99"/>
    <w:pPr>
      <w:spacing w:after="0" w:line="240" w:lineRule="auto"/>
      <w:widowControl w:val="off"/>
    </w:pPr>
    <w:rPr>
      <w:rFonts w:ascii="Arial" w:hAnsi="Arial" w:eastAsia="Times New Roman" w:cs="Arial"/>
      <w:sz w:val="20"/>
      <w:szCs w:val="20"/>
      <w:lang w:eastAsia="ru-RU"/>
    </w:rPr>
  </w:style>
  <w:style w:type="table" w:styleId="862">
    <w:name w:val="Table Grid"/>
    <w:basedOn w:val="85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63" w:customStyle="1">
    <w:name w:val="Знак Знак2 Char Char Знак Знак Char Char Знак Знак Char Char Знак Знак Char Char Знак Знак Char Char Знак Знак Char Char Знак Знак Char Char Знак Знак Char Char"/>
    <w:basedOn w:val="856"/>
    <w:pPr>
      <w:spacing w:before="100" w:beforeAutospacing="1" w:after="100" w:afterAutospacing="1"/>
    </w:pPr>
    <w:rPr>
      <w:rFonts w:ascii="Tahoma" w:hAnsi="Tahoma" w:cs="Tahoma"/>
      <w:sz w:val="20"/>
      <w:szCs w:val="20"/>
      <w:lang w:val="en-US" w:eastAsia="en-US"/>
    </w:rPr>
  </w:style>
  <w:style w:type="character" w:styleId="864">
    <w:name w:val="annotation reference"/>
    <w:basedOn w:val="857"/>
    <w:uiPriority w:val="99"/>
    <w:semiHidden/>
    <w:unhideWhenUsed/>
    <w:rPr>
      <w:sz w:val="16"/>
      <w:szCs w:val="16"/>
    </w:rPr>
  </w:style>
  <w:style w:type="paragraph" w:styleId="865">
    <w:name w:val="annotation text"/>
    <w:basedOn w:val="856"/>
    <w:link w:val="866"/>
    <w:uiPriority w:val="99"/>
    <w:semiHidden/>
    <w:unhideWhenUsed/>
    <w:rPr>
      <w:sz w:val="20"/>
      <w:szCs w:val="20"/>
    </w:rPr>
  </w:style>
  <w:style w:type="character" w:styleId="866" w:customStyle="1">
    <w:name w:val="Текст примечания Знак"/>
    <w:basedOn w:val="857"/>
    <w:link w:val="865"/>
    <w:uiPriority w:val="99"/>
    <w:semiHidden/>
    <w:rPr>
      <w:rFonts w:ascii="Times New Roman" w:hAnsi="Times New Roman" w:eastAsia="Times New Roman" w:cs="Times New Roman"/>
      <w:sz w:val="20"/>
      <w:szCs w:val="20"/>
      <w:lang w:eastAsia="ru-RU"/>
    </w:rPr>
  </w:style>
  <w:style w:type="paragraph" w:styleId="867">
    <w:name w:val="annotation subject"/>
    <w:basedOn w:val="865"/>
    <w:next w:val="865"/>
    <w:link w:val="868"/>
    <w:uiPriority w:val="99"/>
    <w:semiHidden/>
    <w:unhideWhenUsed/>
    <w:rPr>
      <w:b/>
      <w:bCs/>
    </w:rPr>
  </w:style>
  <w:style w:type="character" w:styleId="868" w:customStyle="1">
    <w:name w:val="Тема примечания Знак"/>
    <w:basedOn w:val="866"/>
    <w:link w:val="867"/>
    <w:uiPriority w:val="99"/>
    <w:semiHidden/>
    <w:rPr>
      <w:rFonts w:ascii="Times New Roman" w:hAnsi="Times New Roman" w:eastAsia="Times New Roman" w:cs="Times New Roman"/>
      <w:b/>
      <w:bCs/>
      <w:sz w:val="20"/>
      <w:szCs w:val="20"/>
      <w:lang w:eastAsia="ru-RU"/>
    </w:rPr>
  </w:style>
  <w:style w:type="paragraph" w:styleId="869">
    <w:name w:val="Balloon Text"/>
    <w:basedOn w:val="856"/>
    <w:link w:val="870"/>
    <w:uiPriority w:val="99"/>
    <w:semiHidden/>
    <w:unhideWhenUsed/>
    <w:rPr>
      <w:rFonts w:ascii="Tahoma" w:hAnsi="Tahoma" w:cs="Tahoma"/>
      <w:sz w:val="16"/>
      <w:szCs w:val="16"/>
    </w:rPr>
  </w:style>
  <w:style w:type="character" w:styleId="870" w:customStyle="1">
    <w:name w:val="Текст выноски Знак"/>
    <w:basedOn w:val="857"/>
    <w:link w:val="869"/>
    <w:uiPriority w:val="99"/>
    <w:semiHidden/>
    <w:rPr>
      <w:rFonts w:ascii="Tahoma" w:hAnsi="Tahoma" w:eastAsia="Times New Roman" w:cs="Tahoma"/>
      <w:sz w:val="16"/>
      <w:szCs w:val="16"/>
      <w:lang w:eastAsia="ru-RU"/>
    </w:rPr>
  </w:style>
  <w:style w:type="paragraph" w:styleId="871">
    <w:name w:val="Header"/>
    <w:basedOn w:val="856"/>
    <w:link w:val="872"/>
    <w:uiPriority w:val="99"/>
    <w:unhideWhenUsed/>
    <w:pPr>
      <w:tabs>
        <w:tab w:val="center" w:pos="4677" w:leader="none"/>
        <w:tab w:val="right" w:pos="9355" w:leader="none"/>
      </w:tabs>
    </w:pPr>
  </w:style>
  <w:style w:type="character" w:styleId="872" w:customStyle="1">
    <w:name w:val="Верхний колонтитул Знак"/>
    <w:basedOn w:val="857"/>
    <w:link w:val="871"/>
    <w:uiPriority w:val="99"/>
    <w:rPr>
      <w:rFonts w:ascii="Times New Roman" w:hAnsi="Times New Roman" w:eastAsia="Times New Roman" w:cs="Times New Roman"/>
      <w:sz w:val="24"/>
      <w:szCs w:val="24"/>
      <w:lang w:eastAsia="ru-RU"/>
    </w:rPr>
  </w:style>
  <w:style w:type="paragraph" w:styleId="873">
    <w:name w:val="Footer"/>
    <w:basedOn w:val="856"/>
    <w:link w:val="874"/>
    <w:uiPriority w:val="99"/>
    <w:unhideWhenUsed/>
    <w:pPr>
      <w:tabs>
        <w:tab w:val="center" w:pos="4677" w:leader="none"/>
        <w:tab w:val="right" w:pos="9355" w:leader="none"/>
      </w:tabs>
    </w:pPr>
  </w:style>
  <w:style w:type="character" w:styleId="874" w:customStyle="1">
    <w:name w:val="Нижний колонтитул Знак"/>
    <w:basedOn w:val="857"/>
    <w:link w:val="873"/>
    <w:uiPriority w:val="99"/>
    <w:rPr>
      <w:rFonts w:ascii="Times New Roman" w:hAnsi="Times New Roman" w:eastAsia="Times New Roman" w:cs="Times New Roman"/>
      <w:sz w:val="24"/>
      <w:szCs w:val="24"/>
      <w:lang w:eastAsia="ru-RU"/>
    </w:rPr>
  </w:style>
  <w:style w:type="paragraph" w:styleId="875">
    <w:name w:val="List Paragraph"/>
    <w:basedOn w:val="856"/>
    <w:uiPriority w:val="34"/>
    <w:qFormat/>
    <w:pPr>
      <w:contextualSpacing/>
      <w:ind w:left="72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50E86-65AD-4ABE-8480-E0357ABD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Р7-Офис/7.4.0.351</Application>
  <Company>mineconom</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revision>32</cp:revision>
  <dcterms:created xsi:type="dcterms:W3CDTF">2023-03-10T09:17:00Z</dcterms:created>
  <dcterms:modified xsi:type="dcterms:W3CDTF">2024-02-12T03:23:32Z</dcterms:modified>
</cp:coreProperties>
</file>