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6"/>
        <w:jc w:val="center"/>
        <w:rPr>
          <w:b/>
          <w:highlight w:val="none"/>
        </w:rPr>
      </w:pPr>
      <w:r>
        <w:rPr>
          <w:b/>
          <w:highlight w:val="none"/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180" cy="65278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0pt;height:51.4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highlight w:val="none"/>
        </w:rPr>
      </w:r>
      <w:r>
        <w:rPr>
          <w:b/>
          <w:highlight w:val="none"/>
        </w:rPr>
      </w:r>
    </w:p>
    <w:p>
      <w:pPr>
        <w:pStyle w:val="896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96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УПРАВЛЕНИЕ ИНФОРМАЦИОННЫХ ПРОЕКТОВ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96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НОВОСИБИРСКОЙ ОБЛАСТИ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96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96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П Р И К А З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96"/>
        <w:jc w:val="center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96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___________</w:t>
      </w:r>
      <w:r>
        <w:rPr>
          <w:sz w:val="28"/>
          <w:szCs w:val="28"/>
          <w:highlight w:val="none"/>
        </w:rPr>
        <w:t xml:space="preserve">                                                                                         </w:t>
      </w:r>
      <w:r>
        <w:rPr>
          <w:sz w:val="28"/>
          <w:szCs w:val="28"/>
          <w:highlight w:val="none"/>
        </w:rPr>
        <w:t xml:space="preserve">        </w:t>
      </w:r>
      <w:r>
        <w:rPr>
          <w:sz w:val="28"/>
          <w:szCs w:val="28"/>
          <w:highlight w:val="none"/>
        </w:rPr>
        <w:t xml:space="preserve">    </w:t>
      </w:r>
      <w:r>
        <w:rPr>
          <w:sz w:val="28"/>
          <w:szCs w:val="28"/>
          <w:highlight w:val="none"/>
        </w:rPr>
        <w:t xml:space="preserve">№ </w:t>
      </w:r>
      <w:r>
        <w:rPr>
          <w:sz w:val="28"/>
          <w:szCs w:val="28"/>
          <w:highlight w:val="none"/>
        </w:rPr>
        <w:t xml:space="preserve">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6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г. Новосибирск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6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4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внесении изменения в приказ управления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4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информационных проектов Новосибирской области от 29.01.2015 № 32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4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2"/>
        <w:ind w:firstLine="539"/>
        <w:jc w:val="both"/>
        <w:rPr>
          <w:strike/>
          <w:highlight w:val="none"/>
        </w:rPr>
      </w:pPr>
      <w:r>
        <w:rPr>
          <w:b/>
          <w:bCs/>
          <w:highlight w:val="none"/>
        </w:rPr>
        <w:t xml:space="preserve">П</w:t>
      </w:r>
      <w:r>
        <w:rPr>
          <w:b/>
          <w:bCs/>
          <w:highlight w:val="none"/>
        </w:rPr>
        <w:t xml:space="preserve"> </w:t>
      </w:r>
      <w:r>
        <w:rPr>
          <w:b/>
          <w:highlight w:val="none"/>
        </w:rPr>
        <w:t xml:space="preserve">р</w:t>
      </w:r>
      <w:r>
        <w:rPr>
          <w:b/>
          <w:highlight w:val="none"/>
        </w:rPr>
        <w:t xml:space="preserve"> </w:t>
      </w:r>
      <w:r>
        <w:rPr>
          <w:b/>
          <w:highlight w:val="none"/>
        </w:rPr>
        <w:t xml:space="preserve">и</w:t>
      </w:r>
      <w:r>
        <w:rPr>
          <w:b/>
          <w:highlight w:val="none"/>
        </w:rPr>
        <w:t xml:space="preserve"> </w:t>
      </w:r>
      <w:r>
        <w:rPr>
          <w:b/>
          <w:highlight w:val="none"/>
        </w:rPr>
        <w:t xml:space="preserve">к</w:t>
      </w:r>
      <w:r>
        <w:rPr>
          <w:b/>
          <w:highlight w:val="none"/>
        </w:rPr>
        <w:t xml:space="preserve"> </w:t>
      </w:r>
      <w:r>
        <w:rPr>
          <w:b/>
          <w:highlight w:val="none"/>
        </w:rPr>
        <w:t xml:space="preserve">а</w:t>
      </w:r>
      <w:r>
        <w:rPr>
          <w:b/>
          <w:highlight w:val="none"/>
        </w:rPr>
        <w:t xml:space="preserve"> </w:t>
      </w:r>
      <w:r>
        <w:rPr>
          <w:b/>
          <w:highlight w:val="none"/>
        </w:rPr>
        <w:t xml:space="preserve">з</w:t>
      </w:r>
      <w:r>
        <w:rPr>
          <w:b/>
          <w:highlight w:val="none"/>
        </w:rPr>
        <w:t xml:space="preserve"> </w:t>
      </w:r>
      <w:r>
        <w:rPr>
          <w:b/>
          <w:highlight w:val="none"/>
        </w:rPr>
        <w:t xml:space="preserve">ы</w:t>
      </w:r>
      <w:r>
        <w:rPr>
          <w:b/>
          <w:highlight w:val="none"/>
        </w:rPr>
        <w:t xml:space="preserve"> </w:t>
      </w:r>
      <w:r>
        <w:rPr>
          <w:b/>
          <w:highlight w:val="none"/>
        </w:rPr>
        <w:t xml:space="preserve">в</w:t>
      </w:r>
      <w:r>
        <w:rPr>
          <w:b/>
          <w:highlight w:val="none"/>
        </w:rPr>
        <w:t xml:space="preserve"> </w:t>
      </w:r>
      <w:r>
        <w:rPr>
          <w:b/>
          <w:highlight w:val="none"/>
        </w:rPr>
        <w:t xml:space="preserve">а</w:t>
      </w:r>
      <w:r>
        <w:rPr>
          <w:b/>
          <w:highlight w:val="none"/>
        </w:rPr>
        <w:t xml:space="preserve"> </w:t>
      </w:r>
      <w:r>
        <w:rPr>
          <w:b/>
          <w:highlight w:val="none"/>
        </w:rPr>
        <w:t xml:space="preserve">ю</w:t>
      </w:r>
      <w:r>
        <w:rPr>
          <w:highlight w:val="none"/>
        </w:rPr>
        <w:t xml:space="preserve">:</w:t>
      </w:r>
      <w:r>
        <w:rPr>
          <w:strike/>
          <w:highlight w:val="none"/>
        </w:rPr>
      </w:r>
      <w:r>
        <w:rPr>
          <w:strike/>
          <w:highlight w:val="none"/>
        </w:rPr>
      </w:r>
    </w:p>
    <w:p>
      <w:pPr>
        <w:pStyle w:val="902"/>
        <w:ind w:firstLine="539"/>
        <w:jc w:val="both"/>
        <w:rPr>
          <w:highlight w:val="none"/>
        </w:rPr>
      </w:pPr>
      <w:r>
        <w:rPr>
          <w:highlight w:val="none"/>
        </w:rPr>
        <w:t xml:space="preserve">Внести в приказ управления и</w:t>
      </w:r>
      <w:r>
        <w:rPr>
          <w:highlight w:val="none"/>
        </w:rPr>
        <w:t xml:space="preserve">нформационных проектов Новосибирской области от 29.01.2015 № 32 «О комиссии по соблюдению требований к служебному поведению государственных гражданских служащих и урегулированию конфликта интересов управления информационных проектов Новосибирской области» </w:t>
      </w:r>
      <w:r>
        <w:rPr>
          <w:highlight w:val="none"/>
        </w:rPr>
        <w:t xml:space="preserve">(в редакции приказов от 02.11.2015 № 172, от 19.04.2016 № 45, от 03.06.2016 № 63, от 10.07.2018 № 77, от 13.11.2019 № 89, от 26.10.2020 № 76, от 23.11.2021 № 127, от 15.04.2024 № 3-НПА) </w:t>
      </w:r>
      <w:r>
        <w:rPr>
          <w:highlight w:val="none"/>
        </w:rPr>
        <w:t xml:space="preserve">следующее изменение:</w:t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ind w:firstLine="539"/>
        <w:jc w:val="both"/>
        <w:rPr>
          <w:highlight w:val="none"/>
        </w:rPr>
      </w:pPr>
      <w:r>
        <w:rPr>
          <w:highlight w:val="none"/>
        </w:rPr>
      </w:r>
      <w:r>
        <w:t xml:space="preserve">Состав комиссии по соблюдению требований к служебному поведению государственных гражданских служащих и урегулированию конфликта интересов управления информационных проектов Новосибирской области изложить в редакции согласно приложению к настоящему приказу.</w:t>
      </w:r>
      <w:r>
        <w:rPr>
          <w:highlight w:val="none"/>
        </w:rPr>
      </w:r>
      <w:r>
        <w:rPr>
          <w:highlight w:val="none"/>
        </w:rPr>
      </w:r>
    </w:p>
    <w:p>
      <w:pPr>
        <w:pStyle w:val="902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Начальник управления</w:t>
      </w:r>
      <w:r>
        <w:rPr>
          <w:color w:val="000000"/>
          <w:sz w:val="28"/>
          <w:szCs w:val="28"/>
          <w:highlight w:val="none"/>
        </w:rPr>
        <w:t xml:space="preserve">      </w:t>
      </w:r>
      <w:r>
        <w:rPr>
          <w:color w:val="000000"/>
          <w:sz w:val="28"/>
          <w:szCs w:val="28"/>
          <w:highlight w:val="none"/>
        </w:rPr>
        <w:t xml:space="preserve">              </w:t>
      </w:r>
      <w:r>
        <w:rPr>
          <w:color w:val="000000"/>
          <w:sz w:val="28"/>
          <w:szCs w:val="28"/>
          <w:highlight w:val="none"/>
        </w:rPr>
        <w:t xml:space="preserve">  </w:t>
      </w:r>
      <w:r>
        <w:rPr>
          <w:color w:val="000000"/>
          <w:sz w:val="28"/>
          <w:szCs w:val="28"/>
          <w:highlight w:val="none"/>
        </w:rPr>
        <w:t xml:space="preserve">                       </w:t>
      </w:r>
      <w:r>
        <w:rPr>
          <w:color w:val="000000"/>
          <w:sz w:val="28"/>
          <w:szCs w:val="28"/>
          <w:highlight w:val="none"/>
        </w:rPr>
        <w:t xml:space="preserve">             </w:t>
      </w:r>
      <w:r>
        <w:rPr>
          <w:color w:val="000000"/>
          <w:sz w:val="28"/>
          <w:szCs w:val="28"/>
          <w:highlight w:val="none"/>
        </w:rPr>
        <w:t xml:space="preserve">  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   </w:t>
      </w:r>
      <w:r>
        <w:rPr>
          <w:color w:val="000000"/>
          <w:sz w:val="28"/>
          <w:szCs w:val="28"/>
          <w:highlight w:val="none"/>
        </w:rPr>
        <w:t xml:space="preserve">    </w:t>
      </w:r>
      <w:r>
        <w:rPr>
          <w:color w:val="000000"/>
          <w:sz w:val="28"/>
          <w:szCs w:val="28"/>
          <w:highlight w:val="none"/>
        </w:rPr>
        <w:t xml:space="preserve">       </w:t>
      </w:r>
      <w:r>
        <w:rPr>
          <w:color w:val="000000"/>
          <w:sz w:val="28"/>
          <w:szCs w:val="28"/>
          <w:highlight w:val="none"/>
        </w:rPr>
        <w:t xml:space="preserve">С.Е. Матвиенко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СОГЛАСОВАНО: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Н</w:t>
      </w:r>
      <w:r>
        <w:rPr>
          <w:color w:val="000000"/>
          <w:sz w:val="28"/>
          <w:szCs w:val="28"/>
          <w:highlight w:val="none"/>
        </w:rPr>
        <w:t xml:space="preserve">ачальник</w:t>
      </w:r>
      <w:r>
        <w:rPr>
          <w:color w:val="000000"/>
          <w:sz w:val="28"/>
          <w:szCs w:val="28"/>
          <w:highlight w:val="none"/>
        </w:rPr>
        <w:t xml:space="preserve"> отдела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правового, организационного и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кадрового обеспечения                                             </w:t>
      </w:r>
      <w:r>
        <w:rPr>
          <w:color w:val="000000"/>
          <w:sz w:val="28"/>
          <w:szCs w:val="28"/>
          <w:highlight w:val="none"/>
        </w:rPr>
        <w:t xml:space="preserve">            </w:t>
      </w:r>
      <w:r>
        <w:rPr>
          <w:color w:val="000000"/>
          <w:sz w:val="28"/>
          <w:szCs w:val="28"/>
          <w:highlight w:val="none"/>
        </w:rPr>
        <w:t xml:space="preserve">     </w:t>
      </w:r>
      <w:r>
        <w:rPr>
          <w:color w:val="000000"/>
          <w:sz w:val="28"/>
          <w:szCs w:val="28"/>
          <w:highlight w:val="none"/>
        </w:rPr>
        <w:t xml:space="preserve">     Т.Н. Антошихина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«____» __________2024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jc w:val="both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  <w:t xml:space="preserve">И.А. Колкунова</w:t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pStyle w:val="896"/>
        <w:rPr>
          <w:color w:val="000000"/>
          <w:sz w:val="20"/>
          <w:szCs w:val="20"/>
          <w:highlight w:val="none"/>
        </w:rPr>
        <w:sectPr>
          <w:footnotePr/>
          <w:endnotePr/>
          <w:type w:val="nextPage"/>
          <w:pgSz w:w="11906" w:h="16838" w:orient="portrait"/>
          <w:pgMar w:top="1134" w:right="850" w:bottom="851" w:left="1418" w:header="708" w:footer="708" w:gutter="0"/>
          <w:pgNumType w:start="2"/>
          <w:cols w:num="1" w:sep="0" w:space="708" w:equalWidth="1"/>
          <w:docGrid w:linePitch="360"/>
          <w:titlePg/>
        </w:sectPr>
      </w:pPr>
      <w:r>
        <w:rPr>
          <w:color w:val="000000"/>
          <w:sz w:val="20"/>
          <w:szCs w:val="20"/>
          <w:highlight w:val="none"/>
        </w:rPr>
        <w:t xml:space="preserve">238 61 48</w:t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tbl>
      <w:tblPr>
        <w:tblStyle w:val="752"/>
        <w:tblW w:w="0" w:type="auto"/>
        <w:tblInd w:w="6060" w:type="dxa"/>
        <w:tblLayout w:type="fixed"/>
        <w:tblLook w:val="04A0" w:firstRow="1" w:lastRow="0" w:firstColumn="1" w:lastColumn="0" w:noHBand="0" w:noVBand="1"/>
      </w:tblPr>
      <w:tblGrid>
        <w:gridCol w:w="379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93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ru-RU"/>
              </w:rPr>
              <w:t xml:space="preserve">Приложение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ru-RU"/>
              </w:rPr>
            </w:r>
          </w:p>
          <w:p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ru-RU"/>
              </w:rPr>
              <w:t xml:space="preserve">к приказу управления информационных проектов Новосибирской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93" w:type="dxa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«Приложение №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к приказу управления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информационных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 проектов Новосибирской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 области от 29.01.2015 № 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</w:tbl>
    <w:p>
      <w:pPr>
        <w:ind w:left="0" w:right="0" w:firstLine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02"/>
        <w:ind w:firstLine="540"/>
        <w:jc w:val="center"/>
        <w:rPr>
          <w:b/>
          <w:bCs/>
        </w:rPr>
      </w:pPr>
      <w:r>
        <w:rPr>
          <w:b/>
        </w:rPr>
        <w:t xml:space="preserve">Состав</w:t>
      </w:r>
      <w:r>
        <w:rPr>
          <w:b/>
        </w:rPr>
      </w:r>
      <w:r>
        <w:rPr>
          <w:b/>
          <w:bCs/>
        </w:rPr>
      </w:r>
    </w:p>
    <w:p>
      <w:pPr>
        <w:pStyle w:val="902"/>
        <w:ind w:firstLine="540"/>
        <w:jc w:val="center"/>
        <w:rPr>
          <w:b/>
          <w:bCs/>
        </w:rPr>
      </w:pPr>
      <w:r>
        <w:rPr>
          <w:b/>
        </w:rPr>
        <w:t xml:space="preserve"> комиссии по соблюдению требований к служебному поведению государственных гражданских служащих и урегулированию конфликта интересов управления информационных проектов Новосибирской области</w:t>
      </w:r>
      <w:r>
        <w:rPr>
          <w:b/>
        </w:rPr>
      </w:r>
      <w:r>
        <w:rPr>
          <w:b/>
          <w:bCs/>
        </w:rPr>
      </w:r>
    </w:p>
    <w:p>
      <w:pPr>
        <w:pStyle w:val="902"/>
        <w:ind w:firstLine="54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063"/>
        <w:gridCol w:w="413"/>
        <w:gridCol w:w="6956"/>
      </w:tblGrid>
      <w:tr>
        <w:tblPrEx/>
        <w:trPr>
          <w:trHeight w:val="90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63" w:type="dxa"/>
            <w:vAlign w:val="top"/>
            <w:textDirection w:val="lrTb"/>
            <w:noWrap w:val="false"/>
          </w:tcPr>
          <w:p>
            <w:pPr>
              <w:pStyle w:val="9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Кайдала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Игорь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Николаевич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3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56" w:type="dxa"/>
            <w:vAlign w:val="top"/>
            <w:textDirection w:val="lrTb"/>
            <w:noWrap w:val="false"/>
          </w:tcPr>
          <w:p>
            <w:pPr>
              <w:pStyle w:val="9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управления - начальник отдела взаимодействия с подведомственными учреждениями и реализации программ управления информационных проектов Новосибирской области, председатель комиссии;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2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63" w:type="dxa"/>
            <w:vAlign w:val="top"/>
            <w:textDirection w:val="lrTb"/>
            <w:noWrap w:val="false"/>
          </w:tcPr>
          <w:p>
            <w:pPr>
              <w:pStyle w:val="9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Антошихина Татьяна Николаевна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3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56" w:type="dxa"/>
            <w:vAlign w:val="top"/>
            <w:textDirection w:val="lrTb"/>
            <w:noWrap w:val="false"/>
          </w:tcPr>
          <w:p>
            <w:pPr>
              <w:pStyle w:val="9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</w:t>
            </w:r>
            <w:r>
              <w:rPr>
                <w:sz w:val="24"/>
                <w:szCs w:val="24"/>
              </w:rPr>
              <w:t xml:space="preserve"> отдела правового, организационного и кадрового обеспечения управления информационных проектов Новосибирской области, заместитель председателя комиссии;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2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63" w:type="dxa"/>
            <w:vAlign w:val="top"/>
            <w:textDirection w:val="lrTb"/>
            <w:noWrap w:val="false"/>
          </w:tcPr>
          <w:p>
            <w:pPr>
              <w:pStyle w:val="9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Колкунова Ирина Анатольевна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3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56" w:type="dxa"/>
            <w:vAlign w:val="top"/>
            <w:textDirection w:val="lrTb"/>
            <w:noWrap w:val="false"/>
          </w:tcPr>
          <w:p>
            <w:pPr>
              <w:pStyle w:val="9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 </w:t>
            </w:r>
            <w:r>
              <w:rPr>
                <w:sz w:val="24"/>
                <w:szCs w:val="24"/>
              </w:rPr>
              <w:t xml:space="preserve">отдела правового, организационного и кадрового обеспечения управления информационных проектов Новосибирской области, секретарь комиссии;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95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63" w:type="dxa"/>
            <w:vAlign w:val="top"/>
            <w:textDirection w:val="lrTb"/>
            <w:noWrap w:val="false"/>
          </w:tcPr>
          <w:p>
            <w:pPr>
              <w:pStyle w:val="9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Зенков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Юрьевич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3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56" w:type="dxa"/>
            <w:vAlign w:val="top"/>
            <w:textDirection w:val="lrTb"/>
            <w:noWrap w:val="false"/>
          </w:tcPr>
          <w:p>
            <w:pPr>
              <w:pStyle w:val="9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преподаватель кафедры государственного и муниципального управле</w:t>
            </w:r>
            <w:r>
              <w:rPr>
                <w:sz w:val="24"/>
                <w:szCs w:val="24"/>
              </w:rPr>
              <w:t xml:space="preserve">ния Сибирского института управления –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 (по согласованию);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6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63" w:type="dxa"/>
            <w:vAlign w:val="top"/>
            <w:textDirection w:val="lrTb"/>
            <w:noWrap w:val="false"/>
          </w:tcPr>
          <w:p>
            <w:pPr>
              <w:pStyle w:val="9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Морозова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Татьяна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Юрьевна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3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56" w:type="dxa"/>
            <w:vAlign w:val="top"/>
            <w:textDirection w:val="lrTb"/>
            <w:noWrap w:val="false"/>
          </w:tcPr>
          <w:p>
            <w:pPr>
              <w:pStyle w:val="9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преподаватель кафедры государственного и муниципального управл</w:t>
            </w:r>
            <w:r>
              <w:rPr>
                <w:sz w:val="24"/>
                <w:szCs w:val="24"/>
              </w:rPr>
              <w:t xml:space="preserve">ения Сибирского института управления –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 (по согласованию)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6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63" w:type="dxa"/>
            <w:vAlign w:val="top"/>
            <w:textDirection w:val="lrTb"/>
            <w:noWrap w:val="false"/>
          </w:tcPr>
          <w:p>
            <w:pPr>
              <w:pStyle w:val="9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Ревуцкая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Вероника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Андреевна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3" w:type="dxa"/>
            <w:vAlign w:val="top"/>
            <w:textDirection w:val="lrTb"/>
            <w:noWrap w:val="false"/>
          </w:tcPr>
          <w:p>
            <w:pPr>
              <w:pStyle w:val="9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56" w:type="dxa"/>
            <w:vAlign w:val="top"/>
            <w:textDirection w:val="lrTb"/>
            <w:noWrap w:val="false"/>
          </w:tcPr>
          <w:p>
            <w:pPr>
              <w:pStyle w:val="9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отдела по профилактике коррупционных и иных правонарушений администрации Губернатора Новосибирской области и Правительства Новосибирской области.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02"/>
        <w:ind w:firstLine="540"/>
        <w:jc w:val="center"/>
      </w:pPr>
      <w:r>
        <w:t xml:space="preserve">_________</w:t>
      </w:r>
      <w:r/>
    </w:p>
    <w:p>
      <w:pPr>
        <w:ind w:left="0" w:right="0" w:firstLine="540"/>
        <w:jc w:val="right"/>
        <w:spacing w:before="22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headerReference w:type="default" r:id="rId11"/>
      <w:footnotePr/>
      <w:endnotePr/>
      <w:type w:val="nextPage"/>
      <w:pgSz w:w="11906" w:h="16838" w:orient="portrait"/>
      <w:pgMar w:top="1134" w:right="850" w:bottom="851" w:left="1418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3</w:t>
    </w:r>
    <w:r>
      <w:fldChar w:fldCharType="end"/>
    </w:r>
    <w:r/>
  </w:p>
  <w:p>
    <w:pPr>
      <w:pStyle w:val="910"/>
      <w:jc w:val="center"/>
      <w:rPr>
        <w:lang w:val="ru-RU"/>
      </w:rPr>
    </w:pPr>
    <w:r>
      <w:rPr>
        <w:lang w:val="ru-RU"/>
      </w:rPr>
    </w:r>
    <w:r>
      <w:rPr>
        <w:lang w:val="ru-RU"/>
      </w:rPr>
    </w:r>
    <w:r>
      <w:rPr>
        <w:lang w:val="ru-RU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jc w:val="center"/>
      <w:rPr>
        <w:lang w:val="ru-RU"/>
      </w:rPr>
    </w:pPr>
    <w:r>
      <w:rPr>
        <w:lang w:val="ru-RU"/>
      </w:rPr>
    </w:r>
    <w:r>
      <w:rPr>
        <w:lang w:val="ru-RU"/>
      </w:rPr>
    </w:r>
    <w:r>
      <w:rPr>
        <w:lang w:val="ru-RU"/>
      </w:rPr>
    </w:r>
  </w:p>
  <w:p>
    <w:pPr>
      <w:pStyle w:val="91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5</w:t>
    </w:r>
    <w:r>
      <w:fldChar w:fldCharType="end"/>
    </w:r>
    <w:r/>
  </w:p>
  <w:p>
    <w:pPr>
      <w:pStyle w:val="910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0" w:hanging="111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14" w:hanging="13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6"/>
    <w:next w:val="896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>
    <w:name w:val="Heading 1 Char"/>
    <w:link w:val="718"/>
    <w:uiPriority w:val="9"/>
    <w:rPr>
      <w:rFonts w:ascii="Arial" w:hAnsi="Arial" w:eastAsia="Arial" w:cs="Arial"/>
      <w:sz w:val="40"/>
      <w:szCs w:val="40"/>
    </w:rPr>
  </w:style>
  <w:style w:type="paragraph" w:styleId="720">
    <w:name w:val="Heading 2"/>
    <w:basedOn w:val="896"/>
    <w:next w:val="896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link w:val="720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6"/>
    <w:next w:val="896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6"/>
    <w:next w:val="896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6"/>
    <w:next w:val="896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6"/>
    <w:next w:val="896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6"/>
    <w:next w:val="896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896"/>
    <w:uiPriority w:val="34"/>
    <w:qFormat/>
    <w:pPr>
      <w:contextualSpacing/>
      <w:ind w:left="720"/>
    </w:pPr>
  </w:style>
  <w:style w:type="paragraph" w:styleId="737">
    <w:name w:val="No Spacing"/>
    <w:uiPriority w:val="1"/>
    <w:qFormat/>
    <w:pPr>
      <w:spacing w:before="0" w:after="0" w:line="240" w:lineRule="auto"/>
    </w:pPr>
  </w:style>
  <w:style w:type="paragraph" w:styleId="738">
    <w:name w:val="Title"/>
    <w:basedOn w:val="896"/>
    <w:next w:val="896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link w:val="738"/>
    <w:uiPriority w:val="10"/>
    <w:rPr>
      <w:sz w:val="48"/>
      <w:szCs w:val="48"/>
    </w:rPr>
  </w:style>
  <w:style w:type="paragraph" w:styleId="740">
    <w:name w:val="Subtitle"/>
    <w:basedOn w:val="896"/>
    <w:next w:val="896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link w:val="740"/>
    <w:uiPriority w:val="11"/>
    <w:rPr>
      <w:sz w:val="24"/>
      <w:szCs w:val="24"/>
    </w:rPr>
  </w:style>
  <w:style w:type="paragraph" w:styleId="742">
    <w:name w:val="Quote"/>
    <w:basedOn w:val="896"/>
    <w:next w:val="896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6"/>
    <w:next w:val="896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paragraph" w:styleId="746">
    <w:name w:val="Header"/>
    <w:basedOn w:val="896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Header Char"/>
    <w:link w:val="746"/>
    <w:uiPriority w:val="99"/>
  </w:style>
  <w:style w:type="paragraph" w:styleId="748">
    <w:name w:val="Footer"/>
    <w:basedOn w:val="896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Footer Char"/>
    <w:link w:val="748"/>
    <w:uiPriority w:val="99"/>
  </w:style>
  <w:style w:type="paragraph" w:styleId="750">
    <w:name w:val="Caption"/>
    <w:basedOn w:val="896"/>
    <w:next w:val="8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748"/>
    <w:uiPriority w:val="99"/>
  </w:style>
  <w:style w:type="table" w:styleId="75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next w:val="896"/>
    <w:link w:val="896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97">
    <w:name w:val="Основной шрифт абзаца"/>
    <w:next w:val="897"/>
    <w:link w:val="896"/>
    <w:uiPriority w:val="1"/>
    <w:unhideWhenUsed/>
  </w:style>
  <w:style w:type="table" w:styleId="898">
    <w:name w:val="Обычная таблица"/>
    <w:next w:val="898"/>
    <w:link w:val="896"/>
    <w:uiPriority w:val="99"/>
    <w:semiHidden/>
    <w:unhideWhenUsed/>
    <w:tblPr/>
  </w:style>
  <w:style w:type="numbering" w:styleId="899">
    <w:name w:val="Нет списка"/>
    <w:next w:val="899"/>
    <w:link w:val="896"/>
    <w:uiPriority w:val="99"/>
    <w:semiHidden/>
    <w:unhideWhenUsed/>
  </w:style>
  <w:style w:type="paragraph" w:styleId="900">
    <w:name w:val="Текст выноски"/>
    <w:basedOn w:val="896"/>
    <w:next w:val="900"/>
    <w:link w:val="901"/>
    <w:uiPriority w:val="99"/>
    <w:semiHidden/>
    <w:unhideWhenUsed/>
    <w:rPr>
      <w:rFonts w:ascii="Segoe UI" w:hAnsi="Segoe UI"/>
      <w:sz w:val="18"/>
      <w:szCs w:val="18"/>
      <w:lang w:val="en-US" w:eastAsia="en-US"/>
    </w:rPr>
  </w:style>
  <w:style w:type="character" w:styleId="901">
    <w:name w:val="Текст выноски Знак"/>
    <w:next w:val="901"/>
    <w:link w:val="900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902">
    <w:name w:val="ConsPlusNormal"/>
    <w:next w:val="902"/>
    <w:link w:val="896"/>
    <w:rPr>
      <w:rFonts w:ascii="Times New Roman" w:hAnsi="Times New Roman"/>
      <w:sz w:val="28"/>
      <w:szCs w:val="28"/>
      <w:lang w:val="ru-RU" w:eastAsia="ru-RU" w:bidi="ar-SA"/>
    </w:rPr>
  </w:style>
  <w:style w:type="character" w:styleId="903">
    <w:name w:val="Гиперссылка"/>
    <w:next w:val="903"/>
    <w:link w:val="896"/>
    <w:uiPriority w:val="99"/>
    <w:unhideWhenUsed/>
    <w:rPr>
      <w:color w:val="0000ff"/>
      <w:u w:val="single"/>
    </w:rPr>
  </w:style>
  <w:style w:type="character" w:styleId="904">
    <w:name w:val="Знак примечания"/>
    <w:next w:val="904"/>
    <w:link w:val="896"/>
    <w:uiPriority w:val="99"/>
    <w:semiHidden/>
    <w:unhideWhenUsed/>
    <w:rPr>
      <w:sz w:val="16"/>
      <w:szCs w:val="16"/>
    </w:rPr>
  </w:style>
  <w:style w:type="paragraph" w:styleId="905">
    <w:name w:val="Текст примечания"/>
    <w:basedOn w:val="896"/>
    <w:next w:val="905"/>
    <w:link w:val="906"/>
    <w:uiPriority w:val="99"/>
    <w:semiHidden/>
    <w:unhideWhenUsed/>
    <w:rPr>
      <w:sz w:val="20"/>
      <w:szCs w:val="20"/>
      <w:lang w:val="en-US" w:eastAsia="en-US"/>
    </w:rPr>
  </w:style>
  <w:style w:type="character" w:styleId="906">
    <w:name w:val="Текст примечания Знак"/>
    <w:next w:val="906"/>
    <w:link w:val="905"/>
    <w:uiPriority w:val="99"/>
    <w:semiHidden/>
    <w:rPr>
      <w:rFonts w:ascii="Times New Roman" w:hAnsi="Times New Roman" w:eastAsia="Times New Roman"/>
    </w:rPr>
  </w:style>
  <w:style w:type="paragraph" w:styleId="907">
    <w:name w:val="Тема примечания"/>
    <w:basedOn w:val="905"/>
    <w:next w:val="905"/>
    <w:link w:val="908"/>
    <w:uiPriority w:val="99"/>
    <w:semiHidden/>
    <w:unhideWhenUsed/>
    <w:rPr>
      <w:b/>
      <w:bCs/>
    </w:rPr>
  </w:style>
  <w:style w:type="character" w:styleId="908">
    <w:name w:val="Тема примечания Знак"/>
    <w:next w:val="908"/>
    <w:link w:val="907"/>
    <w:uiPriority w:val="99"/>
    <w:semiHidden/>
    <w:rPr>
      <w:rFonts w:ascii="Times New Roman" w:hAnsi="Times New Roman" w:eastAsia="Times New Roman"/>
      <w:b/>
      <w:bCs/>
    </w:rPr>
  </w:style>
  <w:style w:type="table" w:styleId="909">
    <w:name w:val="Сетка таблицы"/>
    <w:basedOn w:val="898"/>
    <w:next w:val="909"/>
    <w:link w:val="896"/>
    <w:uiPriority w:val="59"/>
    <w:tblPr/>
  </w:style>
  <w:style w:type="paragraph" w:styleId="910">
    <w:name w:val="Верхний колонтитул"/>
    <w:basedOn w:val="896"/>
    <w:next w:val="910"/>
    <w:link w:val="911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11">
    <w:name w:val="Верхний колонтитул Знак"/>
    <w:next w:val="911"/>
    <w:link w:val="910"/>
    <w:uiPriority w:val="99"/>
    <w:rPr>
      <w:rFonts w:ascii="Times New Roman" w:hAnsi="Times New Roman" w:eastAsia="Times New Roman"/>
      <w:sz w:val="24"/>
      <w:szCs w:val="24"/>
    </w:rPr>
  </w:style>
  <w:style w:type="paragraph" w:styleId="912">
    <w:name w:val="Нижний колонтитул"/>
    <w:basedOn w:val="896"/>
    <w:next w:val="912"/>
    <w:link w:val="913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13">
    <w:name w:val="Нижний колонтитул Знак"/>
    <w:next w:val="913"/>
    <w:link w:val="912"/>
    <w:uiPriority w:val="99"/>
    <w:rPr>
      <w:rFonts w:ascii="Times New Roman" w:hAnsi="Times New Roman" w:eastAsia="Times New Roman"/>
      <w:sz w:val="24"/>
      <w:szCs w:val="24"/>
    </w:rPr>
  </w:style>
  <w:style w:type="paragraph" w:styleId="914">
    <w:name w:val="ConsPlusTitle"/>
    <w:next w:val="914"/>
    <w:link w:val="896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915">
    <w:name w:val="ConsPlusNonformat"/>
    <w:next w:val="915"/>
    <w:link w:val="896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16" w:default="1">
    <w:name w:val="Default Paragraph Font"/>
    <w:uiPriority w:val="1"/>
    <w:semiHidden/>
    <w:unhideWhenUsed/>
  </w:style>
  <w:style w:type="numbering" w:styleId="917" w:default="1">
    <w:name w:val="No List"/>
    <w:uiPriority w:val="99"/>
    <w:semiHidden/>
    <w:unhideWhenUsed/>
  </w:style>
  <w:style w:type="table" w:styleId="91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Демченко Алексей Александрович</dc:creator>
  <cp:revision>83</cp:revision>
  <dcterms:created xsi:type="dcterms:W3CDTF">2018-04-27T08:30:00Z</dcterms:created>
  <dcterms:modified xsi:type="dcterms:W3CDTF">2024-09-05T03:26:37Z</dcterms:modified>
  <cp:version>917504</cp:version>
</cp:coreProperties>
</file>