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8126F" w14:textId="77777777" w:rsidR="00EF570A" w:rsidRPr="00162D7F" w:rsidRDefault="00EF570A" w:rsidP="00EF570A">
      <w:pPr>
        <w:ind w:firstLine="567"/>
        <w:jc w:val="right"/>
      </w:pPr>
      <w:bookmarkStart w:id="0" w:name="_GoBack"/>
      <w:bookmarkEnd w:id="0"/>
      <w:r w:rsidRPr="00162D7F">
        <w:rPr>
          <w:sz w:val="28"/>
          <w:szCs w:val="27"/>
        </w:rPr>
        <w:t xml:space="preserve">Приложение </w:t>
      </w:r>
      <w:r w:rsidR="00B127FB" w:rsidRPr="00162D7F">
        <w:rPr>
          <w:sz w:val="28"/>
          <w:szCs w:val="27"/>
        </w:rPr>
        <w:t>№ </w:t>
      </w:r>
      <w:r w:rsidRPr="00162D7F">
        <w:rPr>
          <w:sz w:val="28"/>
          <w:szCs w:val="27"/>
        </w:rPr>
        <w:t>15</w:t>
      </w:r>
    </w:p>
    <w:p w14:paraId="3407EC3D" w14:textId="77777777" w:rsidR="00EF570A" w:rsidRPr="00162D7F" w:rsidRDefault="00EF570A" w:rsidP="00EF570A">
      <w:pPr>
        <w:ind w:firstLine="567"/>
        <w:jc w:val="right"/>
      </w:pPr>
      <w:r w:rsidRPr="00162D7F">
        <w:rPr>
          <w:sz w:val="28"/>
          <w:szCs w:val="27"/>
        </w:rPr>
        <w:t xml:space="preserve"> к приказу министерства здравоохранения</w:t>
      </w:r>
    </w:p>
    <w:p w14:paraId="2EFEB7AE" w14:textId="77777777" w:rsidR="00EF570A" w:rsidRPr="00162D7F" w:rsidRDefault="00EF570A" w:rsidP="00EF570A">
      <w:pPr>
        <w:ind w:firstLine="567"/>
        <w:jc w:val="right"/>
      </w:pPr>
      <w:r w:rsidRPr="00162D7F">
        <w:rPr>
          <w:sz w:val="28"/>
          <w:szCs w:val="27"/>
        </w:rPr>
        <w:t>Новосибирской области</w:t>
      </w:r>
    </w:p>
    <w:p w14:paraId="7CD947AD" w14:textId="77777777" w:rsidR="00EF570A" w:rsidRPr="00162D7F" w:rsidRDefault="00EF570A" w:rsidP="00EF570A">
      <w:pPr>
        <w:ind w:firstLine="567"/>
        <w:jc w:val="right"/>
        <w:rPr>
          <w:sz w:val="28"/>
          <w:szCs w:val="27"/>
        </w:rPr>
      </w:pPr>
      <w:r w:rsidRPr="00162D7F">
        <w:rPr>
          <w:sz w:val="28"/>
          <w:szCs w:val="27"/>
        </w:rPr>
        <w:t xml:space="preserve"> от 19.05.2022 </w:t>
      </w:r>
      <w:r w:rsidR="00B127FB" w:rsidRPr="00162D7F">
        <w:rPr>
          <w:sz w:val="28"/>
          <w:szCs w:val="27"/>
        </w:rPr>
        <w:t>№ </w:t>
      </w:r>
      <w:r w:rsidRPr="00162D7F">
        <w:rPr>
          <w:sz w:val="28"/>
          <w:szCs w:val="27"/>
        </w:rPr>
        <w:t>1578</w:t>
      </w:r>
    </w:p>
    <w:p w14:paraId="369FC444" w14:textId="77777777" w:rsidR="00EF570A" w:rsidRPr="00162D7F" w:rsidRDefault="00EF570A" w:rsidP="00EF570A">
      <w:pPr>
        <w:ind w:firstLine="567"/>
        <w:jc w:val="right"/>
        <w:rPr>
          <w:sz w:val="28"/>
          <w:szCs w:val="27"/>
        </w:rPr>
      </w:pPr>
    </w:p>
    <w:p w14:paraId="2A392777" w14:textId="77777777" w:rsidR="00EF570A" w:rsidRPr="00162D7F" w:rsidRDefault="00EF570A" w:rsidP="00EF570A">
      <w:pPr>
        <w:ind w:firstLine="567"/>
        <w:jc w:val="right"/>
        <w:rPr>
          <w:sz w:val="28"/>
          <w:szCs w:val="27"/>
        </w:rPr>
      </w:pPr>
      <w:r w:rsidRPr="00162D7F">
        <w:rPr>
          <w:sz w:val="28"/>
          <w:szCs w:val="27"/>
        </w:rPr>
        <w:t>УТВЕРЖДЕНО</w:t>
      </w:r>
    </w:p>
    <w:p w14:paraId="6DABD3FF" w14:textId="77777777" w:rsidR="00EF570A" w:rsidRPr="00162D7F" w:rsidRDefault="00EF570A" w:rsidP="00EF570A">
      <w:pPr>
        <w:ind w:firstLine="567"/>
        <w:jc w:val="right"/>
        <w:rPr>
          <w:sz w:val="28"/>
          <w:szCs w:val="27"/>
        </w:rPr>
      </w:pPr>
      <w:r w:rsidRPr="00162D7F">
        <w:rPr>
          <w:sz w:val="28"/>
          <w:szCs w:val="27"/>
        </w:rPr>
        <w:t>приказом министерства здравоохранения</w:t>
      </w:r>
    </w:p>
    <w:p w14:paraId="73F0E0AF" w14:textId="77777777" w:rsidR="00EF570A" w:rsidRPr="00162D7F" w:rsidRDefault="00EF570A" w:rsidP="00EF570A">
      <w:pPr>
        <w:ind w:firstLine="567"/>
        <w:jc w:val="right"/>
        <w:rPr>
          <w:sz w:val="28"/>
          <w:szCs w:val="27"/>
        </w:rPr>
      </w:pPr>
      <w:r w:rsidRPr="00162D7F">
        <w:rPr>
          <w:sz w:val="28"/>
          <w:szCs w:val="27"/>
        </w:rPr>
        <w:t>Новосибирской области</w:t>
      </w:r>
    </w:p>
    <w:p w14:paraId="7AE88DEF" w14:textId="77777777" w:rsidR="00EF570A" w:rsidRPr="00162D7F" w:rsidRDefault="00EF570A" w:rsidP="00EF570A">
      <w:pPr>
        <w:jc w:val="right"/>
        <w:rPr>
          <w:sz w:val="28"/>
          <w:szCs w:val="28"/>
        </w:rPr>
      </w:pPr>
      <w:r w:rsidRPr="00162D7F">
        <w:rPr>
          <w:sz w:val="28"/>
          <w:szCs w:val="27"/>
        </w:rPr>
        <w:t xml:space="preserve">от _______________ </w:t>
      </w:r>
      <w:r w:rsidR="00B127FB" w:rsidRPr="00162D7F">
        <w:rPr>
          <w:sz w:val="28"/>
          <w:szCs w:val="27"/>
        </w:rPr>
        <w:t>№ </w:t>
      </w:r>
      <w:r w:rsidRPr="00162D7F">
        <w:rPr>
          <w:sz w:val="28"/>
          <w:szCs w:val="27"/>
        </w:rPr>
        <w:t>__________</w:t>
      </w:r>
    </w:p>
    <w:p w14:paraId="469A0D79" w14:textId="77777777" w:rsidR="00EF570A" w:rsidRPr="00162D7F" w:rsidRDefault="00EF570A" w:rsidP="00EF570A">
      <w:pPr>
        <w:jc w:val="center"/>
        <w:rPr>
          <w:b/>
          <w:bCs/>
          <w:sz w:val="28"/>
          <w:szCs w:val="28"/>
        </w:rPr>
      </w:pPr>
    </w:p>
    <w:p w14:paraId="1F03BA58" w14:textId="77777777" w:rsidR="00966A64" w:rsidRPr="00676F22" w:rsidRDefault="00966A64" w:rsidP="00966A64">
      <w:pPr>
        <w:tabs>
          <w:tab w:val="left" w:pos="4147"/>
        </w:tabs>
        <w:jc w:val="center"/>
        <w:rPr>
          <w:b/>
          <w:sz w:val="28"/>
        </w:rPr>
      </w:pPr>
    </w:p>
    <w:p w14:paraId="6D107E35" w14:textId="77777777" w:rsidR="00966A64" w:rsidRPr="00676F22" w:rsidRDefault="00966A64" w:rsidP="00966A64">
      <w:pPr>
        <w:tabs>
          <w:tab w:val="left" w:pos="4147"/>
        </w:tabs>
        <w:jc w:val="center"/>
        <w:rPr>
          <w:b/>
          <w:sz w:val="28"/>
        </w:rPr>
      </w:pPr>
    </w:p>
    <w:p w14:paraId="2CC6B8F5" w14:textId="77777777" w:rsidR="00966A64" w:rsidRPr="00162D7F" w:rsidRDefault="00966A64" w:rsidP="00966A64">
      <w:pPr>
        <w:tabs>
          <w:tab w:val="left" w:pos="4147"/>
        </w:tabs>
        <w:jc w:val="center"/>
      </w:pPr>
      <w:r w:rsidRPr="00676F22">
        <w:rPr>
          <w:b/>
          <w:sz w:val="28"/>
        </w:rPr>
        <w:t xml:space="preserve">Регламент маршрутизации пациентов со стенотическим поражением экстракраниальных отделов </w:t>
      </w:r>
      <w:proofErr w:type="spellStart"/>
      <w:r w:rsidRPr="00676F22">
        <w:rPr>
          <w:b/>
          <w:sz w:val="28"/>
        </w:rPr>
        <w:t>брахиоцефальных</w:t>
      </w:r>
      <w:proofErr w:type="spellEnd"/>
      <w:r w:rsidRPr="00676F22">
        <w:rPr>
          <w:b/>
          <w:sz w:val="28"/>
        </w:rPr>
        <w:t xml:space="preserve"> артерий</w:t>
      </w:r>
    </w:p>
    <w:p w14:paraId="5EB252AA" w14:textId="77777777" w:rsidR="00966A64" w:rsidRPr="00676F22" w:rsidRDefault="00966A64" w:rsidP="00966A64">
      <w:pPr>
        <w:tabs>
          <w:tab w:val="left" w:pos="4147"/>
        </w:tabs>
        <w:jc w:val="center"/>
        <w:rPr>
          <w:b/>
          <w:sz w:val="28"/>
        </w:rPr>
      </w:pPr>
    </w:p>
    <w:p w14:paraId="7A1A1E6B" w14:textId="77777777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 xml:space="preserve">Настоящий Регламент регулирует вопросы организации оказания медицинской помощи пациентам со стенотическим поражением экстракраниальных отделов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 в государственных учреждениях здравоохранения Новосибирской области, оказывающих медицинскую помощь взрослому населению Новосибирской области.</w:t>
      </w:r>
    </w:p>
    <w:p w14:paraId="570DE6D5" w14:textId="77777777" w:rsidR="00966A64" w:rsidRPr="00676F22" w:rsidRDefault="00966A64" w:rsidP="00966A64">
      <w:pPr>
        <w:tabs>
          <w:tab w:val="left" w:pos="4147"/>
        </w:tabs>
        <w:spacing w:line="360" w:lineRule="exact"/>
        <w:ind w:firstLine="709"/>
        <w:jc w:val="both"/>
        <w:rPr>
          <w:rFonts w:eastAsia="PT Astra Serif"/>
          <w:sz w:val="28"/>
          <w:szCs w:val="28"/>
        </w:rPr>
      </w:pPr>
    </w:p>
    <w:p w14:paraId="4B5D4BE0" w14:textId="77777777" w:rsidR="00966A64" w:rsidRPr="00162D7F" w:rsidRDefault="00966A64" w:rsidP="00966A64">
      <w:pPr>
        <w:tabs>
          <w:tab w:val="left" w:pos="4147"/>
        </w:tabs>
        <w:spacing w:line="360" w:lineRule="exact"/>
        <w:ind w:left="709"/>
        <w:jc w:val="center"/>
      </w:pPr>
      <w:r w:rsidRPr="00676F22">
        <w:rPr>
          <w:rFonts w:eastAsia="PT Astra Serif"/>
          <w:b/>
          <w:sz w:val="28"/>
          <w:szCs w:val="28"/>
        </w:rPr>
        <w:t>1.</w:t>
      </w:r>
      <w:r w:rsidRPr="00676F22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b/>
          <w:sz w:val="28"/>
          <w:szCs w:val="28"/>
        </w:rPr>
        <w:t xml:space="preserve">Перечень государственных учреждений здравоохранения Новосибирской области, проводящих выявление стенотического поражения </w:t>
      </w:r>
      <w:proofErr w:type="spellStart"/>
      <w:r w:rsidRPr="00676F22">
        <w:rPr>
          <w:rFonts w:eastAsia="PT Astra Serif"/>
          <w:b/>
          <w:sz w:val="28"/>
          <w:szCs w:val="28"/>
        </w:rPr>
        <w:t>экстракранииальных</w:t>
      </w:r>
      <w:proofErr w:type="spellEnd"/>
      <w:r w:rsidRPr="00676F22">
        <w:rPr>
          <w:rFonts w:eastAsia="PT Astra Serif"/>
          <w:b/>
          <w:sz w:val="28"/>
          <w:szCs w:val="28"/>
        </w:rPr>
        <w:t xml:space="preserve"> отделов</w:t>
      </w:r>
      <w:r w:rsidRPr="00676F22">
        <w:rPr>
          <w:b/>
        </w:rPr>
        <w:t xml:space="preserve"> </w:t>
      </w:r>
      <w:proofErr w:type="spellStart"/>
      <w:r w:rsidRPr="00676F22">
        <w:rPr>
          <w:rFonts w:eastAsia="PT Astra Serif"/>
          <w:b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b/>
          <w:sz w:val="28"/>
          <w:szCs w:val="28"/>
        </w:rPr>
        <w:t xml:space="preserve"> артерий методами </w:t>
      </w:r>
      <w:proofErr w:type="spellStart"/>
      <w:r w:rsidRPr="00676F22">
        <w:rPr>
          <w:rFonts w:eastAsia="PT Astra Serif"/>
          <w:b/>
          <w:sz w:val="28"/>
          <w:szCs w:val="28"/>
        </w:rPr>
        <w:t>скринингового</w:t>
      </w:r>
      <w:proofErr w:type="spellEnd"/>
      <w:r w:rsidRPr="00676F22">
        <w:rPr>
          <w:rFonts w:eastAsia="PT Astra Serif"/>
          <w:b/>
          <w:sz w:val="28"/>
          <w:szCs w:val="28"/>
        </w:rPr>
        <w:t xml:space="preserve"> ультразвукового обследования и/или компьютерно-</w:t>
      </w:r>
      <w:proofErr w:type="spellStart"/>
      <w:r w:rsidRPr="00676F22">
        <w:rPr>
          <w:rFonts w:eastAsia="PT Astra Serif"/>
          <w:b/>
          <w:sz w:val="28"/>
          <w:szCs w:val="28"/>
        </w:rPr>
        <w:t>томографической</w:t>
      </w:r>
      <w:proofErr w:type="spellEnd"/>
      <w:r w:rsidRPr="00676F22">
        <w:rPr>
          <w:rFonts w:eastAsia="PT Astra Serif"/>
          <w:b/>
          <w:sz w:val="28"/>
          <w:szCs w:val="28"/>
        </w:rPr>
        <w:t xml:space="preserve"> ангиографии </w:t>
      </w:r>
      <w:proofErr w:type="spellStart"/>
      <w:r w:rsidRPr="00676F22">
        <w:rPr>
          <w:rFonts w:eastAsia="PT Astra Serif"/>
          <w:b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b/>
          <w:sz w:val="28"/>
          <w:szCs w:val="28"/>
        </w:rPr>
        <w:t xml:space="preserve"> и церебральных артерий</w:t>
      </w:r>
    </w:p>
    <w:p w14:paraId="5534A9B0" w14:textId="77777777" w:rsidR="00966A64" w:rsidRPr="00676F22" w:rsidRDefault="00966A64" w:rsidP="00966A64">
      <w:pPr>
        <w:tabs>
          <w:tab w:val="left" w:pos="4147"/>
        </w:tabs>
        <w:spacing w:line="360" w:lineRule="exact"/>
        <w:ind w:firstLine="709"/>
        <w:jc w:val="both"/>
        <w:rPr>
          <w:rFonts w:eastAsia="PT Astra Serif"/>
          <w:b/>
          <w:sz w:val="28"/>
          <w:szCs w:val="28"/>
        </w:rPr>
      </w:pPr>
    </w:p>
    <w:p w14:paraId="605EB28E" w14:textId="77777777" w:rsidR="00966A64" w:rsidRPr="00676F22" w:rsidRDefault="00C61530" w:rsidP="00966A64">
      <w:pPr>
        <w:tabs>
          <w:tab w:val="left" w:pos="4147"/>
        </w:tabs>
        <w:spacing w:line="360" w:lineRule="exact"/>
        <w:ind w:firstLine="709"/>
        <w:rPr>
          <w:sz w:val="28"/>
        </w:rPr>
      </w:pPr>
      <w:r w:rsidRPr="00676F22">
        <w:rPr>
          <w:sz w:val="28"/>
        </w:rPr>
        <w:t>Центральные районные (городские) больницы Новосибирской области;</w:t>
      </w:r>
    </w:p>
    <w:p w14:paraId="2BF4E7D3" w14:textId="77777777" w:rsidR="00C61530" w:rsidRPr="00676F22" w:rsidRDefault="00C61530" w:rsidP="00966A64">
      <w:pPr>
        <w:tabs>
          <w:tab w:val="left" w:pos="4147"/>
        </w:tabs>
        <w:spacing w:line="360" w:lineRule="exact"/>
        <w:ind w:firstLine="709"/>
        <w:rPr>
          <w:sz w:val="28"/>
        </w:rPr>
      </w:pPr>
      <w:r w:rsidRPr="00676F22">
        <w:rPr>
          <w:sz w:val="28"/>
        </w:rPr>
        <w:t>ГБУЗ НСО «ГНОКБ»;</w:t>
      </w:r>
    </w:p>
    <w:p w14:paraId="6D6E5541" w14:textId="77777777" w:rsidR="00C61530" w:rsidRPr="00676F22" w:rsidRDefault="00C61530" w:rsidP="00966A64">
      <w:pPr>
        <w:tabs>
          <w:tab w:val="left" w:pos="4147"/>
        </w:tabs>
        <w:spacing w:line="360" w:lineRule="exact"/>
        <w:ind w:firstLine="709"/>
        <w:rPr>
          <w:sz w:val="28"/>
        </w:rPr>
      </w:pPr>
      <w:r w:rsidRPr="00676F22">
        <w:rPr>
          <w:sz w:val="28"/>
        </w:rPr>
        <w:t xml:space="preserve">ГБУЗ НСО «ГКБ </w:t>
      </w:r>
      <w:r w:rsidR="00B127FB" w:rsidRPr="00676F22">
        <w:rPr>
          <w:sz w:val="28"/>
        </w:rPr>
        <w:t>№ </w:t>
      </w:r>
      <w:r w:rsidRPr="00676F22">
        <w:rPr>
          <w:sz w:val="28"/>
        </w:rPr>
        <w:t>1»;</w:t>
      </w:r>
    </w:p>
    <w:p w14:paraId="3CC98305" w14:textId="77777777" w:rsidR="00C61530" w:rsidRPr="00676F22" w:rsidRDefault="00C61530" w:rsidP="00966A64">
      <w:pPr>
        <w:tabs>
          <w:tab w:val="left" w:pos="4147"/>
        </w:tabs>
        <w:spacing w:line="360" w:lineRule="exact"/>
        <w:ind w:firstLine="709"/>
        <w:rPr>
          <w:sz w:val="28"/>
        </w:rPr>
      </w:pPr>
      <w:r w:rsidRPr="00676F22">
        <w:rPr>
          <w:sz w:val="28"/>
        </w:rPr>
        <w:t xml:space="preserve">ГБУЗ НСО «ГКБ </w:t>
      </w:r>
      <w:r w:rsidR="00B127FB" w:rsidRPr="00676F22">
        <w:rPr>
          <w:sz w:val="28"/>
        </w:rPr>
        <w:t>№ </w:t>
      </w:r>
      <w:r w:rsidRPr="00676F22">
        <w:rPr>
          <w:sz w:val="28"/>
        </w:rPr>
        <w:t>2»;</w:t>
      </w:r>
    </w:p>
    <w:p w14:paraId="19B41995" w14:textId="77777777" w:rsidR="00C61530" w:rsidRPr="00676F22" w:rsidRDefault="00C61530" w:rsidP="00966A64">
      <w:pPr>
        <w:tabs>
          <w:tab w:val="left" w:pos="4147"/>
        </w:tabs>
        <w:spacing w:line="360" w:lineRule="exact"/>
        <w:ind w:firstLine="709"/>
        <w:rPr>
          <w:sz w:val="28"/>
        </w:rPr>
      </w:pPr>
      <w:r w:rsidRPr="00676F22">
        <w:rPr>
          <w:sz w:val="28"/>
        </w:rPr>
        <w:t xml:space="preserve">ГБУЗ НСО «ГКБСМП </w:t>
      </w:r>
      <w:r w:rsidR="00B127FB" w:rsidRPr="00676F22">
        <w:rPr>
          <w:sz w:val="28"/>
        </w:rPr>
        <w:t>№ </w:t>
      </w:r>
      <w:r w:rsidRPr="00676F22">
        <w:rPr>
          <w:sz w:val="28"/>
        </w:rPr>
        <w:t>2»;</w:t>
      </w:r>
    </w:p>
    <w:p w14:paraId="2D461689" w14:textId="77777777" w:rsidR="00C61530" w:rsidRPr="00676F22" w:rsidRDefault="00C61530" w:rsidP="00966A64">
      <w:pPr>
        <w:tabs>
          <w:tab w:val="left" w:pos="4147"/>
        </w:tabs>
        <w:spacing w:line="360" w:lineRule="exact"/>
        <w:ind w:firstLine="709"/>
        <w:rPr>
          <w:sz w:val="28"/>
        </w:rPr>
      </w:pPr>
      <w:r w:rsidRPr="00676F22">
        <w:rPr>
          <w:sz w:val="28"/>
        </w:rPr>
        <w:t>ГБУЗ НСО «</w:t>
      </w:r>
      <w:r w:rsidR="00562E27" w:rsidRPr="00676F22">
        <w:rPr>
          <w:sz w:val="28"/>
        </w:rPr>
        <w:t xml:space="preserve">ГКБ </w:t>
      </w:r>
      <w:r w:rsidR="00B127FB" w:rsidRPr="00676F22">
        <w:rPr>
          <w:sz w:val="28"/>
        </w:rPr>
        <w:t>№ </w:t>
      </w:r>
      <w:r w:rsidR="00562E27" w:rsidRPr="00676F22">
        <w:rPr>
          <w:sz w:val="28"/>
        </w:rPr>
        <w:t>11»;</w:t>
      </w:r>
    </w:p>
    <w:p w14:paraId="74DB6274" w14:textId="77777777" w:rsidR="00562E27" w:rsidRPr="00676F22" w:rsidRDefault="00562E27" w:rsidP="00966A64">
      <w:pPr>
        <w:tabs>
          <w:tab w:val="left" w:pos="4147"/>
        </w:tabs>
        <w:spacing w:line="360" w:lineRule="exact"/>
        <w:ind w:firstLine="709"/>
        <w:rPr>
          <w:sz w:val="28"/>
        </w:rPr>
      </w:pPr>
      <w:r w:rsidRPr="00676F22">
        <w:rPr>
          <w:sz w:val="28"/>
        </w:rPr>
        <w:t xml:space="preserve">ГБУЗ НСО «ГКБ </w:t>
      </w:r>
      <w:r w:rsidR="00B127FB" w:rsidRPr="00676F22">
        <w:rPr>
          <w:sz w:val="28"/>
        </w:rPr>
        <w:t>№ </w:t>
      </w:r>
      <w:r w:rsidRPr="00676F22">
        <w:rPr>
          <w:sz w:val="28"/>
        </w:rPr>
        <w:t>34»;</w:t>
      </w:r>
    </w:p>
    <w:p w14:paraId="1F5CF06F" w14:textId="77777777" w:rsidR="00562E27" w:rsidRPr="00676F22" w:rsidRDefault="00562E27" w:rsidP="00966A64">
      <w:pPr>
        <w:tabs>
          <w:tab w:val="left" w:pos="4147"/>
        </w:tabs>
        <w:spacing w:line="360" w:lineRule="exact"/>
        <w:ind w:firstLine="709"/>
        <w:rPr>
          <w:sz w:val="28"/>
        </w:rPr>
      </w:pPr>
      <w:r w:rsidRPr="00676F22">
        <w:rPr>
          <w:sz w:val="28"/>
        </w:rPr>
        <w:t>ГБУЗ НСО «ЦКБ»;</w:t>
      </w:r>
    </w:p>
    <w:p w14:paraId="4B808234" w14:textId="77777777" w:rsidR="00562E27" w:rsidRPr="00676F22" w:rsidRDefault="00562E27" w:rsidP="00966A64">
      <w:pPr>
        <w:tabs>
          <w:tab w:val="left" w:pos="4147"/>
        </w:tabs>
        <w:spacing w:line="360" w:lineRule="exact"/>
        <w:ind w:firstLine="709"/>
        <w:rPr>
          <w:sz w:val="28"/>
        </w:rPr>
      </w:pPr>
      <w:r w:rsidRPr="00676F22">
        <w:rPr>
          <w:sz w:val="28"/>
        </w:rPr>
        <w:t xml:space="preserve">ГБУЗ НСО «ГБ </w:t>
      </w:r>
      <w:r w:rsidR="00B127FB" w:rsidRPr="00676F22">
        <w:rPr>
          <w:sz w:val="28"/>
        </w:rPr>
        <w:t>№ </w:t>
      </w:r>
      <w:r w:rsidRPr="00676F22">
        <w:rPr>
          <w:sz w:val="28"/>
        </w:rPr>
        <w:t>3»;</w:t>
      </w:r>
    </w:p>
    <w:p w14:paraId="1C0FE15B" w14:textId="77777777" w:rsidR="00562E27" w:rsidRPr="00676F22" w:rsidRDefault="00562E27" w:rsidP="00966A64">
      <w:pPr>
        <w:tabs>
          <w:tab w:val="left" w:pos="4147"/>
        </w:tabs>
        <w:spacing w:line="360" w:lineRule="exact"/>
        <w:ind w:firstLine="709"/>
        <w:rPr>
          <w:sz w:val="28"/>
        </w:rPr>
      </w:pPr>
      <w:r w:rsidRPr="00676F22">
        <w:rPr>
          <w:sz w:val="28"/>
        </w:rPr>
        <w:t xml:space="preserve">ГБУЗ НСО «ГБ </w:t>
      </w:r>
      <w:r w:rsidR="00B127FB" w:rsidRPr="00676F22">
        <w:rPr>
          <w:sz w:val="28"/>
        </w:rPr>
        <w:t>№ </w:t>
      </w:r>
      <w:r w:rsidRPr="00676F22">
        <w:rPr>
          <w:sz w:val="28"/>
        </w:rPr>
        <w:t>4»</w:t>
      </w:r>
      <w:r w:rsidR="00F26C9B" w:rsidRPr="00676F22">
        <w:rPr>
          <w:sz w:val="28"/>
        </w:rPr>
        <w:t>.</w:t>
      </w:r>
    </w:p>
    <w:p w14:paraId="28451915" w14:textId="77777777" w:rsidR="00C61530" w:rsidRPr="00676F22" w:rsidRDefault="00C61530" w:rsidP="00966A64">
      <w:pPr>
        <w:tabs>
          <w:tab w:val="left" w:pos="4147"/>
        </w:tabs>
        <w:spacing w:line="360" w:lineRule="exact"/>
        <w:ind w:firstLine="709"/>
        <w:rPr>
          <w:sz w:val="28"/>
        </w:rPr>
      </w:pPr>
    </w:p>
    <w:p w14:paraId="7DDFF6DE" w14:textId="77777777" w:rsidR="00562E27" w:rsidRPr="00676F22" w:rsidRDefault="00562E27" w:rsidP="00966A64">
      <w:pPr>
        <w:tabs>
          <w:tab w:val="left" w:pos="4147"/>
        </w:tabs>
        <w:spacing w:line="360" w:lineRule="exact"/>
        <w:ind w:left="709"/>
        <w:jc w:val="center"/>
        <w:rPr>
          <w:b/>
          <w:sz w:val="28"/>
        </w:rPr>
      </w:pPr>
    </w:p>
    <w:p w14:paraId="140EA45A" w14:textId="77777777" w:rsidR="00562E27" w:rsidRPr="00676F22" w:rsidRDefault="00562E27" w:rsidP="00966A64">
      <w:pPr>
        <w:tabs>
          <w:tab w:val="left" w:pos="4147"/>
        </w:tabs>
        <w:spacing w:line="360" w:lineRule="exact"/>
        <w:ind w:left="709"/>
        <w:jc w:val="center"/>
        <w:rPr>
          <w:b/>
          <w:sz w:val="28"/>
        </w:rPr>
      </w:pPr>
    </w:p>
    <w:p w14:paraId="10C3D45C" w14:textId="77777777" w:rsidR="00966A64" w:rsidRPr="00162D7F" w:rsidRDefault="00966A64" w:rsidP="00966A64">
      <w:pPr>
        <w:tabs>
          <w:tab w:val="left" w:pos="4147"/>
        </w:tabs>
        <w:spacing w:line="360" w:lineRule="exact"/>
        <w:ind w:left="709"/>
        <w:jc w:val="center"/>
      </w:pPr>
      <w:r w:rsidRPr="00676F22">
        <w:rPr>
          <w:b/>
          <w:sz w:val="28"/>
        </w:rPr>
        <w:lastRenderedPageBreak/>
        <w:t xml:space="preserve">2. Перечень </w:t>
      </w:r>
      <w:r w:rsidRPr="00676F22">
        <w:rPr>
          <w:rFonts w:eastAsia="PT Astra Serif"/>
          <w:b/>
          <w:sz w:val="28"/>
          <w:szCs w:val="28"/>
        </w:rPr>
        <w:t>государственных учреждений здравоохранения Новосибирской области, оказывающих специализированную медицинскую помощь пациентам со стенотическим поражением экстракраниальных отделов</w:t>
      </w:r>
      <w:r w:rsidRPr="00676F22">
        <w:rPr>
          <w:b/>
        </w:rPr>
        <w:t xml:space="preserve"> </w:t>
      </w:r>
      <w:proofErr w:type="spellStart"/>
      <w:r w:rsidRPr="00676F22">
        <w:rPr>
          <w:rFonts w:eastAsia="PT Astra Serif"/>
          <w:b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b/>
          <w:sz w:val="28"/>
          <w:szCs w:val="28"/>
        </w:rPr>
        <w:t xml:space="preserve"> артерий</w:t>
      </w:r>
    </w:p>
    <w:p w14:paraId="43B681B9" w14:textId="77777777" w:rsidR="00966A64" w:rsidRPr="00676F22" w:rsidRDefault="00966A64" w:rsidP="00966A64">
      <w:pPr>
        <w:tabs>
          <w:tab w:val="left" w:pos="4147"/>
        </w:tabs>
        <w:spacing w:line="360" w:lineRule="exact"/>
        <w:ind w:left="709"/>
        <w:jc w:val="center"/>
        <w:rPr>
          <w:rFonts w:eastAsia="PT Astra Serif"/>
          <w:b/>
          <w:sz w:val="28"/>
          <w:szCs w:val="28"/>
        </w:rPr>
      </w:pPr>
    </w:p>
    <w:p w14:paraId="4B9B67CE" w14:textId="77777777" w:rsidR="00966A64" w:rsidRPr="00676F22" w:rsidRDefault="00966A64" w:rsidP="00966A64">
      <w:pPr>
        <w:tabs>
          <w:tab w:val="left" w:pos="4147"/>
        </w:tabs>
        <w:spacing w:line="360" w:lineRule="exact"/>
        <w:ind w:firstLine="709"/>
        <w:rPr>
          <w:sz w:val="28"/>
        </w:rPr>
      </w:pPr>
      <w:r w:rsidRPr="00676F22">
        <w:rPr>
          <w:sz w:val="28"/>
        </w:rPr>
        <w:t>ГБУЗ «Государственная Новосибирская областная клиническая больница»</w:t>
      </w:r>
      <w:r w:rsidR="00562E27" w:rsidRPr="00676F22">
        <w:rPr>
          <w:sz w:val="28"/>
        </w:rPr>
        <w:t>;</w:t>
      </w:r>
    </w:p>
    <w:p w14:paraId="23EA1C42" w14:textId="77777777" w:rsidR="00966A64" w:rsidRPr="00676F22" w:rsidRDefault="00966A64" w:rsidP="00966A64">
      <w:pPr>
        <w:tabs>
          <w:tab w:val="left" w:pos="4147"/>
        </w:tabs>
        <w:spacing w:line="360" w:lineRule="exact"/>
        <w:ind w:firstLine="709"/>
        <w:rPr>
          <w:sz w:val="28"/>
        </w:rPr>
      </w:pPr>
      <w:r w:rsidRPr="00676F22">
        <w:rPr>
          <w:sz w:val="28"/>
        </w:rPr>
        <w:t xml:space="preserve">ГБУЗ «Городская клиническая больница </w:t>
      </w:r>
      <w:r w:rsidR="00B127FB" w:rsidRPr="00676F22">
        <w:rPr>
          <w:sz w:val="28"/>
        </w:rPr>
        <w:t>№ </w:t>
      </w:r>
      <w:r w:rsidRPr="00676F22">
        <w:rPr>
          <w:sz w:val="28"/>
        </w:rPr>
        <w:t>1»</w:t>
      </w:r>
      <w:r w:rsidR="00562E27" w:rsidRPr="00676F22">
        <w:rPr>
          <w:sz w:val="28"/>
        </w:rPr>
        <w:t>;</w:t>
      </w:r>
    </w:p>
    <w:p w14:paraId="674AE252" w14:textId="77777777" w:rsidR="00966A64" w:rsidRPr="00676F22" w:rsidRDefault="00966A64" w:rsidP="00966A64">
      <w:pPr>
        <w:tabs>
          <w:tab w:val="left" w:pos="4147"/>
        </w:tabs>
        <w:spacing w:line="360" w:lineRule="exact"/>
        <w:ind w:firstLine="709"/>
        <w:rPr>
          <w:sz w:val="28"/>
        </w:rPr>
      </w:pPr>
      <w:r w:rsidRPr="00676F22">
        <w:rPr>
          <w:sz w:val="28"/>
        </w:rPr>
        <w:t xml:space="preserve">ФГБУ «НМИЦ им. </w:t>
      </w:r>
      <w:proofErr w:type="spellStart"/>
      <w:r w:rsidRPr="00676F22">
        <w:rPr>
          <w:sz w:val="28"/>
        </w:rPr>
        <w:t>ак</w:t>
      </w:r>
      <w:proofErr w:type="spellEnd"/>
      <w:r w:rsidRPr="00676F22">
        <w:rPr>
          <w:sz w:val="28"/>
        </w:rPr>
        <w:t>. Е.Н. Мешалкина» Минздрава России</w:t>
      </w:r>
      <w:r w:rsidR="00562E27" w:rsidRPr="00676F22">
        <w:rPr>
          <w:sz w:val="28"/>
        </w:rPr>
        <w:t>;</w:t>
      </w:r>
    </w:p>
    <w:p w14:paraId="3ED95588" w14:textId="77777777" w:rsidR="00966A64" w:rsidRPr="00162D7F" w:rsidRDefault="00966A64" w:rsidP="00966A64">
      <w:pPr>
        <w:tabs>
          <w:tab w:val="left" w:pos="4147"/>
        </w:tabs>
        <w:spacing w:line="360" w:lineRule="exact"/>
        <w:ind w:firstLine="709"/>
      </w:pPr>
      <w:r w:rsidRPr="00676F22">
        <w:rPr>
          <w:sz w:val="28"/>
        </w:rPr>
        <w:t>ФГБУ «Федеральный центр нейрохирургии»</w:t>
      </w:r>
      <w:r w:rsidR="00E94252" w:rsidRPr="00676F22">
        <w:rPr>
          <w:sz w:val="28"/>
        </w:rPr>
        <w:t xml:space="preserve"> Минздрава России</w:t>
      </w:r>
      <w:r w:rsidR="00F26C9B" w:rsidRPr="00676F22">
        <w:rPr>
          <w:sz w:val="28"/>
        </w:rPr>
        <w:t>.</w:t>
      </w:r>
    </w:p>
    <w:p w14:paraId="32B311E8" w14:textId="77777777" w:rsidR="00966A64" w:rsidRPr="00676F22" w:rsidRDefault="00966A64" w:rsidP="00966A64">
      <w:pPr>
        <w:tabs>
          <w:tab w:val="left" w:pos="4147"/>
        </w:tabs>
        <w:spacing w:line="360" w:lineRule="exact"/>
        <w:ind w:left="709"/>
        <w:jc w:val="both"/>
        <w:rPr>
          <w:sz w:val="28"/>
        </w:rPr>
      </w:pPr>
    </w:p>
    <w:p w14:paraId="1AC2C068" w14:textId="77777777" w:rsidR="00966A64" w:rsidRPr="00162D7F" w:rsidRDefault="00966A64" w:rsidP="00966A64">
      <w:pPr>
        <w:tabs>
          <w:tab w:val="left" w:pos="4147"/>
        </w:tabs>
        <w:spacing w:line="360" w:lineRule="exact"/>
        <w:ind w:left="709"/>
        <w:jc w:val="center"/>
      </w:pPr>
      <w:r w:rsidRPr="00676F22">
        <w:rPr>
          <w:b/>
          <w:sz w:val="28"/>
        </w:rPr>
        <w:t>3</w:t>
      </w:r>
      <w:r w:rsidRPr="00676F22">
        <w:rPr>
          <w:sz w:val="28"/>
        </w:rPr>
        <w:t>. </w:t>
      </w:r>
      <w:r w:rsidRPr="00676F22">
        <w:rPr>
          <w:b/>
          <w:sz w:val="28"/>
        </w:rPr>
        <w:t xml:space="preserve">Алгоритм оказания медицинской помощи пациентам со стенотическим </w:t>
      </w:r>
      <w:r w:rsidRPr="00676F22">
        <w:rPr>
          <w:rFonts w:eastAsia="PT Astra Serif"/>
          <w:b/>
          <w:sz w:val="28"/>
          <w:szCs w:val="28"/>
        </w:rPr>
        <w:t xml:space="preserve">поражением </w:t>
      </w:r>
      <w:proofErr w:type="spellStart"/>
      <w:r w:rsidRPr="00676F22">
        <w:rPr>
          <w:rFonts w:eastAsia="PT Astra Serif"/>
          <w:b/>
          <w:sz w:val="28"/>
          <w:szCs w:val="28"/>
        </w:rPr>
        <w:t>экстракранииальных</w:t>
      </w:r>
      <w:proofErr w:type="spellEnd"/>
      <w:r w:rsidRPr="00676F22">
        <w:rPr>
          <w:rFonts w:eastAsia="PT Astra Serif"/>
          <w:b/>
          <w:sz w:val="28"/>
          <w:szCs w:val="28"/>
        </w:rPr>
        <w:t xml:space="preserve"> отделов</w:t>
      </w:r>
      <w:r w:rsidRPr="00676F22">
        <w:rPr>
          <w:b/>
        </w:rPr>
        <w:t xml:space="preserve"> </w:t>
      </w:r>
      <w:proofErr w:type="spellStart"/>
      <w:r w:rsidRPr="00676F22">
        <w:rPr>
          <w:rFonts w:eastAsia="PT Astra Serif"/>
          <w:b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b/>
          <w:sz w:val="28"/>
          <w:szCs w:val="28"/>
        </w:rPr>
        <w:t xml:space="preserve"> артерий на этапе оказания первичной медико-санитарной помощи</w:t>
      </w:r>
    </w:p>
    <w:p w14:paraId="3C5C286D" w14:textId="77777777" w:rsidR="00966A64" w:rsidRPr="00676F22" w:rsidRDefault="00966A64" w:rsidP="00966A64">
      <w:pPr>
        <w:tabs>
          <w:tab w:val="left" w:pos="4147"/>
        </w:tabs>
        <w:spacing w:line="360" w:lineRule="exact"/>
        <w:ind w:left="709"/>
        <w:jc w:val="center"/>
        <w:rPr>
          <w:rFonts w:eastAsia="PT Astra Serif"/>
          <w:b/>
          <w:sz w:val="28"/>
          <w:szCs w:val="28"/>
        </w:rPr>
      </w:pPr>
    </w:p>
    <w:p w14:paraId="3687C4DA" w14:textId="77777777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3.1. </w:t>
      </w:r>
      <w:proofErr w:type="spellStart"/>
      <w:r w:rsidRPr="00676F22">
        <w:rPr>
          <w:rFonts w:eastAsia="PT Astra Serif"/>
          <w:sz w:val="28"/>
          <w:szCs w:val="28"/>
        </w:rPr>
        <w:t>Скрининговое</w:t>
      </w:r>
      <w:proofErr w:type="spellEnd"/>
      <w:r w:rsidRPr="00676F22">
        <w:rPr>
          <w:rFonts w:eastAsia="PT Astra Serif"/>
          <w:sz w:val="28"/>
          <w:szCs w:val="28"/>
        </w:rPr>
        <w:t xml:space="preserve"> ультразвуковое обследование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 с целью выявления </w:t>
      </w:r>
      <w:proofErr w:type="spellStart"/>
      <w:r w:rsidRPr="00676F22">
        <w:rPr>
          <w:rFonts w:eastAsia="PT Astra Serif"/>
          <w:sz w:val="28"/>
          <w:szCs w:val="28"/>
        </w:rPr>
        <w:t>окклюзионно</w:t>
      </w:r>
      <w:proofErr w:type="spellEnd"/>
      <w:r w:rsidRPr="00676F22">
        <w:rPr>
          <w:rFonts w:eastAsia="PT Astra Serif"/>
          <w:sz w:val="28"/>
          <w:szCs w:val="28"/>
        </w:rPr>
        <w:t xml:space="preserve">-стенотического поражения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 осуществляется в медицинских организациях Новосибирской области, указанных в пункте 1 настоящего приложения.</w:t>
      </w:r>
    </w:p>
    <w:p w14:paraId="11979E37" w14:textId="77777777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 xml:space="preserve">3.2. Показаниями для проведения </w:t>
      </w:r>
      <w:proofErr w:type="spellStart"/>
      <w:r w:rsidRPr="00676F22">
        <w:rPr>
          <w:rFonts w:eastAsia="PT Astra Serif"/>
          <w:sz w:val="28"/>
          <w:szCs w:val="28"/>
        </w:rPr>
        <w:t>скринингового</w:t>
      </w:r>
      <w:proofErr w:type="spellEnd"/>
      <w:r w:rsidRPr="00676F22">
        <w:rPr>
          <w:rFonts w:eastAsia="PT Astra Serif"/>
          <w:sz w:val="28"/>
          <w:szCs w:val="28"/>
        </w:rPr>
        <w:t xml:space="preserve"> ультразвукового обследования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 являются:</w:t>
      </w:r>
    </w:p>
    <w:p w14:paraId="009D4E3F" w14:textId="5A5ABB25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-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>наличие в анамнезе острых ишемических церебральных событий - транзиторная ишемическая атака и/или ишемический инсульт в бассейне внутренней сонной артерии и/или в вертебробазилярном бассейне;</w:t>
      </w:r>
    </w:p>
    <w:p w14:paraId="2DCF6516" w14:textId="1EF6157C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-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 xml:space="preserve">пациент в возрасте старше 50 лет, без наличия в анамнезе острых церебральных событий, но имеющий факторы риска наличия атеросклеротического поражения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артерий:</w:t>
      </w:r>
      <w:r w:rsidR="00B127FB" w:rsidRPr="00676F22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 xml:space="preserve">облитерирующего атеросклеротического поражения артерий нижних конечностей, ишемической болезни сердца, </w:t>
      </w:r>
      <w:proofErr w:type="spellStart"/>
      <w:r w:rsidRPr="00676F22">
        <w:rPr>
          <w:rFonts w:eastAsia="PT Astra Serif"/>
          <w:sz w:val="28"/>
          <w:szCs w:val="28"/>
        </w:rPr>
        <w:t>аневризматического</w:t>
      </w:r>
      <w:proofErr w:type="spellEnd"/>
      <w:r w:rsidRPr="00676F22">
        <w:rPr>
          <w:rFonts w:eastAsia="PT Astra Serif"/>
          <w:sz w:val="28"/>
          <w:szCs w:val="28"/>
        </w:rPr>
        <w:t xml:space="preserve"> расширения грудного или брюшного отдела аорты, </w:t>
      </w:r>
      <w:proofErr w:type="spellStart"/>
      <w:r w:rsidRPr="00676F22">
        <w:rPr>
          <w:rFonts w:eastAsia="PT Astra Serif"/>
          <w:sz w:val="28"/>
          <w:szCs w:val="28"/>
        </w:rPr>
        <w:t>аускультативно</w:t>
      </w:r>
      <w:proofErr w:type="spellEnd"/>
      <w:r w:rsidRPr="00676F22">
        <w:rPr>
          <w:rFonts w:eastAsia="PT Astra Serif"/>
          <w:sz w:val="28"/>
          <w:szCs w:val="28"/>
        </w:rPr>
        <w:t xml:space="preserve"> выслушиваемого шума над сонными артериями, дополнительных факторов риска развития атеросклероза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 (сахарный диабет, </w:t>
      </w:r>
      <w:proofErr w:type="spellStart"/>
      <w:r w:rsidRPr="00676F22">
        <w:rPr>
          <w:rFonts w:eastAsia="PT Astra Serif"/>
          <w:sz w:val="28"/>
          <w:szCs w:val="28"/>
        </w:rPr>
        <w:t>гиперлипидемия</w:t>
      </w:r>
      <w:proofErr w:type="spellEnd"/>
      <w:r w:rsidRPr="00676F22">
        <w:rPr>
          <w:rFonts w:eastAsia="PT Astra Serif"/>
          <w:sz w:val="28"/>
          <w:szCs w:val="28"/>
        </w:rPr>
        <w:t>, отягощенный артериальный анамнез)</w:t>
      </w:r>
      <w:r w:rsidR="00162D7F">
        <w:rPr>
          <w:rFonts w:eastAsia="PT Astra Serif"/>
          <w:sz w:val="28"/>
          <w:szCs w:val="28"/>
        </w:rPr>
        <w:t>;</w:t>
      </w:r>
    </w:p>
    <w:p w14:paraId="0865B831" w14:textId="61A2F8A8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-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 xml:space="preserve">в рамках второго этапа диспансеризации при наличии комбинации трех факторов риска развития хронических неинфекционных заболеваний у мужчин в возрасте от 45 до 72 лет включительно и женщин в возрасте от 54 до 72 лет включительно: повышенный уровень артериального давления, </w:t>
      </w:r>
      <w:proofErr w:type="spellStart"/>
      <w:r w:rsidRPr="00676F22">
        <w:rPr>
          <w:rFonts w:eastAsia="PT Astra Serif"/>
          <w:sz w:val="28"/>
          <w:szCs w:val="28"/>
        </w:rPr>
        <w:t>гиперхолестеринемия</w:t>
      </w:r>
      <w:proofErr w:type="spellEnd"/>
      <w:r w:rsidRPr="00676F22">
        <w:rPr>
          <w:rFonts w:eastAsia="PT Astra Serif"/>
          <w:sz w:val="28"/>
          <w:szCs w:val="28"/>
        </w:rPr>
        <w:t>, избыточная масса тела или ожирение.</w:t>
      </w:r>
    </w:p>
    <w:p w14:paraId="4157DB72" w14:textId="442A313A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3.3.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 xml:space="preserve">Направление пациентов на ультразвуковое обследование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 с целью выявления </w:t>
      </w:r>
      <w:proofErr w:type="spellStart"/>
      <w:r w:rsidRPr="00676F22">
        <w:rPr>
          <w:rFonts w:eastAsia="PT Astra Serif"/>
          <w:sz w:val="28"/>
          <w:szCs w:val="28"/>
        </w:rPr>
        <w:t>окклюзионно</w:t>
      </w:r>
      <w:proofErr w:type="spellEnd"/>
      <w:r w:rsidRPr="00676F22">
        <w:rPr>
          <w:rFonts w:eastAsia="PT Astra Serif"/>
          <w:sz w:val="28"/>
          <w:szCs w:val="28"/>
        </w:rPr>
        <w:t xml:space="preserve">-стенотического </w:t>
      </w:r>
      <w:r w:rsidRPr="00676F22">
        <w:rPr>
          <w:rFonts w:eastAsia="PT Astra Serif"/>
          <w:sz w:val="28"/>
          <w:szCs w:val="28"/>
        </w:rPr>
        <w:lastRenderedPageBreak/>
        <w:t xml:space="preserve">поражения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 должно осуществляться врачами-специалистами амбулаторно-поликлинического этапа при наличии медицинских показаний согласно подпункта 3.2 приложения.</w:t>
      </w:r>
    </w:p>
    <w:p w14:paraId="628A89FA" w14:textId="21AF6300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3.3.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 xml:space="preserve">В соответствии с установленными показаниями пациентам с выявленным по данным </w:t>
      </w:r>
      <w:proofErr w:type="spellStart"/>
      <w:r w:rsidRPr="00676F22">
        <w:rPr>
          <w:rFonts w:eastAsia="PT Astra Serif"/>
          <w:sz w:val="28"/>
          <w:szCs w:val="28"/>
        </w:rPr>
        <w:t>скринингового</w:t>
      </w:r>
      <w:proofErr w:type="spellEnd"/>
      <w:r w:rsidRPr="00676F22">
        <w:rPr>
          <w:rFonts w:eastAsia="PT Astra Serif"/>
          <w:sz w:val="28"/>
          <w:szCs w:val="28"/>
        </w:rPr>
        <w:t xml:space="preserve"> ультразвукового обследования </w:t>
      </w:r>
      <w:proofErr w:type="spellStart"/>
      <w:r w:rsidRPr="00676F22">
        <w:rPr>
          <w:rFonts w:eastAsia="PT Astra Serif"/>
          <w:sz w:val="28"/>
          <w:szCs w:val="28"/>
        </w:rPr>
        <w:t>окклюзионно</w:t>
      </w:r>
      <w:proofErr w:type="spellEnd"/>
      <w:r w:rsidRPr="00676F22">
        <w:rPr>
          <w:rFonts w:eastAsia="PT Astra Serif"/>
          <w:sz w:val="28"/>
          <w:szCs w:val="28"/>
        </w:rPr>
        <w:t xml:space="preserve">-стенотическим поражением экстракраниальных отделов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 проводится компьютерно-</w:t>
      </w:r>
      <w:proofErr w:type="spellStart"/>
      <w:r w:rsidRPr="00676F22">
        <w:rPr>
          <w:rFonts w:eastAsia="PT Astra Serif"/>
          <w:sz w:val="28"/>
          <w:szCs w:val="28"/>
        </w:rPr>
        <w:t>томографическая</w:t>
      </w:r>
      <w:proofErr w:type="spellEnd"/>
      <w:r w:rsidRPr="00676F22">
        <w:rPr>
          <w:rFonts w:eastAsia="PT Astra Serif"/>
          <w:sz w:val="28"/>
          <w:szCs w:val="28"/>
        </w:rPr>
        <w:t xml:space="preserve"> ангиография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и церебральных артерий.</w:t>
      </w:r>
    </w:p>
    <w:p w14:paraId="77DC3101" w14:textId="6075C42D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3.4.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>Показаниями для проведения компьютерно-</w:t>
      </w:r>
      <w:proofErr w:type="spellStart"/>
      <w:r w:rsidRPr="00676F22">
        <w:rPr>
          <w:rFonts w:eastAsia="PT Astra Serif"/>
          <w:sz w:val="28"/>
          <w:szCs w:val="28"/>
        </w:rPr>
        <w:t>томографической</w:t>
      </w:r>
      <w:proofErr w:type="spellEnd"/>
      <w:r w:rsidRPr="00676F22">
        <w:rPr>
          <w:rFonts w:eastAsia="PT Astra Serif"/>
          <w:sz w:val="28"/>
          <w:szCs w:val="28"/>
        </w:rPr>
        <w:t xml:space="preserve"> ангиографии являются:</w:t>
      </w:r>
    </w:p>
    <w:p w14:paraId="5550F6DD" w14:textId="20F3CFA3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-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 xml:space="preserve">стеноз внутренней сонной </w:t>
      </w:r>
      <w:proofErr w:type="gramStart"/>
      <w:r w:rsidRPr="00676F22">
        <w:rPr>
          <w:rFonts w:eastAsia="PT Astra Serif"/>
          <w:sz w:val="28"/>
          <w:szCs w:val="28"/>
        </w:rPr>
        <w:t>артерии &gt;</w:t>
      </w:r>
      <w:proofErr w:type="gramEnd"/>
      <w:r w:rsidRPr="00676F22">
        <w:rPr>
          <w:rFonts w:eastAsia="PT Astra Serif"/>
          <w:sz w:val="28"/>
          <w:szCs w:val="28"/>
        </w:rPr>
        <w:t xml:space="preserve">= 50% (по европейской методике измерения, ECST) по данным ультразвукового исследования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 при наличии в анамнезе острых ишемических церебральных событий (транзиторная ишемическая атака или ишемический инсульт в бассейне внутренней сонной артерии);</w:t>
      </w:r>
    </w:p>
    <w:p w14:paraId="1E1B4DBC" w14:textId="44715929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-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 xml:space="preserve">стеноз внутренней сонной </w:t>
      </w:r>
      <w:proofErr w:type="gramStart"/>
      <w:r w:rsidRPr="00676F22">
        <w:rPr>
          <w:rFonts w:eastAsia="PT Astra Serif"/>
          <w:sz w:val="28"/>
          <w:szCs w:val="28"/>
        </w:rPr>
        <w:t>артерии &gt;</w:t>
      </w:r>
      <w:proofErr w:type="gramEnd"/>
      <w:r w:rsidRPr="00676F22">
        <w:rPr>
          <w:rFonts w:eastAsia="PT Astra Serif"/>
          <w:sz w:val="28"/>
          <w:szCs w:val="28"/>
        </w:rPr>
        <w:t xml:space="preserve">= 70% (по европейской методике измерения, ECST) по данным ультразвукового исследования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 при отсутствии в анамнезе острых ишемических церебральных событий (транзиторной ишемической атаки или ишемического инсульта в бассейне внутренней сонной артерии);</w:t>
      </w:r>
    </w:p>
    <w:p w14:paraId="1881E9C9" w14:textId="4B765588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-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 xml:space="preserve">стеноз VI сегмента позвоночной </w:t>
      </w:r>
      <w:proofErr w:type="gramStart"/>
      <w:r w:rsidRPr="00676F22">
        <w:rPr>
          <w:rFonts w:eastAsia="PT Astra Serif"/>
          <w:sz w:val="28"/>
          <w:szCs w:val="28"/>
        </w:rPr>
        <w:t>артерии &gt;</w:t>
      </w:r>
      <w:proofErr w:type="gramEnd"/>
      <w:r w:rsidRPr="00676F22">
        <w:rPr>
          <w:rFonts w:eastAsia="PT Astra Serif"/>
          <w:sz w:val="28"/>
          <w:szCs w:val="28"/>
        </w:rPr>
        <w:t xml:space="preserve">= 60% (по европейской методике измерения, ECST) по данным ультразвукового обследования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 при наличии в анамнезе острых ишемических церебральных событий (транзиторная ишемическая атака или ишемический инсульт в вертебробазилярном бассейне);</w:t>
      </w:r>
    </w:p>
    <w:p w14:paraId="4AF2783F" w14:textId="15BC21DE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-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 xml:space="preserve">выявленная окклюзия просвета </w:t>
      </w:r>
      <w:proofErr w:type="spellStart"/>
      <w:r w:rsidRPr="00676F22">
        <w:rPr>
          <w:rFonts w:eastAsia="PT Astra Serif"/>
          <w:sz w:val="28"/>
          <w:szCs w:val="28"/>
        </w:rPr>
        <w:t>брахиоцефальной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артерии по данным ультразвукового исследования;</w:t>
      </w:r>
    </w:p>
    <w:p w14:paraId="52FBD384" w14:textId="6D6C04DB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-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 xml:space="preserve">наличие пролонгированной бляшки (&gt; 3,0 см) в артерии, отсутствие возможности визуализации конца бляшки по данным ультразвукового обследования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артерий;</w:t>
      </w:r>
    </w:p>
    <w:p w14:paraId="21EE457F" w14:textId="64034323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-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>наличие в анамнезе данных о перенесенном внутричерепном кровоизлиянии, в том числе субарахноидальном кровоизлиянии, геморрагическом инсульте, травматическом кровоизлиянии;</w:t>
      </w:r>
    </w:p>
    <w:p w14:paraId="4CECEB1C" w14:textId="77777777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3.5. Проведение компьютерно-</w:t>
      </w:r>
      <w:proofErr w:type="spellStart"/>
      <w:r w:rsidRPr="00676F22">
        <w:rPr>
          <w:rFonts w:eastAsia="PT Astra Serif"/>
          <w:sz w:val="28"/>
          <w:szCs w:val="28"/>
        </w:rPr>
        <w:t>томографической</w:t>
      </w:r>
      <w:proofErr w:type="spellEnd"/>
      <w:r w:rsidRPr="00676F22">
        <w:rPr>
          <w:rFonts w:eastAsia="PT Astra Serif"/>
          <w:sz w:val="28"/>
          <w:szCs w:val="28"/>
        </w:rPr>
        <w:t xml:space="preserve"> ангиографии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и церебральных артерий осуществляется в медицинских организациях Новосибирской области, указанных в пункте 1 настоящего приложения.</w:t>
      </w:r>
    </w:p>
    <w:p w14:paraId="38046012" w14:textId="6C338009" w:rsidR="00966A64" w:rsidRPr="00676F22" w:rsidRDefault="00966A64" w:rsidP="00966A64">
      <w:pPr>
        <w:tabs>
          <w:tab w:val="left" w:pos="4147"/>
        </w:tabs>
        <w:spacing w:line="360" w:lineRule="exact"/>
        <w:ind w:firstLine="709"/>
        <w:jc w:val="both"/>
        <w:rPr>
          <w:sz w:val="28"/>
        </w:rPr>
      </w:pPr>
      <w:r w:rsidRPr="00676F22">
        <w:rPr>
          <w:rFonts w:eastAsia="PT Astra Serif"/>
          <w:sz w:val="28"/>
          <w:szCs w:val="28"/>
        </w:rPr>
        <w:t>3.6.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 xml:space="preserve">По результатам проведенного обследования при наличии показаний пациент направляется на консультацию к врачу сердечно-сосудистому хирургу или врачу-нейрохирургу </w:t>
      </w:r>
      <w:r w:rsidRPr="00676F22">
        <w:rPr>
          <w:sz w:val="28"/>
        </w:rPr>
        <w:t xml:space="preserve">ГБУЗ </w:t>
      </w:r>
      <w:r w:rsidR="00E94252" w:rsidRPr="00676F22">
        <w:rPr>
          <w:sz w:val="28"/>
        </w:rPr>
        <w:t xml:space="preserve">НСО </w:t>
      </w:r>
      <w:r w:rsidRPr="00676F22">
        <w:rPr>
          <w:sz w:val="28"/>
        </w:rPr>
        <w:t xml:space="preserve">«Государственная Новосибирская областная </w:t>
      </w:r>
      <w:r w:rsidRPr="00676F22">
        <w:rPr>
          <w:sz w:val="28"/>
        </w:rPr>
        <w:lastRenderedPageBreak/>
        <w:t>клиническая больница»</w:t>
      </w:r>
      <w:r w:rsidRPr="00676F22">
        <w:rPr>
          <w:rFonts w:eastAsia="PT Astra Serif"/>
          <w:sz w:val="28"/>
          <w:szCs w:val="28"/>
        </w:rPr>
        <w:t xml:space="preserve">. Возможно направление медицинских документов посредством телемедицинских технологий в соответствии с приказом Минздрава Новосибирской области от 08.07.2021 </w:t>
      </w:r>
      <w:r w:rsidR="00B127FB" w:rsidRPr="00676F22">
        <w:rPr>
          <w:rFonts w:eastAsia="PT Astra Serif"/>
          <w:sz w:val="28"/>
          <w:szCs w:val="28"/>
        </w:rPr>
        <w:t>№ </w:t>
      </w:r>
      <w:r w:rsidRPr="00676F22">
        <w:rPr>
          <w:rFonts w:eastAsia="PT Astra Serif"/>
          <w:sz w:val="28"/>
          <w:szCs w:val="28"/>
        </w:rPr>
        <w:t xml:space="preserve">1691 «Об утверждении положения об организации и оказании медицинской помощи с применением телемедицинских технологий и плана мероприятий по внедрению телемедицинских технологий на территории Новосибирской области», в </w:t>
      </w:r>
      <w:proofErr w:type="spellStart"/>
      <w:r w:rsidRPr="00676F22">
        <w:rPr>
          <w:rFonts w:eastAsia="PT Astra Serif"/>
          <w:sz w:val="28"/>
          <w:szCs w:val="28"/>
        </w:rPr>
        <w:t>т.ч</w:t>
      </w:r>
      <w:proofErr w:type="spellEnd"/>
      <w:r w:rsidRPr="00676F22">
        <w:rPr>
          <w:rFonts w:eastAsia="PT Astra Serif"/>
          <w:sz w:val="28"/>
          <w:szCs w:val="28"/>
        </w:rPr>
        <w:t>. в федеральные государстве</w:t>
      </w:r>
      <w:r w:rsidR="00E94252" w:rsidRPr="00676F22">
        <w:rPr>
          <w:rFonts w:eastAsia="PT Astra Serif"/>
          <w:sz w:val="28"/>
          <w:szCs w:val="28"/>
        </w:rPr>
        <w:t xml:space="preserve">нные учреждения (через систему </w:t>
      </w:r>
      <w:proofErr w:type="spellStart"/>
      <w:r w:rsidRPr="00676F22">
        <w:rPr>
          <w:rFonts w:eastAsia="PT Astra Serif"/>
          <w:sz w:val="28"/>
          <w:szCs w:val="28"/>
        </w:rPr>
        <w:t>ЕГИСз</w:t>
      </w:r>
      <w:proofErr w:type="spellEnd"/>
      <w:r w:rsidRPr="00676F22">
        <w:rPr>
          <w:rFonts w:eastAsia="PT Astra Serif"/>
          <w:sz w:val="28"/>
          <w:szCs w:val="28"/>
        </w:rPr>
        <w:t>).</w:t>
      </w:r>
    </w:p>
    <w:p w14:paraId="1AE676A5" w14:textId="0EC3CFCF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3.7.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>Показания для направления пациента на консультацию к врачу сердечно-сосудистому хирургу или врачу-нейрохирургу:</w:t>
      </w:r>
    </w:p>
    <w:p w14:paraId="16626532" w14:textId="0907F977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-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 xml:space="preserve">стеноз внутренней сонной </w:t>
      </w:r>
      <w:proofErr w:type="gramStart"/>
      <w:r w:rsidRPr="00676F22">
        <w:rPr>
          <w:rFonts w:eastAsia="PT Astra Serif"/>
          <w:sz w:val="28"/>
          <w:szCs w:val="28"/>
        </w:rPr>
        <w:t>артерии &gt;</w:t>
      </w:r>
      <w:proofErr w:type="gramEnd"/>
      <w:r w:rsidRPr="00676F22">
        <w:rPr>
          <w:rFonts w:eastAsia="PT Astra Serif"/>
          <w:sz w:val="28"/>
          <w:szCs w:val="28"/>
        </w:rPr>
        <w:t xml:space="preserve">= 50% (по европейской методике измерения, ECST) по данным ультразвукового исследования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 и компьютерно-</w:t>
      </w:r>
      <w:proofErr w:type="spellStart"/>
      <w:r w:rsidRPr="00676F22">
        <w:rPr>
          <w:rFonts w:eastAsia="PT Astra Serif"/>
          <w:sz w:val="28"/>
          <w:szCs w:val="28"/>
        </w:rPr>
        <w:t>томографической</w:t>
      </w:r>
      <w:proofErr w:type="spellEnd"/>
      <w:r w:rsidRPr="00676F22">
        <w:rPr>
          <w:rFonts w:eastAsia="PT Astra Serif"/>
          <w:sz w:val="28"/>
          <w:szCs w:val="28"/>
        </w:rPr>
        <w:t xml:space="preserve"> ангиографии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артерий, при наличии в анамнезе острых ишемических церебральных событий (транзиторная ишемическая атака или ишемический инсульт в бассейне внутренней сонной артерии);</w:t>
      </w:r>
    </w:p>
    <w:p w14:paraId="57D0ED0E" w14:textId="11FA05BA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-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 xml:space="preserve">стеноз внутренней сонной </w:t>
      </w:r>
      <w:proofErr w:type="gramStart"/>
      <w:r w:rsidRPr="00676F22">
        <w:rPr>
          <w:rFonts w:eastAsia="PT Astra Serif"/>
          <w:sz w:val="28"/>
          <w:szCs w:val="28"/>
        </w:rPr>
        <w:t>артерии &gt;</w:t>
      </w:r>
      <w:proofErr w:type="gramEnd"/>
      <w:r w:rsidRPr="00676F22">
        <w:rPr>
          <w:rFonts w:eastAsia="PT Astra Serif"/>
          <w:sz w:val="28"/>
          <w:szCs w:val="28"/>
        </w:rPr>
        <w:t xml:space="preserve">= 70% (по европейской методике измерения, ECST) по данным ультразвукового исследования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 и компьютерно-</w:t>
      </w:r>
      <w:proofErr w:type="spellStart"/>
      <w:r w:rsidRPr="00676F22">
        <w:rPr>
          <w:rFonts w:eastAsia="PT Astra Serif"/>
          <w:sz w:val="28"/>
          <w:szCs w:val="28"/>
        </w:rPr>
        <w:t>томографической</w:t>
      </w:r>
      <w:proofErr w:type="spellEnd"/>
      <w:r w:rsidRPr="00676F22">
        <w:rPr>
          <w:rFonts w:eastAsia="PT Astra Serif"/>
          <w:sz w:val="28"/>
          <w:szCs w:val="28"/>
        </w:rPr>
        <w:t xml:space="preserve"> ангиографии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артерий, при отсутствии в анамнезе острых ишемических церебральных событий (транзиторной ишемической атаки или ишемического инсульта в бассейне внутренней сонной артерии). Окклюзия внутренней сонной артерии при наличии в анамнезе острых ишемических церебральных событий (транзиторная ишемическая атака или ишемический инсульт в бассейне внутренней сонной артерии) требует консультации врача-нейрохирурга и/или врача сердечно-сосудистого хирурга. Наличие сочетанного стеноза внутренней сонной </w:t>
      </w:r>
      <w:proofErr w:type="gramStart"/>
      <w:r w:rsidRPr="00676F22">
        <w:rPr>
          <w:rFonts w:eastAsia="PT Astra Serif"/>
          <w:sz w:val="28"/>
          <w:szCs w:val="28"/>
        </w:rPr>
        <w:t>артерии &gt;</w:t>
      </w:r>
      <w:proofErr w:type="gramEnd"/>
      <w:r w:rsidRPr="00676F22">
        <w:rPr>
          <w:rFonts w:eastAsia="PT Astra Serif"/>
          <w:sz w:val="28"/>
          <w:szCs w:val="28"/>
        </w:rPr>
        <w:t>= 50% на контралатеральной стороне требует консультации врача сердечно-сосудистого хирурга или врача-нейрохирурга;</w:t>
      </w:r>
    </w:p>
    <w:p w14:paraId="05230D47" w14:textId="3FBA6C97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-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 xml:space="preserve">стенозы VI сегмента позвоночных </w:t>
      </w:r>
      <w:proofErr w:type="gramStart"/>
      <w:r w:rsidRPr="00676F22">
        <w:rPr>
          <w:rFonts w:eastAsia="PT Astra Serif"/>
          <w:sz w:val="28"/>
          <w:szCs w:val="28"/>
        </w:rPr>
        <w:t>артерий &gt;</w:t>
      </w:r>
      <w:proofErr w:type="gramEnd"/>
      <w:r w:rsidRPr="00676F22">
        <w:rPr>
          <w:rFonts w:eastAsia="PT Astra Serif"/>
          <w:sz w:val="28"/>
          <w:szCs w:val="28"/>
        </w:rPr>
        <w:t>= 60% при наличии в анамнезе острых ишемических церебральных событий (транзиторная ишемическая атака или ишемический инсульт в вертебробазилярном бассейне);</w:t>
      </w:r>
    </w:p>
    <w:p w14:paraId="2CC11271" w14:textId="77777777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 xml:space="preserve">- патологическая извитость экстракраниальных отделов </w:t>
      </w:r>
      <w:proofErr w:type="spellStart"/>
      <w:r w:rsidRPr="00676F22">
        <w:rPr>
          <w:rFonts w:eastAsia="PT Astra Serif"/>
          <w:sz w:val="28"/>
          <w:szCs w:val="28"/>
        </w:rPr>
        <w:t>брахиоцефальных</w:t>
      </w:r>
      <w:proofErr w:type="spellEnd"/>
      <w:r w:rsidRPr="00676F22">
        <w:rPr>
          <w:rFonts w:eastAsia="PT Astra Serif"/>
          <w:sz w:val="28"/>
          <w:szCs w:val="28"/>
        </w:rPr>
        <w:t xml:space="preserve"> артерий (перепад линейной скорости </w:t>
      </w:r>
      <w:proofErr w:type="gramStart"/>
      <w:r w:rsidRPr="00676F22">
        <w:rPr>
          <w:rFonts w:eastAsia="PT Astra Serif"/>
          <w:sz w:val="28"/>
          <w:szCs w:val="28"/>
        </w:rPr>
        <w:t>кровотока &gt;</w:t>
      </w:r>
      <w:proofErr w:type="gramEnd"/>
      <w:r w:rsidRPr="00676F22">
        <w:rPr>
          <w:rFonts w:eastAsia="PT Astra Serif"/>
          <w:sz w:val="28"/>
          <w:szCs w:val="28"/>
        </w:rPr>
        <w:t xml:space="preserve"> 2 раз на уровне извитости) с наличием в анамнезе острых ишемических церебральных событий на стороне извитости.</w:t>
      </w:r>
    </w:p>
    <w:p w14:paraId="05ED54FE" w14:textId="6DE4A349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3.8.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>Направление на консультацию к врачу сердечно-сосудистому хирургу или врачу-нейрохирургу оформляется в электронном виде с использованием возможностей Региональной информационной системы здравоохранения Новосибирской области.</w:t>
      </w:r>
    </w:p>
    <w:p w14:paraId="7CE242E0" w14:textId="77591DD4" w:rsidR="00966A64" w:rsidRPr="00162D7F" w:rsidRDefault="00966A64" w:rsidP="00966A64">
      <w:pPr>
        <w:tabs>
          <w:tab w:val="left" w:pos="4147"/>
        </w:tabs>
        <w:spacing w:line="360" w:lineRule="exact"/>
        <w:ind w:firstLine="709"/>
        <w:jc w:val="both"/>
      </w:pPr>
      <w:r w:rsidRPr="00676F22">
        <w:rPr>
          <w:rFonts w:eastAsia="PT Astra Serif"/>
          <w:sz w:val="28"/>
          <w:szCs w:val="28"/>
        </w:rPr>
        <w:t>3.9.</w:t>
      </w:r>
      <w:r w:rsidR="00162D7F">
        <w:rPr>
          <w:rFonts w:eastAsia="PT Astra Serif"/>
          <w:sz w:val="28"/>
          <w:szCs w:val="28"/>
        </w:rPr>
        <w:t> </w:t>
      </w:r>
      <w:r w:rsidRPr="00676F22">
        <w:rPr>
          <w:rFonts w:eastAsia="PT Astra Serif"/>
          <w:sz w:val="28"/>
          <w:szCs w:val="28"/>
        </w:rPr>
        <w:t xml:space="preserve">По результатам консультации пациента врачом сердечно-сосудистым хирургом или врачом-нейрохирургом принимается решение о проведении </w:t>
      </w:r>
      <w:r w:rsidRPr="00676F22">
        <w:rPr>
          <w:rFonts w:eastAsia="PT Astra Serif"/>
          <w:sz w:val="28"/>
          <w:szCs w:val="28"/>
        </w:rPr>
        <w:lastRenderedPageBreak/>
        <w:t>оперативного лечения</w:t>
      </w:r>
      <w:r w:rsidRPr="00676F22">
        <w:rPr>
          <w:sz w:val="28"/>
        </w:rPr>
        <w:t xml:space="preserve"> в стационарных условиях медицинских организаций, указанных в п. 2 настоящего приложения</w:t>
      </w:r>
      <w:r w:rsidRPr="00676F22">
        <w:rPr>
          <w:rFonts w:eastAsia="PT Astra Serif"/>
          <w:sz w:val="28"/>
          <w:szCs w:val="28"/>
        </w:rPr>
        <w:t>. При отсутствии медицинских показаний к оперативному лечению пациенты возвращаются под наблюдение врачей-специалистов амбулаторно-поликлинического этапа и ведутся с учетом рекомендаций сосудистого хирурга.</w:t>
      </w:r>
    </w:p>
    <w:p w14:paraId="0F2C8AD5" w14:textId="77777777" w:rsidR="00A03763" w:rsidRPr="00162D7F" w:rsidRDefault="00A03763" w:rsidP="00A03763">
      <w:pPr>
        <w:rPr>
          <w:sz w:val="28"/>
        </w:rPr>
      </w:pPr>
    </w:p>
    <w:p w14:paraId="3AD6BFCE" w14:textId="77777777" w:rsidR="00A03763" w:rsidRPr="00162D7F" w:rsidRDefault="00A03763" w:rsidP="00A03763">
      <w:pPr>
        <w:rPr>
          <w:sz w:val="28"/>
        </w:rPr>
      </w:pPr>
    </w:p>
    <w:p w14:paraId="5B89250A" w14:textId="77777777" w:rsidR="00A03763" w:rsidRPr="00162D7F" w:rsidRDefault="00A03763" w:rsidP="00A03763">
      <w:pPr>
        <w:jc w:val="center"/>
        <w:rPr>
          <w:sz w:val="28"/>
        </w:rPr>
      </w:pPr>
      <w:r w:rsidRPr="00162D7F">
        <w:rPr>
          <w:sz w:val="28"/>
        </w:rPr>
        <w:t>_________</w:t>
      </w:r>
    </w:p>
    <w:p w14:paraId="375EDD5B" w14:textId="77777777" w:rsidR="00A03763" w:rsidRPr="00162D7F" w:rsidRDefault="00A03763" w:rsidP="00A03763">
      <w:pPr>
        <w:rPr>
          <w:sz w:val="28"/>
        </w:rPr>
      </w:pPr>
    </w:p>
    <w:p w14:paraId="4D5EB50A" w14:textId="77777777" w:rsidR="00A03763" w:rsidRPr="00162D7F" w:rsidRDefault="00A03763" w:rsidP="00A03763">
      <w:pPr>
        <w:rPr>
          <w:sz w:val="28"/>
        </w:rPr>
      </w:pPr>
    </w:p>
    <w:p w14:paraId="45541753" w14:textId="77777777" w:rsidR="00A03763" w:rsidRPr="00162D7F" w:rsidRDefault="00A03763" w:rsidP="00A03763">
      <w:pPr>
        <w:rPr>
          <w:sz w:val="28"/>
        </w:rPr>
      </w:pPr>
    </w:p>
    <w:p w14:paraId="460FAB0F" w14:textId="77777777" w:rsidR="00A56F82" w:rsidRPr="00162D7F" w:rsidRDefault="00427D55"/>
    <w:sectPr w:rsidR="00A56F82" w:rsidRPr="00162D7F" w:rsidSect="00C04AE0">
      <w:headerReference w:type="default" r:id="rId6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A24A1" w14:textId="77777777" w:rsidR="00427D55" w:rsidRDefault="00427D55" w:rsidP="00676F22">
      <w:r>
        <w:separator/>
      </w:r>
    </w:p>
  </w:endnote>
  <w:endnote w:type="continuationSeparator" w:id="0">
    <w:p w14:paraId="4913F176" w14:textId="77777777" w:rsidR="00427D55" w:rsidRDefault="00427D55" w:rsidP="0067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A13A2" w14:textId="77777777" w:rsidR="00427D55" w:rsidRDefault="00427D55" w:rsidP="00676F22">
      <w:r>
        <w:separator/>
      </w:r>
    </w:p>
  </w:footnote>
  <w:footnote w:type="continuationSeparator" w:id="0">
    <w:p w14:paraId="6BE21B24" w14:textId="77777777" w:rsidR="00427D55" w:rsidRDefault="00427D55" w:rsidP="0067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136494"/>
      <w:docPartObj>
        <w:docPartGallery w:val="Page Numbers (Top of Page)"/>
        <w:docPartUnique/>
      </w:docPartObj>
    </w:sdtPr>
    <w:sdtEndPr/>
    <w:sdtContent>
      <w:p w14:paraId="0E2B91CF" w14:textId="0ADC9B22" w:rsidR="00676F22" w:rsidRDefault="00676F2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377">
          <w:rPr>
            <w:noProof/>
          </w:rPr>
          <w:t>5</w:t>
        </w:r>
        <w:r>
          <w:fldChar w:fldCharType="end"/>
        </w:r>
      </w:p>
    </w:sdtContent>
  </w:sdt>
  <w:p w14:paraId="011B54F9" w14:textId="77777777" w:rsidR="00676F22" w:rsidRDefault="00676F2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65"/>
    <w:rsid w:val="000A42AA"/>
    <w:rsid w:val="00162D7F"/>
    <w:rsid w:val="001B0C65"/>
    <w:rsid w:val="003B0377"/>
    <w:rsid w:val="00427D55"/>
    <w:rsid w:val="004E2A0D"/>
    <w:rsid w:val="00562E27"/>
    <w:rsid w:val="00573BA3"/>
    <w:rsid w:val="00676F22"/>
    <w:rsid w:val="006E543F"/>
    <w:rsid w:val="00702DEC"/>
    <w:rsid w:val="00966A64"/>
    <w:rsid w:val="00A03763"/>
    <w:rsid w:val="00B127FB"/>
    <w:rsid w:val="00BA5D83"/>
    <w:rsid w:val="00C04AE0"/>
    <w:rsid w:val="00C34A58"/>
    <w:rsid w:val="00C61530"/>
    <w:rsid w:val="00E94252"/>
    <w:rsid w:val="00EF570A"/>
    <w:rsid w:val="00F2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7C77"/>
  <w15:chartTrackingRefBased/>
  <w15:docId w15:val="{B158A096-CDA0-44C1-BEE6-96E87627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D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D7F"/>
    <w:rPr>
      <w:rFonts w:ascii="Segoe UI" w:eastAsia="Times New Roman" w:hAnsi="Segoe UI" w:cs="Segoe UI"/>
      <w:sz w:val="18"/>
      <w:szCs w:val="18"/>
      <w:lang w:eastAsia="zh-CN"/>
    </w:rPr>
  </w:style>
  <w:style w:type="character" w:styleId="a5">
    <w:name w:val="annotation reference"/>
    <w:basedOn w:val="a0"/>
    <w:uiPriority w:val="99"/>
    <w:semiHidden/>
    <w:unhideWhenUsed/>
    <w:rsid w:val="00162D7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62D7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62D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62D7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62D7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676F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6F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676F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76F2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Астапов Дмитрий Александрович</dc:creator>
  <cp:keywords/>
  <dc:description/>
  <cp:lastModifiedBy>Костин Евгений Константинович</cp:lastModifiedBy>
  <cp:revision>2</cp:revision>
  <dcterms:created xsi:type="dcterms:W3CDTF">2023-03-21T04:07:00Z</dcterms:created>
  <dcterms:modified xsi:type="dcterms:W3CDTF">2023-03-21T04:07:00Z</dcterms:modified>
</cp:coreProperties>
</file>