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451CF66" wp14:editId="718E408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C00548"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«Городская клиническая больница № 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4201A3" w:rsidRPr="004201A3" w:rsidRDefault="004201A3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внесени</w:t>
      </w:r>
      <w:r w:rsidR="00564E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приказ </w:t>
      </w:r>
      <w:r w:rsidRPr="002F25C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здравоохранения Новосибирской области от 09.02.2021 № 245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«Городская клиническая больница № 1» (далее –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ГБУЗ НСО «ГКБ № 1»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«ГКБ № 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1» </w:t>
      </w:r>
      <w:proofErr w:type="spellStart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Бравве</w:t>
      </w:r>
      <w:proofErr w:type="spellEnd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Ю.И.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2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E7FB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приказ министерства здравоохранения Новосибирской области от 09.02.2021 № 245 «О маршрутизации пациенток акушерско-гинекологического профиля на территории Новосибирской области» </w:t>
      </w:r>
      <w:r w:rsidR="00A04279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приказ) 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0548" w:rsidRPr="00A02DD8" w:rsidRDefault="00E45AA6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25CF">
        <w:rPr>
          <w:rFonts w:ascii="Times New Roman" w:hAnsi="Times New Roman"/>
          <w:sz w:val="28"/>
          <w:szCs w:val="28"/>
          <w:lang w:eastAsia="ru-RU"/>
        </w:rPr>
        <w:t>1) </w:t>
      </w:r>
      <w:r w:rsidR="0054459D" w:rsidRPr="002F25CF">
        <w:rPr>
          <w:rFonts w:ascii="Times New Roman" w:hAnsi="Times New Roman"/>
          <w:sz w:val="28"/>
          <w:szCs w:val="28"/>
          <w:lang w:eastAsia="ru-RU"/>
        </w:rPr>
        <w:t>пункты 2</w:t>
      </w:r>
      <w:r w:rsidR="00927C2E" w:rsidRPr="002F25CF">
        <w:rPr>
          <w:rFonts w:ascii="Times New Roman" w:hAnsi="Times New Roman"/>
          <w:sz w:val="28"/>
          <w:szCs w:val="28"/>
          <w:lang w:eastAsia="ru-RU"/>
        </w:rPr>
        <w:t>8</w:t>
      </w:r>
      <w:r w:rsidR="0054459D" w:rsidRPr="002F25CF">
        <w:rPr>
          <w:rFonts w:ascii="Times New Roman" w:hAnsi="Times New Roman"/>
          <w:sz w:val="28"/>
          <w:szCs w:val="28"/>
          <w:lang w:eastAsia="ru-RU"/>
        </w:rPr>
        <w:t xml:space="preserve">-30 </w:t>
      </w:r>
      <w:r w:rsidR="00C00548" w:rsidRPr="002F25CF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2F25CF">
        <w:rPr>
          <w:rFonts w:ascii="Times New Roman" w:hAnsi="Times New Roman"/>
          <w:sz w:val="28"/>
          <w:szCs w:val="28"/>
          <w:lang w:eastAsia="ru-RU"/>
        </w:rPr>
        <w:t xml:space="preserve"> 1 «Маршрутный лист пациенток акушерско-гинекологического (акушерского) профиля из городских округов и муниципальных образований Новосибирской 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области (кроме города Новосибирска)» </w:t>
      </w:r>
      <w:r w:rsidR="00C00548" w:rsidRPr="00A02DD8">
        <w:rPr>
          <w:rFonts w:ascii="Times New Roman" w:hAnsi="Times New Roman"/>
          <w:sz w:val="28"/>
          <w:szCs w:val="28"/>
        </w:rPr>
        <w:t>Маршрутизации пациенток Новосибирской области акушерско-гинекологического профиля,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r w:rsidR="00C00548" w:rsidRPr="00A02DD8">
        <w:rPr>
          <w:rFonts w:ascii="Times New Roman" w:hAnsi="Times New Roman"/>
          <w:sz w:val="28"/>
          <w:szCs w:val="28"/>
        </w:rPr>
        <w:t xml:space="preserve"> </w:t>
      </w:r>
      <w:r w:rsidRPr="00A02DD8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>1 к настоящему приказу;</w:t>
      </w:r>
    </w:p>
    <w:p w:rsidR="0054459D" w:rsidRPr="00A02DD8" w:rsidRDefault="00E45AA6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D8">
        <w:rPr>
          <w:rFonts w:ascii="Times New Roman" w:hAnsi="Times New Roman"/>
          <w:sz w:val="28"/>
          <w:szCs w:val="28"/>
          <w:lang w:eastAsia="ru-RU"/>
        </w:rPr>
        <w:t>2) </w:t>
      </w:r>
      <w:r w:rsidR="00DA1209" w:rsidRPr="00A02DD8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912D64" w:rsidRPr="00A02DD8">
        <w:rPr>
          <w:rFonts w:ascii="Times New Roman" w:hAnsi="Times New Roman"/>
          <w:sz w:val="28"/>
          <w:szCs w:val="28"/>
          <w:lang w:eastAsia="ru-RU"/>
        </w:rPr>
        <w:t>4-6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2 «Маршрутный лист пациенток акушерско-гинекологического (акушерского) профиля города Новосибирска»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A02DD8">
        <w:rPr>
          <w:rFonts w:ascii="Times New Roman" w:hAnsi="Times New Roman"/>
          <w:sz w:val="28"/>
          <w:szCs w:val="28"/>
        </w:rPr>
        <w:t>Маршрутизации пациенток Новосибирской области акушерско-гинекологического профиля,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r w:rsidRPr="00A02DD8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>2 к настоящему приказу;</w:t>
      </w:r>
    </w:p>
    <w:p w:rsidR="009162B2" w:rsidRPr="00A02DD8" w:rsidRDefault="009162B2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D8">
        <w:rPr>
          <w:rFonts w:ascii="Times New Roman" w:hAnsi="Times New Roman"/>
          <w:sz w:val="28"/>
          <w:szCs w:val="28"/>
          <w:lang w:eastAsia="ru-RU"/>
        </w:rPr>
        <w:t>3) раздел таблицы «</w:t>
      </w:r>
      <w:r w:rsidRPr="00A02DD8">
        <w:rPr>
          <w:rFonts w:ascii="Times New Roman" w:hAnsi="Times New Roman"/>
          <w:sz w:val="28"/>
          <w:szCs w:val="28"/>
        </w:rPr>
        <w:t>Маршрутизация</w:t>
      </w:r>
      <w:r w:rsidR="00564E20" w:rsidRPr="00A02DD8">
        <w:rPr>
          <w:rFonts w:ascii="Times New Roman" w:hAnsi="Times New Roman"/>
          <w:sz w:val="28"/>
          <w:szCs w:val="28"/>
        </w:rPr>
        <w:t xml:space="preserve"> </w:t>
      </w:r>
      <w:r w:rsidRPr="00A02DD8">
        <w:rPr>
          <w:rFonts w:ascii="Times New Roman" w:hAnsi="Times New Roman"/>
          <w:sz w:val="28"/>
          <w:szCs w:val="28"/>
        </w:rPr>
        <w:t xml:space="preserve">в медицинские организации </w:t>
      </w:r>
      <w:r w:rsidR="00C80047">
        <w:rPr>
          <w:rFonts w:ascii="Times New Roman" w:hAnsi="Times New Roman"/>
          <w:sz w:val="28"/>
          <w:szCs w:val="28"/>
          <w:lang w:val="en-US"/>
        </w:rPr>
        <w:t>IIIA</w:t>
      </w:r>
      <w:r w:rsidR="00C80047" w:rsidRPr="00C80047">
        <w:rPr>
          <w:rFonts w:ascii="Times New Roman" w:hAnsi="Times New Roman"/>
          <w:sz w:val="28"/>
          <w:szCs w:val="28"/>
        </w:rPr>
        <w:t xml:space="preserve"> </w:t>
      </w:r>
      <w:r w:rsidR="00C80047">
        <w:rPr>
          <w:rFonts w:ascii="Times New Roman" w:hAnsi="Times New Roman"/>
          <w:sz w:val="28"/>
          <w:szCs w:val="28"/>
        </w:rPr>
        <w:t xml:space="preserve">группы </w:t>
      </w:r>
      <w:r w:rsidRPr="00A02DD8">
        <w:rPr>
          <w:rFonts w:ascii="Times New Roman" w:hAnsi="Times New Roman"/>
          <w:sz w:val="28"/>
          <w:szCs w:val="28"/>
        </w:rPr>
        <w:t>акушерского профиля в зависимости от профиля патологии</w:t>
      </w:r>
      <w:r w:rsidR="00C80047">
        <w:rPr>
          <w:rFonts w:ascii="Times New Roman" w:hAnsi="Times New Roman"/>
          <w:sz w:val="28"/>
          <w:szCs w:val="28"/>
        </w:rPr>
        <w:t xml:space="preserve"> пациенток города Новосибирска</w:t>
      </w:r>
      <w:r w:rsidRPr="00A02DD8">
        <w:rPr>
          <w:rFonts w:ascii="Times New Roman" w:hAnsi="Times New Roman"/>
          <w:sz w:val="28"/>
          <w:szCs w:val="28"/>
        </w:rPr>
        <w:t xml:space="preserve">» Маршрутизации пациенток Новосибирской области </w:t>
      </w:r>
      <w:r w:rsidRPr="00A02DD8">
        <w:rPr>
          <w:rFonts w:ascii="Times New Roman" w:hAnsi="Times New Roman"/>
          <w:sz w:val="28"/>
          <w:szCs w:val="28"/>
        </w:rPr>
        <w:lastRenderedPageBreak/>
        <w:t>акушерско-гинекологического профиля,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r w:rsidRPr="00A02DD8">
        <w:rPr>
          <w:rFonts w:ascii="Times New Roman" w:hAnsi="Times New Roman"/>
          <w:sz w:val="28"/>
          <w:szCs w:val="28"/>
          <w:lang w:eastAsia="ru-RU"/>
        </w:rPr>
        <w:t xml:space="preserve"> изложить в редакции согласно приложению № 3 к настоящему приказу;</w:t>
      </w:r>
    </w:p>
    <w:p w:rsidR="0054459D" w:rsidRPr="00A02DD8" w:rsidRDefault="009162B2" w:rsidP="002F25CF">
      <w:pPr>
        <w:pStyle w:val="ab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2DD8">
        <w:rPr>
          <w:rFonts w:ascii="Times New Roman" w:hAnsi="Times New Roman"/>
          <w:sz w:val="28"/>
          <w:szCs w:val="28"/>
          <w:lang w:eastAsia="ru-RU"/>
        </w:rPr>
        <w:t>4</w:t>
      </w:r>
      <w:r w:rsidR="00E45AA6" w:rsidRPr="00A02DD8">
        <w:rPr>
          <w:rFonts w:ascii="Times New Roman" w:hAnsi="Times New Roman"/>
          <w:sz w:val="28"/>
          <w:szCs w:val="28"/>
          <w:lang w:eastAsia="ru-RU"/>
        </w:rPr>
        <w:t>) 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>таблицу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4 «Маршрутный лист беременных, рожениц, родильниц, пребывающих в медицинских организациях города Новосибирска» </w:t>
      </w:r>
      <w:r w:rsidR="00C00548" w:rsidRPr="00A02DD8">
        <w:rPr>
          <w:rFonts w:ascii="Times New Roman" w:hAnsi="Times New Roman"/>
          <w:sz w:val="28"/>
          <w:szCs w:val="28"/>
        </w:rPr>
        <w:t>Маршрутизации пациенток Новосибирской области акушерско-гинекологического профиля, утвержденной приказом</w:t>
      </w:r>
      <w:r w:rsidR="00C80047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C00548" w:rsidRPr="00A02DD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5AA6" w:rsidRPr="00A02DD8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</w:t>
      </w:r>
      <w:r w:rsidR="00C00548" w:rsidRPr="00A02DD8">
        <w:rPr>
          <w:rFonts w:ascii="Times New Roman" w:hAnsi="Times New Roman"/>
          <w:sz w:val="28"/>
          <w:szCs w:val="28"/>
          <w:lang w:eastAsia="ru-RU"/>
        </w:rPr>
        <w:t xml:space="preserve"> № </w:t>
      </w:r>
      <w:r w:rsidRPr="00A02DD8">
        <w:rPr>
          <w:rFonts w:ascii="Times New Roman" w:hAnsi="Times New Roman"/>
          <w:sz w:val="28"/>
          <w:szCs w:val="28"/>
          <w:lang w:eastAsia="ru-RU"/>
        </w:rPr>
        <w:t>4</w:t>
      </w:r>
      <w:r w:rsidR="0054459D" w:rsidRPr="00A02DD8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приказу.</w:t>
      </w:r>
    </w:p>
    <w:p w:rsidR="00C00548" w:rsidRPr="00A02DD8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3. Действия пункта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1031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>настоящего приказа распространяется на период закрытия акушерского стационара.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45AA6" w:rsidRPr="00A02DD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459D" w:rsidRPr="00A02D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учреждения здравоохранения Новосибирской области «Станция скорой медицинской помощи» </w:t>
      </w:r>
      <w:proofErr w:type="spellStart"/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Балабушевичу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Юданову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А.В.,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 Позднякову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И.М.,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Клинический родильный дом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6»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Геворкян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BA373A" w:rsidRDefault="006A49EB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E45A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приказа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возложить на заместителя министра здравоохранения Новосибирской области Анохину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AE10CF">
        <w:rPr>
          <w:rFonts w:ascii="Times New Roman" w:eastAsia="Times New Roman" w:hAnsi="Times New Roman"/>
          <w:sz w:val="28"/>
          <w:szCs w:val="28"/>
          <w:lang w:eastAsia="ru-RU"/>
        </w:rPr>
        <w:t>Т.Ю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</w:t>
      </w:r>
      <w:proofErr w:type="spellStart"/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Хальзов</w:t>
      </w:r>
      <w:proofErr w:type="spellEnd"/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EA2584">
        <w:rPr>
          <w:rFonts w:ascii="Times New Roman" w:eastAsia="Times New Roman" w:hAnsi="Times New Roman"/>
          <w:sz w:val="20"/>
          <w:szCs w:val="20"/>
          <w:lang w:eastAsia="ru-RU"/>
        </w:rPr>
        <w:t>С. Жарникова</w:t>
      </w:r>
    </w:p>
    <w:p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(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)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DA1209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="00EA2584">
        <w:rPr>
          <w:rFonts w:ascii="Times New Roman" w:eastAsia="Times New Roman" w:hAnsi="Times New Roman"/>
          <w:sz w:val="20"/>
          <w:szCs w:val="20"/>
          <w:lang w:eastAsia="ru-RU"/>
        </w:rPr>
        <w:t>2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744" w:rsidRDefault="008A0744" w:rsidP="000C4E52">
      <w:pPr>
        <w:spacing w:after="0" w:line="240" w:lineRule="auto"/>
      </w:pPr>
      <w:r>
        <w:separator/>
      </w:r>
    </w:p>
  </w:endnote>
  <w:endnote w:type="continuationSeparator" w:id="0">
    <w:p w:rsidR="008A0744" w:rsidRDefault="008A0744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744" w:rsidRDefault="008A0744" w:rsidP="000C4E52">
      <w:pPr>
        <w:spacing w:after="0" w:line="240" w:lineRule="auto"/>
      </w:pPr>
      <w:r>
        <w:separator/>
      </w:r>
    </w:p>
  </w:footnote>
  <w:footnote w:type="continuationSeparator" w:id="0">
    <w:p w:rsidR="008A0744" w:rsidRDefault="008A0744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047">
          <w:rPr>
            <w:noProof/>
          </w:rPr>
          <w:t>2</w:t>
        </w:r>
        <w:r>
          <w:fldChar w:fldCharType="end"/>
        </w:r>
      </w:p>
    </w:sdtContent>
  </w:sdt>
  <w:p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F31ED"/>
    <w:rsid w:val="00120C05"/>
    <w:rsid w:val="00121D64"/>
    <w:rsid w:val="001256D8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25CF"/>
    <w:rsid w:val="002F6BDF"/>
    <w:rsid w:val="00305778"/>
    <w:rsid w:val="003078DD"/>
    <w:rsid w:val="00322A92"/>
    <w:rsid w:val="00340AF4"/>
    <w:rsid w:val="0034642A"/>
    <w:rsid w:val="00356F56"/>
    <w:rsid w:val="003832D9"/>
    <w:rsid w:val="00385079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7033E"/>
    <w:rsid w:val="00570950"/>
    <w:rsid w:val="0057279C"/>
    <w:rsid w:val="00573BAA"/>
    <w:rsid w:val="00574576"/>
    <w:rsid w:val="005837C8"/>
    <w:rsid w:val="00592835"/>
    <w:rsid w:val="00594088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0744"/>
    <w:rsid w:val="008A202D"/>
    <w:rsid w:val="008A365C"/>
    <w:rsid w:val="008A4152"/>
    <w:rsid w:val="008A700F"/>
    <w:rsid w:val="008B6652"/>
    <w:rsid w:val="008C2D40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B02A96"/>
    <w:rsid w:val="00B22069"/>
    <w:rsid w:val="00B239BF"/>
    <w:rsid w:val="00B27652"/>
    <w:rsid w:val="00B3123A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47B3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71D25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688F-ADF9-47AF-9F35-7C495C9E5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Жарникова Юлия Сергеевна</cp:lastModifiedBy>
  <cp:revision>6</cp:revision>
  <cp:lastPrinted>2021-06-11T10:10:00Z</cp:lastPrinted>
  <dcterms:created xsi:type="dcterms:W3CDTF">2023-01-18T09:24:00Z</dcterms:created>
  <dcterms:modified xsi:type="dcterms:W3CDTF">2023-01-18T10:52:00Z</dcterms:modified>
</cp:coreProperties>
</file>