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237"/>
        <w:jc w:val="center"/>
        <w:keepLines/>
        <w:keepNext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ind w:firstLine="6237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</w:p>
    <w:p>
      <w:pPr>
        <w:ind w:firstLine="6237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left="4956" w:firstLine="708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 w:firstLine="708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 w:firstLine="708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 w:firstLine="708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 w:firstLine="708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 w:firstLine="708"/>
        <w:jc w:val="center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 внесении изменений в постановление Правительства Новосибирской области от 27.02.2018 № 72-п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 соответствии с приложением № 5 «</w:t>
      </w:r>
      <w:r>
        <w:rPr>
          <w:rFonts w:ascii="Times New Roman" w:hAnsi="Times New Roman"/>
          <w:sz w:val="28"/>
          <w:szCs w:val="28"/>
        </w:rPr>
        <w:t xml:space="preserve">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</w:t>
      </w:r>
      <w:r>
        <w:rPr>
          <w:rFonts w:ascii="Times New Roman" w:hAnsi="Times New Roman"/>
          <w:sz w:val="28"/>
          <w:szCs w:val="28"/>
        </w:rPr>
        <w:t xml:space="preserve">здравпунктов </w:t>
      </w:r>
      <w:r>
        <w:rPr>
          <w:rFonts w:ascii="Times New Roman" w:hAnsi="Times New Roman"/>
          <w:sz w:val="28"/>
          <w:szCs w:val="28"/>
        </w:rPr>
        <w:t xml:space="preserve">и фельдшерско-акушерских п</w:t>
      </w:r>
      <w:r>
        <w:rPr>
          <w:rFonts w:ascii="Times New Roman" w:hAnsi="Times New Roman"/>
          <w:sz w:val="28"/>
          <w:szCs w:val="28"/>
        </w:rPr>
        <w:t xml:space="preserve">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к государственной программе Росс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ийской Федерации «Развитие здравоохранения», утвержденной постановлением Правительства Российской Федерации от 26.12.2017 № 1640 «Об утверждении государственной программы Российской Федерации «Развитие здравоохранения», Правительство Новосибирской области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т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н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л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я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0"/>
          <w:lang w:val="en-US"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т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27.02.2018 № 72-п «Об осуществлении единовременных компенсационных выплат медицинским работникам (врачам, фельдшерам,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акушеркам и медицинским сестрам фельдшерских и фельдшерско-акушерских 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врачебных амбулаторий, центров (отделений) общей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врачебной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практики (семейной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едицины)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прибывшим (переехавшим) на работу в сельские населенные пункты, либо раб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 13.07.2015 № 250-п» (далее – постановление) следующие изменения: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пункт 3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осуществлении единовременных компенсационных выплат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медицинским работникам (врачам, фельдшерам, а также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акушеркам и медицинским сестрам фельдшерских и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фельдшерско-акушерских пунктов), прибывшим (переехавшим)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работу в сельские населенные пункты, либо рабочие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поселки, либо поселки городского типа, либо города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населением до 50 тыс. Человек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- положения)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«3. Выплата осуществляется в пределах бюджетных ассигнований и лимитов бюджетных обязательств, установленных главному распорядителю бюджетных средств – министерству здравоохранения Новосибирской области (далее - Минздраву НСО) на текущий финансовый год.».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Дополнить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 13 следующего содержания: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«13. Медицинскому работнику, по согласованию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Минздравом НСО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допускается однократное изменение места работы с сохранением ранее полученной 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выплаты при соблюдении следующих условий: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изменение места работы осуществляется на аналогичную должность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человек, в пределах Новосибирской области;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размер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выплаты, установленный в соответствии с абзацем вторым и третьим пункта 2 настоящего Положения в отношении категории населенного пункта, к которому относится указанное в подпункте «1» настоящего пункта место работы, должен быть равен размеру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выплаты, ранее полученной медицинским работником по предыдущему месту работы;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 должность медицинского работника по указанному в подпункте «1» настоящего пункта месту работы должна быть включена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утвержденный Минздравом НСО программный реестр должностей;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 заключение медицинским работником с Минздравом НСО и медицинской организацией дополнительного соглашения к договору о предоставлении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выплаты, предусматривающего продолжение исполнения медицинским работником принятых на себя обязательств по новому месту работы. При необходимости заключается дополнительное соглашение 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договору о целевом обучении между заказчиком целевого обучения, медицинским работником и иными сторонами договора о целевом обучении (при наличии иных сторон), предусматривающее изменение места осуществления медицинским работником трудовой деятельности.».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Контроль за исполнением постановления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возложить на заместителя Губернатора Новосибирской области Нелюбова С.А.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  А.А. Травников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К.В. Хальзов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0"/>
          <w:szCs w:val="20"/>
          <w:lang w:eastAsia="ru-RU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(383) 238 63 68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Лист согласования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 проекту постановления Правительства Новосибирской области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 внесении изменений в постановление Правительства Новосибирской области от 27.02.2018 № 72-п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         Ю.Ф. Петухов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«____»__________ 2024 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            С.А. Нелюбов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«____»__________ 2024 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Министр юстиции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               Т.Н. Деркач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«____»__________ 2024 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Заместитель Председателя правительства                                                  Новосибирской области – министр финансов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налоговой политики Новосибирской области                                В.Ю. Голубенко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firstLine="6663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«____»__________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2024 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Министр здравоохранения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К.В. Хальзов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firstLine="6663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«____»__________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2024 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Т.С. Тюкова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(383) 238 63 19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17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09"/>
    <w:uiPriority w:val="10"/>
    <w:rPr>
      <w:sz w:val="48"/>
      <w:szCs w:val="48"/>
    </w:rPr>
  </w:style>
  <w:style w:type="character" w:styleId="37">
    <w:name w:val="Subtitle Char"/>
    <w:basedOn w:val="695"/>
    <w:link w:val="711"/>
    <w:uiPriority w:val="11"/>
    <w:rPr>
      <w:sz w:val="24"/>
      <w:szCs w:val="24"/>
    </w:rPr>
  </w:style>
  <w:style w:type="character" w:styleId="39">
    <w:name w:val="Quote Char"/>
    <w:link w:val="713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character" w:styleId="47">
    <w:name w:val="Caption Char"/>
    <w:basedOn w:val="721"/>
    <w:link w:val="719"/>
    <w:uiPriority w:val="99"/>
  </w:style>
  <w:style w:type="character" w:styleId="176">
    <w:name w:val="Footnote Text Char"/>
    <w:link w:val="850"/>
    <w:uiPriority w:val="99"/>
    <w:rPr>
      <w:sz w:val="18"/>
    </w:rPr>
  </w:style>
  <w:style w:type="character" w:styleId="179">
    <w:name w:val="Endnote Text Char"/>
    <w:link w:val="853"/>
    <w:uiPriority w:val="99"/>
    <w:rPr>
      <w:sz w:val="20"/>
    </w:rPr>
  </w:style>
  <w:style w:type="paragraph" w:styleId="68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85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rPr>
      <w:lang w:eastAsia="zh-CN"/>
    </w:rPr>
  </w:style>
  <w:style w:type="paragraph" w:styleId="709">
    <w:name w:val="Title"/>
    <w:basedOn w:val="685"/>
    <w:next w:val="685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Заголовок Знак"/>
    <w:link w:val="709"/>
    <w:uiPriority w:val="10"/>
    <w:rPr>
      <w:sz w:val="48"/>
      <w:szCs w:val="48"/>
    </w:rPr>
  </w:style>
  <w:style w:type="paragraph" w:styleId="711">
    <w:name w:val="Subtitle"/>
    <w:basedOn w:val="685"/>
    <w:next w:val="685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85"/>
    <w:next w:val="685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5"/>
    <w:next w:val="685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85"/>
    <w:link w:val="86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8" w:customStyle="1">
    <w:name w:val="Header Char"/>
    <w:uiPriority w:val="99"/>
  </w:style>
  <w:style w:type="paragraph" w:styleId="719">
    <w:name w:val="Footer"/>
    <w:basedOn w:val="685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>
    <w:name w:val="Table Grid"/>
    <w:basedOn w:val="696"/>
    <w:uiPriority w:val="39"/>
    <w:tblPr/>
  </w:style>
  <w:style w:type="table" w:styleId="72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9">
    <w:name w:val="Hyperlink"/>
    <w:uiPriority w:val="99"/>
    <w:unhideWhenUsed/>
    <w:rPr>
      <w:color w:val="0000ff"/>
      <w:u w:val="single"/>
    </w:rPr>
  </w:style>
  <w:style w:type="paragraph" w:styleId="850">
    <w:name w:val="footnote text"/>
    <w:basedOn w:val="685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85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85"/>
    <w:next w:val="685"/>
    <w:uiPriority w:val="39"/>
    <w:unhideWhenUsed/>
    <w:pPr>
      <w:spacing w:after="57"/>
    </w:pPr>
  </w:style>
  <w:style w:type="paragraph" w:styleId="857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8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9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0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1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2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3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4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  <w:rPr>
      <w:lang w:eastAsia="zh-CN"/>
    </w:rPr>
  </w:style>
  <w:style w:type="paragraph" w:styleId="866">
    <w:name w:val="table of figures"/>
    <w:basedOn w:val="685"/>
    <w:next w:val="685"/>
    <w:uiPriority w:val="99"/>
    <w:unhideWhenUsed/>
    <w:pPr>
      <w:spacing w:after="0"/>
    </w:pPr>
  </w:style>
  <w:style w:type="character" w:styleId="867" w:customStyle="1">
    <w:name w:val="Верхний колонтитул Знак"/>
    <w:basedOn w:val="695"/>
    <w:link w:val="717"/>
    <w:uiPriority w:val="99"/>
    <w:semiHidden/>
  </w:style>
  <w:style w:type="table" w:styleId="868" w:customStyle="1">
    <w:name w:val="Сетка таблицы1"/>
    <w:basedOn w:val="696"/>
    <w:next w:val="723"/>
    <w:uiPriority w:val="39"/>
    <w:tblPr/>
  </w:style>
  <w:style w:type="paragraph" w:styleId="869">
    <w:name w:val="Balloon Text"/>
    <w:basedOn w:val="685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link w:val="869"/>
    <w:uiPriority w:val="99"/>
    <w:semiHidden/>
    <w:rPr>
      <w:rFonts w:ascii="Segoe UI" w:hAnsi="Segoe UI" w:cs="Segoe UI"/>
      <w:sz w:val="18"/>
      <w:szCs w:val="18"/>
    </w:rPr>
  </w:style>
  <w:style w:type="table" w:styleId="871" w:customStyle="1">
    <w:name w:val="Сетка таблицы11"/>
    <w:basedOn w:val="696"/>
    <w:next w:val="723"/>
    <w:uiPriority w:val="39"/>
    <w:tblPr/>
  </w:style>
  <w:style w:type="character" w:styleId="872">
    <w:name w:val="annotation reference"/>
    <w:uiPriority w:val="99"/>
    <w:semiHidden/>
    <w:unhideWhenUsed/>
    <w:rPr>
      <w:sz w:val="16"/>
      <w:szCs w:val="16"/>
    </w:rPr>
  </w:style>
  <w:style w:type="paragraph" w:styleId="873">
    <w:name w:val="annotation text"/>
    <w:basedOn w:val="685"/>
    <w:link w:val="874"/>
    <w:uiPriority w:val="99"/>
    <w:semiHidden/>
    <w:unhideWhenUsed/>
    <w:rPr>
      <w:sz w:val="20"/>
      <w:szCs w:val="20"/>
    </w:rPr>
  </w:style>
  <w:style w:type="character" w:styleId="874" w:customStyle="1">
    <w:name w:val="Текст примечания Знак"/>
    <w:link w:val="873"/>
    <w:uiPriority w:val="99"/>
    <w:semiHidden/>
    <w:rPr>
      <w:lang w:eastAsia="en-US"/>
    </w:rPr>
  </w:style>
  <w:style w:type="paragraph" w:styleId="875">
    <w:name w:val="annotation subject"/>
    <w:basedOn w:val="873"/>
    <w:next w:val="873"/>
    <w:link w:val="876"/>
    <w:uiPriority w:val="99"/>
    <w:semiHidden/>
    <w:unhideWhenUsed/>
    <w:rPr>
      <w:b/>
      <w:bCs/>
    </w:rPr>
  </w:style>
  <w:style w:type="character" w:styleId="876" w:customStyle="1">
    <w:name w:val="Тема примечания Знак"/>
    <w:link w:val="875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Contract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Адамцевич Андрей Олегович</dc:creator>
  <cp:revision>9</cp:revision>
  <dcterms:created xsi:type="dcterms:W3CDTF">2023-05-02T09:55:00Z</dcterms:created>
  <dcterms:modified xsi:type="dcterms:W3CDTF">2024-08-14T07:45:59Z</dcterms:modified>
  <cp:version>1048576</cp:version>
</cp:coreProperties>
</file>