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65" w:rsidRDefault="00B13465">
      <w:pPr>
        <w:pStyle w:val="ConsPlusNormal"/>
        <w:ind w:firstLine="540"/>
        <w:jc w:val="right"/>
        <w:outlineLvl w:val="0"/>
        <w:rPr>
          <w:i/>
          <w:iCs/>
        </w:rPr>
      </w:pPr>
      <w:r>
        <w:rPr>
          <w:i/>
          <w:iCs/>
        </w:rPr>
        <w:t>Вносится Губернатором</w:t>
      </w:r>
    </w:p>
    <w:p w:rsidR="00B13465" w:rsidRDefault="00B13465">
      <w:pPr>
        <w:pStyle w:val="ConsPlusNormal"/>
        <w:ind w:firstLine="540"/>
        <w:jc w:val="right"/>
        <w:outlineLvl w:val="0"/>
        <w:rPr>
          <w:i/>
          <w:iCs/>
        </w:rPr>
      </w:pPr>
      <w:r>
        <w:rPr>
          <w:i/>
          <w:iCs/>
        </w:rPr>
        <w:t>Новосибирской области</w:t>
      </w:r>
    </w:p>
    <w:p w:rsidR="00B13465" w:rsidRDefault="00B13465">
      <w:pPr>
        <w:pStyle w:val="ConsPlusNormal"/>
        <w:ind w:firstLine="540"/>
        <w:jc w:val="right"/>
        <w:outlineLvl w:val="0"/>
      </w:pPr>
    </w:p>
    <w:p w:rsidR="00B13465" w:rsidRDefault="00B13465">
      <w:pPr>
        <w:pStyle w:val="ConsPlusNormal"/>
        <w:ind w:firstLine="540"/>
        <w:jc w:val="right"/>
        <w:outlineLvl w:val="0"/>
      </w:pPr>
      <w:r>
        <w:t>Проект № ________</w:t>
      </w:r>
    </w:p>
    <w:p w:rsidR="00B13465" w:rsidRDefault="00B13465">
      <w:pPr>
        <w:pStyle w:val="ConsPlusNormal"/>
        <w:ind w:firstLine="540"/>
        <w:jc w:val="right"/>
        <w:outlineLvl w:val="0"/>
      </w:pPr>
    </w:p>
    <w:p w:rsidR="00B13465" w:rsidRDefault="00B13465">
      <w:pPr>
        <w:pStyle w:val="ConsPlusNormal"/>
        <w:ind w:firstLine="540"/>
        <w:jc w:val="right"/>
        <w:outlineLvl w:val="0"/>
      </w:pPr>
    </w:p>
    <w:p w:rsidR="00B13465" w:rsidRDefault="00B13465">
      <w:pPr>
        <w:pStyle w:val="ConsPlusNormal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ЗАКОН</w:t>
      </w:r>
    </w:p>
    <w:p w:rsidR="00B13465" w:rsidRDefault="00B13465">
      <w:pPr>
        <w:pStyle w:val="ConsPlusNormal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НОВОСИБИРСКОЙ ОБЛАСТИ</w:t>
      </w:r>
    </w:p>
    <w:p w:rsidR="00B13465" w:rsidRDefault="00B13465">
      <w:pPr>
        <w:pStyle w:val="ConsPlusNormal"/>
        <w:ind w:firstLine="540"/>
        <w:jc w:val="center"/>
        <w:outlineLvl w:val="0"/>
      </w:pPr>
    </w:p>
    <w:p w:rsidR="00B13465" w:rsidRDefault="00B13465">
      <w:pPr>
        <w:pStyle w:val="ConsPlusNormal"/>
        <w:ind w:firstLine="540"/>
        <w:jc w:val="center"/>
        <w:outlineLvl w:val="0"/>
      </w:pPr>
    </w:p>
    <w:p w:rsidR="00B13465" w:rsidRDefault="00B13465">
      <w:pPr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bookmarkStart w:id="0" w:name="_GoBack"/>
      <w:r>
        <w:rPr>
          <w:rFonts w:ascii="TimesNewRoman" w:hAnsi="TimesNewRoman" w:cs="TimesNewRoman"/>
          <w:b/>
          <w:bCs/>
          <w:sz w:val="28"/>
          <w:szCs w:val="28"/>
        </w:rPr>
        <w:t xml:space="preserve">О внесении изменений в Закон Новосибирской области </w:t>
      </w:r>
    </w:p>
    <w:p w:rsidR="00B13465" w:rsidRDefault="00B13465">
      <w:pPr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«О дополнительных ограничениях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на территории Новосибирской области» и статью 3 Закона Новосибирской области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</w:t>
      </w:r>
    </w:p>
    <w:bookmarkEnd w:id="0"/>
    <w:p w:rsidR="00B13465" w:rsidRDefault="00B13465">
      <w:pPr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</w:p>
    <w:p w:rsidR="00B13465" w:rsidRDefault="00B13465">
      <w:pPr>
        <w:pStyle w:val="ConsPlusNormal"/>
        <w:jc w:val="center"/>
      </w:pPr>
    </w:p>
    <w:p w:rsidR="00B13465" w:rsidRDefault="00B13465">
      <w:pPr>
        <w:spacing w:after="0" w:line="240" w:lineRule="auto"/>
        <w:ind w:firstLine="709"/>
        <w:jc w:val="both"/>
        <w:outlineLvl w:val="0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Статья 1</w:t>
      </w:r>
    </w:p>
    <w:p w:rsidR="00B13465" w:rsidRDefault="00B13465">
      <w:pPr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Внести в </w:t>
      </w:r>
      <w:hyperlink r:id="rId7" w:history="1">
        <w:r>
          <w:rPr>
            <w:rFonts w:ascii="TimesNewRoman" w:hAnsi="TimesNewRoman" w:cs="TimesNewRoman"/>
            <w:sz w:val="28"/>
            <w:szCs w:val="28"/>
          </w:rPr>
          <w:t>Закон</w:t>
        </w:r>
      </w:hyperlink>
      <w:r>
        <w:rPr>
          <w:rFonts w:ascii="TimesNewRoman" w:hAnsi="TimesNewRoman" w:cs="TimesNewRoman"/>
          <w:sz w:val="28"/>
          <w:szCs w:val="28"/>
        </w:rPr>
        <w:t xml:space="preserve"> Новосибирской области от 10 ноября 2020 года № 9-ОЗ «</w:t>
      </w:r>
      <w:r w:rsidR="004C443B">
        <w:rPr>
          <w:rFonts w:ascii="TimesNewRoman" w:hAnsi="TimesNewRoman" w:cs="TimesNewRoman"/>
          <w:sz w:val="28"/>
          <w:szCs w:val="28"/>
        </w:rPr>
        <w:t>О </w:t>
      </w:r>
      <w:r>
        <w:rPr>
          <w:rFonts w:ascii="TimesNewRoman" w:hAnsi="TimesNewRoman" w:cs="TimesNewRoman"/>
          <w:sz w:val="28"/>
          <w:szCs w:val="28"/>
        </w:rPr>
        <w:t>дополнительных ограничениях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на территории Новосибирской области» следующие изменения:</w:t>
      </w: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1) наименование изложить в следующей редакции:</w:t>
      </w: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«</w:t>
      </w:r>
      <w:r>
        <w:rPr>
          <w:rFonts w:ascii="TimesNewRoman" w:hAnsi="TimesNewRoman" w:cs="TimesNewRoman"/>
          <w:b/>
          <w:bCs/>
          <w:sz w:val="28"/>
          <w:szCs w:val="28"/>
        </w:rPr>
        <w:t>Об особенностях розничной продажи алкогольной продукции при оказании услуг общественного питания в объектах общественного питания на территории Новосибирской области</w:t>
      </w:r>
      <w:r>
        <w:rPr>
          <w:rFonts w:ascii="TimesNewRoman" w:hAnsi="TimesNewRoman" w:cs="TimesNewRoman"/>
          <w:sz w:val="28"/>
          <w:szCs w:val="28"/>
        </w:rPr>
        <w:t>»;</w:t>
      </w: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2) в статье 1:</w:t>
      </w: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а) слова «пунктом 4.1» заменить словами «пунктами 4.1, 4.2, 9.1»;</w:t>
      </w: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б) слова «дополнительные ограничения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территориях» заменить словами «особенности розничной продажи алкогольной продукции при оказании услуг общественного питания»;</w:t>
      </w: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3) дополнить статьями 2.1 и 2.2 следующего содержания:</w:t>
      </w: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«</w:t>
      </w:r>
      <w:r>
        <w:rPr>
          <w:rFonts w:ascii="TimesNewRoman" w:hAnsi="TimesNewRoman" w:cs="TimesNewRoman"/>
          <w:b/>
          <w:bCs/>
          <w:sz w:val="28"/>
          <w:szCs w:val="28"/>
        </w:rPr>
        <w:t>Статья 2.1. Ограничение времени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</w:t>
      </w: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Не допускается розничная продажа алкогольной продукции при оказании </w:t>
      </w:r>
      <w:r>
        <w:rPr>
          <w:rFonts w:ascii="TimesNewRoman" w:hAnsi="TimesNewRoman" w:cs="TimesNewRoman"/>
          <w:sz w:val="28"/>
          <w:szCs w:val="28"/>
        </w:rPr>
        <w:lastRenderedPageBreak/>
        <w:t>услуг общественного питания, осуществляемых организациями и индивидуальными предпринимателями, в объектах общественного питания (за исключением ресторанов, кафе), расположенных в многоквартирных домах и (или) на прилегающих к ним территориях, с 22 часов до 9 часов по местному времени.</w:t>
      </w: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0"/>
          <w:szCs w:val="20"/>
        </w:rPr>
      </w:pP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Статья 2.2. Требование об осуществлении розничной продажи пива и пивных напитков, сидра, </w:t>
      </w:r>
      <w:proofErr w:type="spellStart"/>
      <w:r>
        <w:rPr>
          <w:rFonts w:ascii="TimesNewRoman" w:hAnsi="TimesNewRoman" w:cs="TimesNewRoman"/>
          <w:b/>
          <w:bCs/>
          <w:sz w:val="28"/>
          <w:szCs w:val="28"/>
        </w:rPr>
        <w:t>пуарэ</w:t>
      </w:r>
      <w:proofErr w:type="spellEnd"/>
      <w:r>
        <w:rPr>
          <w:rFonts w:ascii="TimesNewRoman" w:hAnsi="TimesNewRoman" w:cs="TimesNewRoman"/>
          <w:b/>
          <w:bCs/>
          <w:sz w:val="28"/>
          <w:szCs w:val="28"/>
        </w:rPr>
        <w:t xml:space="preserve"> и медовухи при оказании услуг общественного питания</w:t>
      </w: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0"/>
          <w:szCs w:val="20"/>
        </w:rPr>
      </w:pP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Розничная продажа пива и пивных напитков, сидра, </w:t>
      </w:r>
      <w:proofErr w:type="spellStart"/>
      <w:r>
        <w:rPr>
          <w:rFonts w:ascii="TimesNewRoman" w:hAnsi="TimesNewRoman" w:cs="TimesNewRoman"/>
          <w:sz w:val="28"/>
          <w:szCs w:val="28"/>
        </w:rPr>
        <w:t>пуарэ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и медовухи при оказании услуг общественного питания, осуществляемых организациями и индивидуальными предпринимателями, допускается только в таких объектах общественного питания, как рестораны, бары, кафе, буфеты,</w:t>
      </w:r>
      <w:r>
        <w:t xml:space="preserve"> </w:t>
      </w:r>
      <w:r>
        <w:rPr>
          <w:rFonts w:ascii="TimesNewRoman" w:hAnsi="TimesNewRoman" w:cs="TimesNewRoman"/>
          <w:sz w:val="28"/>
          <w:szCs w:val="28"/>
        </w:rPr>
        <w:t>в том числе расположенных в многоквартирных домах и (или) на прилегающих к ним территориях.».</w:t>
      </w:r>
    </w:p>
    <w:p w:rsidR="00B13465" w:rsidRDefault="00B13465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B13465" w:rsidRDefault="00B13465">
      <w:pPr>
        <w:spacing w:after="0" w:line="240" w:lineRule="auto"/>
        <w:ind w:firstLine="709"/>
        <w:jc w:val="both"/>
        <w:outlineLvl w:val="0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Статья 2</w:t>
      </w:r>
    </w:p>
    <w:p w:rsidR="00B13465" w:rsidRDefault="00B13465">
      <w:pPr>
        <w:pStyle w:val="afb"/>
        <w:jc w:val="both"/>
        <w:rPr>
          <w:rFonts w:ascii="TimesNewRoman" w:hAnsi="TimesNewRoman" w:cs="TimesNewRoman"/>
          <w:sz w:val="20"/>
          <w:szCs w:val="20"/>
        </w:rPr>
      </w:pPr>
    </w:p>
    <w:p w:rsidR="00B13465" w:rsidRDefault="00B13465">
      <w:pPr>
        <w:pStyle w:val="afb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Внести в статью 3 Закона Новосибирской области от 7 октября 2011 года № 130-ОЗ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 (с изменениями, внесенными Законами Новосибирской области от 19 декабря 2016 года № 127-ОЗ, от 5 июля 2017 года № 193-ОЗ, от 3 апреля 2018 года № 251-ОЗ, от 10 ноября 2020 года № 7-ОЗ, от 27 апреля 2021 года № 71-ОЗ, от 27 декабря 2021 года № 158-ОЗ) изменение, дополнив пунктом 6 следующего содержания:</w:t>
      </w:r>
    </w:p>
    <w:p w:rsidR="00B13465" w:rsidRDefault="00B13465">
      <w:pPr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«6) представление в федеральный орган по контролю и надзору по запросу данного органа сведени</w:t>
      </w:r>
      <w:r w:rsidR="001D6BBB">
        <w:rPr>
          <w:rFonts w:ascii="TimesNewRoman" w:hAnsi="TimesNewRoman" w:cs="TimesNewRoman"/>
          <w:sz w:val="28"/>
          <w:szCs w:val="28"/>
        </w:rPr>
        <w:t>й</w:t>
      </w:r>
      <w:r>
        <w:rPr>
          <w:rFonts w:ascii="TimesNewRoman" w:hAnsi="TimesNewRoman" w:cs="TimesNewRoman"/>
          <w:sz w:val="28"/>
          <w:szCs w:val="28"/>
        </w:rPr>
        <w:t xml:space="preserve"> 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территориях.».</w:t>
      </w:r>
    </w:p>
    <w:p w:rsidR="00B13465" w:rsidRDefault="00B13465">
      <w:pPr>
        <w:pStyle w:val="afb"/>
        <w:jc w:val="both"/>
        <w:rPr>
          <w:rFonts w:ascii="TimesNewRoman" w:hAnsi="TimesNewRoman" w:cs="TimesNewRoman"/>
          <w:sz w:val="20"/>
          <w:szCs w:val="20"/>
        </w:rPr>
      </w:pPr>
    </w:p>
    <w:p w:rsidR="00B13465" w:rsidRDefault="00B13465">
      <w:pPr>
        <w:pStyle w:val="afb"/>
        <w:ind w:firstLine="709"/>
        <w:jc w:val="both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Статья 3</w:t>
      </w:r>
    </w:p>
    <w:p w:rsidR="00B13465" w:rsidRDefault="00B13465">
      <w:pPr>
        <w:pStyle w:val="afb"/>
        <w:jc w:val="both"/>
        <w:rPr>
          <w:rFonts w:ascii="TimesNewRoman" w:hAnsi="TimesNewRoman" w:cs="TimesNewRoman"/>
          <w:sz w:val="20"/>
          <w:szCs w:val="20"/>
        </w:rPr>
      </w:pPr>
    </w:p>
    <w:p w:rsidR="00B13465" w:rsidRDefault="00B13465">
      <w:pPr>
        <w:pStyle w:val="afb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Настоящий Закон вступает в силу с 1 </w:t>
      </w:r>
      <w:r w:rsidR="00607124">
        <w:rPr>
          <w:rFonts w:ascii="TimesNewRoman" w:hAnsi="TimesNewRoman" w:cs="TimesNewRoman"/>
          <w:sz w:val="28"/>
          <w:szCs w:val="28"/>
        </w:rPr>
        <w:t xml:space="preserve">марта 2025 </w:t>
      </w:r>
      <w:r>
        <w:rPr>
          <w:rFonts w:ascii="TimesNewRoman" w:hAnsi="TimesNewRoman" w:cs="TimesNewRoman"/>
          <w:sz w:val="28"/>
          <w:szCs w:val="28"/>
        </w:rPr>
        <w:t>года</w:t>
      </w:r>
      <w:r w:rsidR="00607124">
        <w:rPr>
          <w:rFonts w:ascii="TimesNewRoman" w:hAnsi="TimesNewRoman" w:cs="TimesNewRoman"/>
          <w:sz w:val="28"/>
          <w:szCs w:val="28"/>
        </w:rPr>
        <w:t>, но не ранее чем по истечении 90 дней после дня его официального опубликования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B13465" w:rsidRDefault="00B13465">
      <w:pPr>
        <w:pStyle w:val="ConsPlusNormal"/>
        <w:jc w:val="both"/>
        <w:rPr>
          <w:sz w:val="20"/>
          <w:szCs w:val="20"/>
        </w:rPr>
      </w:pPr>
    </w:p>
    <w:p w:rsidR="00B13465" w:rsidRDefault="00B13465">
      <w:pPr>
        <w:pStyle w:val="ConsPlusNormal"/>
        <w:jc w:val="both"/>
        <w:rPr>
          <w:sz w:val="20"/>
          <w:szCs w:val="20"/>
        </w:rPr>
      </w:pPr>
    </w:p>
    <w:p w:rsidR="00B13465" w:rsidRDefault="00B13465">
      <w:pPr>
        <w:pStyle w:val="ConsPlusNormal"/>
        <w:jc w:val="both"/>
        <w:rPr>
          <w:sz w:val="20"/>
          <w:szCs w:val="20"/>
        </w:rPr>
      </w:pPr>
    </w:p>
    <w:p w:rsidR="00B13465" w:rsidRDefault="00B13465">
      <w:pPr>
        <w:pStyle w:val="ConsPlusNormal"/>
        <w:jc w:val="both"/>
      </w:pPr>
      <w:r>
        <w:t>Губернатор</w:t>
      </w:r>
    </w:p>
    <w:p w:rsidR="00B13465" w:rsidRDefault="00B13465">
      <w:pPr>
        <w:pStyle w:val="ConsPlusNormal"/>
        <w:jc w:val="both"/>
      </w:pPr>
      <w:r>
        <w:t xml:space="preserve">Новосибирской области       </w:t>
      </w:r>
      <w:r w:rsidR="00FD75AD">
        <w:t xml:space="preserve">  </w:t>
      </w:r>
      <w:r>
        <w:t xml:space="preserve">                                                               А.А. Травников</w:t>
      </w:r>
    </w:p>
    <w:p w:rsidR="00B13465" w:rsidRDefault="00B13465">
      <w:pPr>
        <w:pStyle w:val="ConsPlusNormal"/>
        <w:jc w:val="both"/>
        <w:rPr>
          <w:sz w:val="20"/>
          <w:szCs w:val="20"/>
        </w:rPr>
      </w:pPr>
    </w:p>
    <w:p w:rsidR="00B13465" w:rsidRDefault="00B13465">
      <w:pPr>
        <w:pStyle w:val="ConsPlusNormal"/>
        <w:jc w:val="both"/>
        <w:rPr>
          <w:sz w:val="20"/>
          <w:szCs w:val="20"/>
        </w:rPr>
      </w:pPr>
    </w:p>
    <w:p w:rsidR="00B13465" w:rsidRDefault="00B13465">
      <w:pPr>
        <w:pStyle w:val="ConsPlusNormal"/>
        <w:jc w:val="both"/>
      </w:pPr>
      <w:r>
        <w:t>г. Новосибирск</w:t>
      </w:r>
    </w:p>
    <w:p w:rsidR="00B13465" w:rsidRDefault="00B13465">
      <w:pPr>
        <w:pStyle w:val="ConsPlusNormal"/>
        <w:jc w:val="both"/>
      </w:pPr>
      <w:r>
        <w:t>«____» _________ 2024 г.</w:t>
      </w:r>
    </w:p>
    <w:p w:rsidR="00B13465" w:rsidRDefault="00B13465">
      <w:pPr>
        <w:pStyle w:val="ConsPlusNormal"/>
        <w:jc w:val="both"/>
      </w:pPr>
      <w:r>
        <w:t>№ _____________ – ОЗ</w:t>
      </w:r>
    </w:p>
    <w:sectPr w:rsidR="00B13465">
      <w:headerReference w:type="default" r:id="rId8"/>
      <w:pgSz w:w="11906" w:h="16838"/>
      <w:pgMar w:top="1134" w:right="567" w:bottom="680" w:left="1418" w:header="42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70" w:rsidRDefault="00002070">
      <w:r>
        <w:rPr>
          <w:rFonts w:ascii="TimesNewRoman" w:hAnsi="TimesNewRoman" w:cs="TimesNewRoman"/>
        </w:rPr>
        <w:separator/>
      </w:r>
    </w:p>
  </w:endnote>
  <w:endnote w:type="continuationSeparator" w:id="0">
    <w:p w:rsidR="00002070" w:rsidRDefault="00002070">
      <w:r>
        <w:rPr>
          <w:rFonts w:ascii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New"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70" w:rsidRDefault="00002070">
      <w:r>
        <w:rPr>
          <w:rFonts w:ascii="TimesNewRoman" w:hAnsi="TimesNewRoman" w:cs="TimesNewRoman"/>
        </w:rPr>
        <w:separator/>
      </w:r>
    </w:p>
  </w:footnote>
  <w:footnote w:type="continuationSeparator" w:id="0">
    <w:p w:rsidR="00002070" w:rsidRDefault="00002070">
      <w:r>
        <w:rPr>
          <w:rFonts w:ascii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5" w:rsidRDefault="00B13465">
    <w:pPr>
      <w:pStyle w:val="af7"/>
      <w:jc w:val="center"/>
      <w:rPr>
        <w:rFonts w:ascii="TimesNewRoman" w:hAnsi="TimesNewRoman" w:cs="TimesNewRoman"/>
        <w:sz w:val="20"/>
        <w:szCs w:val="20"/>
      </w:rPr>
    </w:pPr>
    <w:r>
      <w:rPr>
        <w:rFonts w:ascii="TimesNewRoman" w:hAnsi="TimesNewRoman" w:cs="TimesNewRoman"/>
        <w:sz w:val="20"/>
        <w:szCs w:val="20"/>
      </w:rPr>
      <w:fldChar w:fldCharType="begin"/>
    </w:r>
    <w:r>
      <w:rPr>
        <w:rFonts w:ascii="TimesNewRoman" w:hAnsi="TimesNewRoman" w:cs="TimesNewRoman"/>
        <w:sz w:val="20"/>
        <w:szCs w:val="20"/>
      </w:rPr>
      <w:instrText>PAGE   \* MERGEFORMAT</w:instrText>
    </w:r>
    <w:r>
      <w:rPr>
        <w:rFonts w:ascii="TimesNewRoman" w:hAnsi="TimesNewRoman" w:cs="TimesNewRoman"/>
        <w:sz w:val="20"/>
        <w:szCs w:val="20"/>
      </w:rPr>
      <w:fldChar w:fldCharType="separate"/>
    </w:r>
    <w:r w:rsidR="00AC352C">
      <w:rPr>
        <w:rFonts w:ascii="TimesNewRoman" w:hAnsi="TimesNewRoman" w:cs="TimesNewRoman"/>
        <w:noProof/>
        <w:sz w:val="20"/>
        <w:szCs w:val="20"/>
      </w:rPr>
      <w:t>2</w:t>
    </w:r>
    <w:r>
      <w:rPr>
        <w:rFonts w:ascii="TimesNewRoman" w:hAnsi="TimesNewRoman" w:cs="TimesNew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3993"/>
    <w:multiLevelType w:val="hybridMultilevel"/>
    <w:tmpl w:val="00000000"/>
    <w:lvl w:ilvl="0" w:tplc="FFFFFFFF">
      <w:start w:val="1"/>
      <w:numFmt w:val="decimal"/>
      <w:lvlText w:val="*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*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*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*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*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*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*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*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*"/>
      <w:lvlJc w:val="right"/>
      <w:pPr>
        <w:ind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AD"/>
    <w:rsid w:val="00002070"/>
    <w:rsid w:val="00106768"/>
    <w:rsid w:val="001D6BBB"/>
    <w:rsid w:val="003B11E8"/>
    <w:rsid w:val="004970A2"/>
    <w:rsid w:val="004C443B"/>
    <w:rsid w:val="00607124"/>
    <w:rsid w:val="00912668"/>
    <w:rsid w:val="00956FE2"/>
    <w:rsid w:val="00AC352C"/>
    <w:rsid w:val="00B13007"/>
    <w:rsid w:val="00B13465"/>
    <w:rsid w:val="00B45360"/>
    <w:rsid w:val="00EA2A83"/>
    <w:rsid w:val="00F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5CDC5A-3690-4A29-B7D6-FF075412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 w:line="240" w:lineRule="auto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 w:line="240" w:lineRule="auto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 w:line="240" w:lineRule="auto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 w:line="240" w:lineRule="auto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 w:line="240" w:lineRule="auto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 w:line="240" w:lineRule="auto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 w:line="240" w:lineRule="auto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 w:line="240" w:lineRule="auto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 w:line="240" w:lineRule="auto"/>
      <w:contextualSpacing/>
    </w:pPr>
    <w:rPr>
      <w:rFonts w:ascii="Arial" w:hAnsi="Arial" w:cs="Arial"/>
      <w:sz w:val="48"/>
      <w:szCs w:val="48"/>
    </w:rPr>
  </w:style>
  <w:style w:type="character" w:customStyle="1" w:styleId="TitleChar">
    <w:name w:val="Title Char"/>
    <w:basedOn w:val="a0"/>
    <w:uiPriority w:val="99"/>
    <w:rPr>
      <w:rFonts w:ascii="Arial" w:hAnsi="Arial" w:cs="Arial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pPr>
      <w:spacing w:before="200" w:after="20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Arial" w:hAnsi="Arial" w:cs="Arial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Arial" w:hAnsi="Arial" w:cs="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Arial" w:hAnsi="Arial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Arial" w:hAnsi="Arial" w:cs="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locked/>
    <w:rPr>
      <w:rFonts w:cs="Times New Roman"/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Arial" w:hAnsi="Arial"/>
      <w:i/>
    </w:rPr>
  </w:style>
  <w:style w:type="character" w:customStyle="1" w:styleId="HeaderChar">
    <w:name w:val="Header Char"/>
    <w:basedOn w:val="a0"/>
    <w:uiPriority w:val="99"/>
    <w:rPr>
      <w:rFonts w:ascii="Arial" w:hAnsi="Arial" w:cs="Arial"/>
    </w:rPr>
  </w:style>
  <w:style w:type="character" w:customStyle="1" w:styleId="FooterChar">
    <w:name w:val="Footer Char"/>
    <w:basedOn w:val="a0"/>
    <w:uiPriority w:val="99"/>
    <w:rPr>
      <w:rFonts w:ascii="Arial" w:hAnsi="Arial" w:cs="Arial"/>
    </w:rPr>
  </w:style>
  <w:style w:type="paragraph" w:styleId="aa">
    <w:name w:val="caption"/>
    <w:basedOn w:val="a"/>
    <w:next w:val="a"/>
    <w:uiPriority w:val="99"/>
    <w:qFormat/>
    <w:pPr>
      <w:spacing w:after="0" w:line="276" w:lineRule="auto"/>
    </w:pPr>
    <w:rPr>
      <w:rFonts w:ascii="Arial" w:hAnsi="Arial" w:cs="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Arial" w:hAnsi="Arial"/>
    </w:rPr>
  </w:style>
  <w:style w:type="table" w:styleId="ab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Pr>
      <w:rFonts w:ascii="Arial" w:hAnsi="Arial" w:cs="Arial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rFonts w:ascii="Arial" w:hAnsi="Arial" w:cs="Arial"/>
      <w:sz w:val="18"/>
      <w:szCs w:val="18"/>
    </w:rPr>
  </w:style>
  <w:style w:type="character" w:customStyle="1" w:styleId="ae">
    <w:name w:val="Текст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Arial" w:hAnsi="Arial"/>
      <w:sz w:val="18"/>
    </w:rPr>
  </w:style>
  <w:style w:type="character" w:styleId="af">
    <w:name w:val="footnote reference"/>
    <w:basedOn w:val="a0"/>
    <w:uiPriority w:val="99"/>
    <w:unhideWhenUsed/>
    <w:rPr>
      <w:rFonts w:ascii="Arial" w:hAnsi="Arial" w:cs="Arial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Arial" w:hAnsi="Arial"/>
      <w:sz w:val="20"/>
    </w:rPr>
  </w:style>
  <w:style w:type="character" w:styleId="af2">
    <w:name w:val="endnote reference"/>
    <w:basedOn w:val="a0"/>
    <w:uiPriority w:val="99"/>
    <w:semiHidden/>
    <w:unhideWhenUsed/>
    <w:rPr>
      <w:rFonts w:ascii="Arial" w:hAnsi="Arial" w:cs="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 w:line="240" w:lineRule="auto"/>
    </w:pPr>
    <w:rPr>
      <w:rFonts w:ascii="Arial" w:hAnsi="Arial" w:cs="Arial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Arial" w:hAnsi="Arial" w:cs="Arial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Arial" w:hAnsi="Arial" w:cs="Arial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Arial" w:hAnsi="Arial" w:cs="Arial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Arial" w:hAnsi="Arial" w:cs="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Arial" w:hAnsi="Arial" w:cs="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Arial" w:hAnsi="Arial" w:cs="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Arial" w:hAnsi="Arial" w:cs="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Arial" w:hAnsi="Arial" w:cs="Arial"/>
      <w:sz w:val="24"/>
      <w:szCs w:val="24"/>
    </w:rPr>
  </w:style>
  <w:style w:type="paragraph" w:styleId="af3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4">
    <w:name w:val="table of figures"/>
    <w:basedOn w:val="a"/>
    <w:next w:val="a"/>
    <w:uiPriority w:val="99"/>
    <w:unhideWhenUsed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  <w:b/>
      <w:bCs/>
      <w:sz w:val="30"/>
      <w:szCs w:val="3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  <w:sz w:val="28"/>
      <w:szCs w:val="28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UI" w:hAnsi="SegoeUI" w:cs="Segoe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Pr>
      <w:rFonts w:ascii="SegoeUI" w:hAnsi="SegoeUI" w:cs="Segoe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locked/>
    <w:rPr>
      <w:rFonts w:ascii="TimesNewRoman" w:hAnsi="TimesNewRoman" w:cs="TimesNew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locked/>
    <w:rPr>
      <w:rFonts w:ascii="TimesNewRoman" w:hAnsi="TimesNewRoman" w:cs="TimesNewRoman"/>
    </w:rPr>
  </w:style>
  <w:style w:type="paragraph" w:styleId="afb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49&amp;n=166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Постановление Губернатора Новосибирской области от 25.05.2018 N 106&amp;amp;amp;quot;О внесении изменений в постановление Губернатора Новосибирской области от 21.12.2011 N 332&amp;amp;amp;quot;</vt:lpstr>
      <vt:lpstr>Вносится Губернатором</vt:lpstr>
      <vt:lpstr>Новосибирской области</vt:lpstr>
      <vt:lpstr/>
      <vt:lpstr>Проект № ________</vt:lpstr>
      <vt:lpstr/>
      <vt:lpstr/>
      <vt:lpstr>ЗАКОН</vt:lpstr>
      <vt:lpstr>НОВОСИБИРСКОЙ ОБЛАСТИ</vt:lpstr>
      <vt:lpstr/>
      <vt:lpstr/>
      <vt:lpstr>Статья 1</vt:lpstr>
      <vt:lpstr>Статья 2</vt:lpstr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Новосибирской области от 25.05.2018 N 106&amp;amp;amp;quot;О внесении изменений в постановление Губернатора Новосибирской области от 21.12.2011 N 332&amp;amp;amp;quot;</dc:title>
  <dc:subject/>
  <dc:creator>Литовская Элина Александровна</dc:creator>
  <cp:keywords/>
  <dc:description/>
  <cp:lastModifiedBy>Литовская Элина Александровна</cp:lastModifiedBy>
  <cp:revision>2</cp:revision>
  <cp:lastPrinted>2024-04-24T01:53:00Z</cp:lastPrinted>
  <dcterms:created xsi:type="dcterms:W3CDTF">2024-05-08T02:18:00Z</dcterms:created>
  <dcterms:modified xsi:type="dcterms:W3CDTF">2024-05-08T02:18:00Z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Р7-Офис/7.4.0.351</vt:lpwstr>
  </property>
</Properties>
</file>