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</w:pPr>
      <w:r>
        <w:t xml:space="preserve">МИНИСТЕРСТВО ЭКОНОМИЧЕСКОГО РАЗВИТИЯ</w:t>
      </w:r>
      <w:r/>
    </w:p>
    <w:p>
      <w:pPr>
        <w:pStyle w:val="843"/>
      </w:pPr>
      <w:r>
        <w:t xml:space="preserve">НОВОСИБИРСКОЙ ОБЛАСТИ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pStyle w:val="662"/>
      </w:pPr>
      <w:r>
        <w:t xml:space="preserve">ПРИКАЗ</w:t>
      </w:r>
      <w:r/>
    </w:p>
    <w:p>
      <w:r/>
      <w:r/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«___»___________2023 года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№________</w:t>
            </w:r>
            <w:r/>
          </w:p>
        </w:tc>
      </w:tr>
      <w:tr>
        <w:trPr>
          <w:trHeight w:val="1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textDirection w:val="lrTb"/>
            <w:noWrap w:val="false"/>
          </w:tcPr>
          <w:p>
            <w:pPr>
              <w:ind w:left="-5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экономического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Новосибирской области от 12.11.2021 </w:t>
      </w:r>
      <w:r>
        <w:rPr>
          <w:b/>
          <w:sz w:val="28"/>
          <w:szCs w:val="28"/>
        </w:rPr>
        <w:t xml:space="preserve">№ 145 «О предотвращении и урегулировании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экономического развития Новосибирской области»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</w:pPr>
      <w:r>
        <w:rPr>
          <w:color w:val="000000"/>
          <w:sz w:val="28"/>
          <w:szCs w:val="28"/>
        </w:rPr>
        <w:t xml:space="preserve">В связи с изменением штатного расписания министерства экономического развития Новосибирской области </w:t>
      </w:r>
      <w:r>
        <w:rPr>
          <w:b/>
          <w:bCs/>
          <w:color w:val="000000"/>
          <w:sz w:val="28"/>
          <w:szCs w:val="28"/>
        </w:rPr>
        <w:t xml:space="preserve">п р и к а з ы в а ю: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приказ министерства экономического развития Новосибирской области от 12.11.2021 № 145 «О предотвращении и урегулировании конфликтов интересов, возникающих при исполнении должностных обязанностей руководителями государствен</w:t>
      </w:r>
      <w:r>
        <w:rPr>
          <w:sz w:val="28"/>
          <w:szCs w:val="28"/>
        </w:rPr>
        <w:t xml:space="preserve">ных учреждений Новосибирской области, подведомственных министерству экономического развития Новосибирской области» (в редакции приказов министерства экономического развития Новосибирской области от 19.07.2022 № 104, от 17.03.2023 № 30) следующие изменения: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составе комиссии по предотвращ</w:t>
      </w:r>
      <w:r>
        <w:rPr>
          <w:color w:val="000000"/>
          <w:sz w:val="28"/>
          <w:szCs w:val="28"/>
        </w:rPr>
        <w:t xml:space="preserve">ению и урегулированию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министерству экономического развития Новосибирской области (далее – комиссия):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вести в состав комиссии Симагину Ольгу Владимировну, заместителя министра экономического развития Новосибирской области</w:t>
      </w:r>
      <w:r>
        <w:rPr>
          <w:color w:val="000000"/>
          <w:sz w:val="28"/>
          <w:szCs w:val="28"/>
        </w:rPr>
        <w:t xml:space="preserve">, заместителем председателя комиссии.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</w:t>
      </w:r>
      <w:r>
        <w:rPr>
          <w:color w:val="000000"/>
          <w:sz w:val="28"/>
          <w:szCs w:val="28"/>
        </w:rPr>
        <w:t xml:space="preserve">ывести из состава комис</w:t>
      </w:r>
      <w:r>
        <w:rPr>
          <w:color w:val="000000"/>
          <w:sz w:val="28"/>
          <w:szCs w:val="28"/>
        </w:rPr>
        <w:t xml:space="preserve">сии Рягузова Д.Е.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Н</w:t>
      </w:r>
      <w:r>
        <w:rPr>
          <w:color w:val="000000"/>
          <w:sz w:val="28"/>
          <w:szCs w:val="28"/>
        </w:rPr>
        <w:t xml:space="preserve">аименование должности Москвиной О.В. изложить в следующей редакции: «начальник управления совершенствования государственного упра</w:t>
      </w:r>
      <w:r>
        <w:rPr>
          <w:color w:val="000000"/>
          <w:sz w:val="28"/>
          <w:szCs w:val="28"/>
        </w:rPr>
        <w:t xml:space="preserve">вления и регуляторной политики».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Н</w:t>
      </w:r>
      <w:r>
        <w:rPr>
          <w:color w:val="000000"/>
          <w:sz w:val="28"/>
          <w:szCs w:val="28"/>
        </w:rPr>
        <w:t xml:space="preserve">аименование должности Сагиной И.В. изложить в следующей редакции: «заместитель начальника управления</w:t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совершенствования </w:t>
      </w:r>
      <w:r>
        <w:rPr>
          <w:color w:val="000000"/>
          <w:sz w:val="28"/>
          <w:szCs w:val="28"/>
        </w:rPr>
        <w:t xml:space="preserve">государственного управления с</w:t>
      </w:r>
      <w:r>
        <w:rPr>
          <w:color w:val="000000"/>
          <w:sz w:val="28"/>
          <w:szCs w:val="28"/>
        </w:rPr>
        <w:t xml:space="preserve">овершенствования государственного управ</w:t>
      </w:r>
      <w:r>
        <w:rPr>
          <w:color w:val="000000"/>
          <w:sz w:val="28"/>
          <w:szCs w:val="28"/>
        </w:rPr>
        <w:t xml:space="preserve">ления и регуляторной политики </w:t>
      </w:r>
      <w:r>
        <w:rPr>
          <w:color w:val="000000"/>
          <w:sz w:val="28"/>
          <w:szCs w:val="28"/>
        </w:rPr>
        <w:t xml:space="preserve">министерства экономического р</w:t>
      </w:r>
      <w:r>
        <w:rPr>
          <w:color w:val="000000"/>
          <w:sz w:val="28"/>
          <w:szCs w:val="28"/>
        </w:rPr>
        <w:t xml:space="preserve">азвития Новосибирской области».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Н</w:t>
      </w:r>
      <w:r>
        <w:rPr>
          <w:color w:val="000000"/>
          <w:sz w:val="28"/>
          <w:szCs w:val="28"/>
        </w:rPr>
        <w:t xml:space="preserve">аименование должности Телегиной Н.Г. изложить в следующей редакции: «начальник отдела правового обеспечения министерства экономического </w:t>
      </w:r>
      <w:r>
        <w:rPr>
          <w:color w:val="000000"/>
          <w:sz w:val="28"/>
          <w:szCs w:val="28"/>
        </w:rPr>
        <w:t xml:space="preserve">развития Новосибирской области».</w:t>
      </w:r>
      <w:r/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right="567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567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Л.Н. Решетников</w:t>
      </w:r>
      <w:r/>
    </w:p>
    <w:p>
      <w:pPr>
        <w:ind w:right="56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/>
      <w:bookmarkStart w:id="0" w:name="_GoBack"/>
      <w:r/>
      <w:bookmarkEnd w:id="0"/>
      <w:r/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right="565"/>
        <w:rPr>
          <w:sz w:val="20"/>
          <w:szCs w:val="20"/>
        </w:rPr>
      </w:pPr>
      <w:r>
        <w:rPr>
          <w:sz w:val="20"/>
          <w:szCs w:val="20"/>
        </w:rPr>
        <w:t xml:space="preserve">Г.Ю. Шевченко</w:t>
      </w:r>
      <w:r/>
    </w:p>
    <w:p>
      <w:pPr>
        <w:ind w:right="565"/>
        <w:sectPr>
          <w:footnotePr/>
          <w:endnotePr/>
          <w:type w:val="nextPage"/>
          <w:pgSz w:w="11906" w:h="16838" w:orient="portrait"/>
          <w:pgMar w:top="1134" w:right="567" w:bottom="1134" w:left="1418" w:header="737" w:footer="709" w:gutter="0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  <w:t xml:space="preserve">296 59 03</w:t>
      </w:r>
      <w:r/>
    </w:p>
    <w:p>
      <w:pPr>
        <w:ind w:right="565"/>
        <w:rPr>
          <w:sz w:val="28"/>
          <w:szCs w:val="28"/>
        </w:rPr>
      </w:pPr>
      <w:r>
        <w:rPr>
          <w:sz w:val="28"/>
          <w:szCs w:val="20"/>
        </w:rPr>
        <w:t xml:space="preserve">СОГЛАСОВАНО:</w:t>
      </w:r>
      <w:r/>
    </w:p>
    <w:p>
      <w:pPr>
        <w:ind w:right="565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39" w:type="dxa"/>
        <w:tblCellSpacing w:w="0" w:type="dxa"/>
        <w:tblLook w:val="04A0" w:firstRow="1" w:lastRow="0" w:firstColumn="1" w:lastColumn="0" w:noHBand="0" w:noVBand="1"/>
      </w:tblPr>
      <w:tblGrid>
        <w:gridCol w:w="3828"/>
        <w:gridCol w:w="286"/>
        <w:gridCol w:w="5525"/>
      </w:tblGrid>
      <w:tr>
        <w:trPr>
          <w:tblCellSpacing w:w="0" w:type="dxa"/>
        </w:trPr>
        <w:tc>
          <w:tcPr>
            <w:tcW w:w="38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управления финансовой, кадровой и организационной работы</w:t>
            </w:r>
            <w:r/>
          </w:p>
          <w:p>
            <w:r>
              <w:rPr>
                <w:sz w:val="28"/>
                <w:szCs w:val="28"/>
              </w:rPr>
              <w:t xml:space="preserve"> </w:t>
            </w:r>
            <w:r/>
          </w:p>
        </w:tc>
        <w:tc>
          <w:tcPr>
            <w:tcW w:w="286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 </w:t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  <w:t xml:space="preserve"> </w:t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Н.В. 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укмачева</w:t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«___» __________ 2023 г.</w:t>
            </w:r>
            <w:r/>
          </w:p>
        </w:tc>
      </w:tr>
      <w:tr>
        <w:trPr>
          <w:tblCellSpacing w:w="0" w:type="dxa"/>
        </w:trPr>
        <w:tc>
          <w:tcPr>
            <w:tcW w:w="38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Начальник отдела правового обеспечения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  <w:t xml:space="preserve">Н.Г. Телегина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 2023 г.</w:t>
            </w:r>
            <w:r/>
          </w:p>
        </w:tc>
      </w:tr>
    </w:tbl>
    <w:p>
      <w:r>
        <w:rPr>
          <w:sz w:val="28"/>
          <w:szCs w:val="28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ascii="Times New Roman" w:hAnsi="Times New Roman" w:cs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71"/>
    <w:link w:val="66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1"/>
    <w:link w:val="685"/>
    <w:uiPriority w:val="10"/>
    <w:rPr>
      <w:sz w:val="48"/>
      <w:szCs w:val="48"/>
    </w:rPr>
  </w:style>
  <w:style w:type="character" w:styleId="37">
    <w:name w:val="Subtitle Char"/>
    <w:basedOn w:val="671"/>
    <w:link w:val="687"/>
    <w:uiPriority w:val="11"/>
    <w:rPr>
      <w:sz w:val="24"/>
      <w:szCs w:val="24"/>
    </w:rPr>
  </w:style>
  <w:style w:type="character" w:styleId="39">
    <w:name w:val="Quote Char"/>
    <w:link w:val="689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1" w:default="1">
    <w:name w:val="Normal"/>
    <w:qFormat/>
    <w:rPr>
      <w:sz w:val="24"/>
      <w:szCs w:val="24"/>
    </w:rPr>
  </w:style>
  <w:style w:type="paragraph" w:styleId="662">
    <w:name w:val="Heading 1"/>
    <w:basedOn w:val="661"/>
    <w:next w:val="661"/>
    <w:link w:val="850"/>
    <w:qFormat/>
    <w:pPr>
      <w:jc w:val="center"/>
      <w:keepNext/>
      <w:outlineLvl w:val="0"/>
    </w:pPr>
    <w:rPr>
      <w:b/>
      <w:bCs/>
      <w:sz w:val="36"/>
      <w:szCs w:val="36"/>
    </w:rPr>
  </w:style>
  <w:style w:type="paragraph" w:styleId="663">
    <w:name w:val="Heading 2"/>
    <w:basedOn w:val="661"/>
    <w:next w:val="661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678"/>
    <w:qFormat/>
    <w:pPr>
      <w:ind w:left="-720" w:firstLine="720"/>
      <w:jc w:val="right"/>
      <w:keepNext/>
      <w:outlineLvl w:val="4"/>
    </w:pPr>
    <w:rPr>
      <w:rFonts w:eastAsia="Arial Unicode MS"/>
      <w:sz w:val="28"/>
    </w:rPr>
  </w:style>
  <w:style w:type="paragraph" w:styleId="667">
    <w:name w:val="Heading 6"/>
    <w:basedOn w:val="661"/>
    <w:next w:val="66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link w:val="663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link w:val="664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66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84">
    <w:name w:val="No Spacing"/>
    <w:uiPriority w:val="1"/>
    <w:qFormat/>
    <w:rPr>
      <w:lang w:eastAsia="zh-CN"/>
    </w:rPr>
  </w:style>
  <w:style w:type="paragraph" w:styleId="685">
    <w:name w:val="Title"/>
    <w:basedOn w:val="661"/>
    <w:next w:val="661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 w:customStyle="1">
    <w:name w:val="Заголовок Знак"/>
    <w:link w:val="685"/>
    <w:uiPriority w:val="10"/>
    <w:rPr>
      <w:sz w:val="48"/>
      <w:szCs w:val="48"/>
    </w:rPr>
  </w:style>
  <w:style w:type="paragraph" w:styleId="687">
    <w:name w:val="Subtitle"/>
    <w:basedOn w:val="661"/>
    <w:next w:val="661"/>
    <w:link w:val="688"/>
    <w:uiPriority w:val="11"/>
    <w:qFormat/>
    <w:pPr>
      <w:spacing w:before="200" w:after="200"/>
    </w:p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61"/>
    <w:next w:val="661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1"/>
    <w:link w:val="851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694" w:customStyle="1">
    <w:name w:val="Header Char"/>
    <w:uiPriority w:val="99"/>
  </w:style>
  <w:style w:type="paragraph" w:styleId="695">
    <w:name w:val="Footer"/>
    <w:basedOn w:val="661"/>
    <w:link w:val="852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696" w:customStyle="1">
    <w:name w:val="Footer Char"/>
    <w:uiPriority w:val="99"/>
  </w:style>
  <w:style w:type="paragraph" w:styleId="697">
    <w:name w:val="Caption"/>
    <w:basedOn w:val="661"/>
    <w:next w:val="661"/>
    <w:qFormat/>
    <w:pPr>
      <w:jc w:val="center"/>
      <w:spacing w:line="360" w:lineRule="auto"/>
    </w:pPr>
    <w:rPr>
      <w:b/>
      <w:bCs/>
      <w:szCs w:val="20"/>
    </w:rPr>
  </w:style>
  <w:style w:type="character" w:styleId="698" w:customStyle="1">
    <w:name w:val="Caption Char"/>
    <w:uiPriority w:val="99"/>
  </w:style>
  <w:style w:type="table" w:styleId="699">
    <w:name w:val="Table Grid"/>
    <w:basedOn w:val="672"/>
    <w:tblPr/>
  </w:style>
  <w:style w:type="table" w:styleId="70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5">
    <w:name w:val="Hyperlink"/>
    <w:uiPriority w:val="99"/>
    <w:unhideWhenUsed/>
    <w:rPr>
      <w:color w:val="0000ff"/>
      <w:u w:val="single"/>
    </w:rPr>
  </w:style>
  <w:style w:type="paragraph" w:styleId="826">
    <w:name w:val="footnote text"/>
    <w:basedOn w:val="661"/>
    <w:link w:val="827"/>
    <w:uiPriority w:val="99"/>
    <w:semiHidden/>
    <w:unhideWhenUsed/>
    <w:pPr>
      <w:spacing w:after="40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661"/>
    <w:link w:val="830"/>
    <w:uiPriority w:val="99"/>
    <w:semiHidden/>
    <w:unhideWhenUsed/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61"/>
    <w:next w:val="661"/>
    <w:uiPriority w:val="39"/>
    <w:unhideWhenUsed/>
    <w:pPr>
      <w:spacing w:after="57"/>
    </w:pPr>
  </w:style>
  <w:style w:type="paragraph" w:styleId="833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4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5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6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7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8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9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40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  <w:rPr>
      <w:lang w:eastAsia="zh-CN"/>
    </w:rPr>
  </w:style>
  <w:style w:type="paragraph" w:styleId="842">
    <w:name w:val="table of figures"/>
    <w:basedOn w:val="661"/>
    <w:next w:val="661"/>
    <w:uiPriority w:val="99"/>
    <w:unhideWhenUsed/>
  </w:style>
  <w:style w:type="paragraph" w:styleId="843">
    <w:name w:val="Body Text"/>
    <w:basedOn w:val="661"/>
    <w:pPr>
      <w:jc w:val="center"/>
      <w:spacing w:line="360" w:lineRule="auto"/>
    </w:pPr>
    <w:rPr>
      <w:b/>
      <w:bCs/>
      <w:sz w:val="28"/>
      <w:szCs w:val="28"/>
    </w:rPr>
  </w:style>
  <w:style w:type="paragraph" w:styleId="844">
    <w:name w:val="Balloon Text"/>
    <w:basedOn w:val="661"/>
    <w:semiHidden/>
    <w:rPr>
      <w:rFonts w:ascii="Tahoma" w:hAnsi="Tahoma" w:cs="Tahoma"/>
      <w:sz w:val="16"/>
      <w:szCs w:val="16"/>
    </w:rPr>
  </w:style>
  <w:style w:type="paragraph" w:styleId="845">
    <w:name w:val="Body Text Indent"/>
    <w:basedOn w:val="661"/>
    <w:pPr>
      <w:ind w:left="283"/>
      <w:spacing w:after="120"/>
    </w:pPr>
  </w:style>
  <w:style w:type="paragraph" w:styleId="846" w:customStyle="1">
    <w:name w:val="Название"/>
    <w:basedOn w:val="661"/>
    <w:link w:val="847"/>
    <w:qFormat/>
    <w:pPr>
      <w:jc w:val="center"/>
    </w:pPr>
    <w:rPr>
      <w:sz w:val="28"/>
      <w:szCs w:val="20"/>
    </w:rPr>
  </w:style>
  <w:style w:type="character" w:styleId="847" w:customStyle="1">
    <w:name w:val="Название Знак"/>
    <w:link w:val="846"/>
    <w:rPr>
      <w:sz w:val="28"/>
    </w:rPr>
  </w:style>
  <w:style w:type="character" w:styleId="848" w:customStyle="1">
    <w:name w:val="Основной текст_"/>
    <w:link w:val="849"/>
    <w:rPr>
      <w:sz w:val="26"/>
      <w:szCs w:val="26"/>
      <w:shd w:val="clear" w:color="auto" w:fill="ffffff"/>
    </w:rPr>
  </w:style>
  <w:style w:type="paragraph" w:styleId="849" w:customStyle="1">
    <w:name w:val="Основной текст1"/>
    <w:basedOn w:val="661"/>
    <w:link w:val="848"/>
    <w:pPr>
      <w:ind w:hanging="1020"/>
      <w:jc w:val="center"/>
      <w:spacing w:before="900" w:after="900" w:line="0" w:lineRule="atLeast"/>
      <w:shd w:val="clear" w:color="auto" w:fill="ffffff"/>
      <w:widowControl w:val="off"/>
    </w:pPr>
    <w:rPr>
      <w:sz w:val="26"/>
      <w:szCs w:val="26"/>
    </w:rPr>
  </w:style>
  <w:style w:type="character" w:styleId="850" w:customStyle="1">
    <w:name w:val="Заголовок 1 Знак"/>
    <w:link w:val="662"/>
    <w:rPr>
      <w:b/>
      <w:bCs/>
      <w:sz w:val="36"/>
      <w:szCs w:val="36"/>
    </w:rPr>
  </w:style>
  <w:style w:type="character" w:styleId="851" w:customStyle="1">
    <w:name w:val="Верхний колонтитул Знак"/>
    <w:link w:val="693"/>
    <w:uiPriority w:val="99"/>
    <w:rPr>
      <w:rFonts w:ascii="Calibri" w:hAnsi="Calibri" w:eastAsia="Calibri"/>
      <w:sz w:val="22"/>
      <w:szCs w:val="22"/>
      <w:lang w:eastAsia="en-US"/>
    </w:rPr>
  </w:style>
  <w:style w:type="character" w:styleId="852" w:customStyle="1">
    <w:name w:val="Нижний колонтитул Знак"/>
    <w:link w:val="695"/>
    <w:uiPriority w:val="99"/>
    <w:rPr>
      <w:rFonts w:ascii="Calibri" w:hAnsi="Calibri" w:eastAsia="Calibri"/>
      <w:sz w:val="22"/>
      <w:szCs w:val="22"/>
      <w:lang w:eastAsia="en-US"/>
    </w:rPr>
  </w:style>
  <w:style w:type="paragraph" w:styleId="853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54">
    <w:name w:val="annotation reference"/>
    <w:rPr>
      <w:sz w:val="16"/>
      <w:szCs w:val="16"/>
    </w:rPr>
  </w:style>
  <w:style w:type="paragraph" w:styleId="855">
    <w:name w:val="annotation text"/>
    <w:basedOn w:val="661"/>
    <w:link w:val="856"/>
    <w:rPr>
      <w:sz w:val="20"/>
      <w:szCs w:val="20"/>
    </w:rPr>
  </w:style>
  <w:style w:type="character" w:styleId="856" w:customStyle="1">
    <w:name w:val="Текст примечания Знак"/>
    <w:basedOn w:val="671"/>
    <w:link w:val="855"/>
  </w:style>
  <w:style w:type="paragraph" w:styleId="857">
    <w:name w:val="annotation subject"/>
    <w:basedOn w:val="855"/>
    <w:next w:val="855"/>
    <w:link w:val="858"/>
    <w:rPr>
      <w:b/>
      <w:bCs/>
    </w:rPr>
  </w:style>
  <w:style w:type="character" w:styleId="858" w:customStyle="1">
    <w:name w:val="Тема примечания Знак"/>
    <w:link w:val="857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46FC-4319-4518-8AAB-03204948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pundit PH4</dc:creator>
  <cp:revision>70</cp:revision>
  <dcterms:created xsi:type="dcterms:W3CDTF">2023-03-09T08:19:00Z</dcterms:created>
  <dcterms:modified xsi:type="dcterms:W3CDTF">2023-05-24T04:15:51Z</dcterms:modified>
  <cp:version>1048576</cp:version>
</cp:coreProperties>
</file>