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постановления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ind w:firstLine="567"/>
        <w:jc w:val="center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субсидиях 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931"/>
        <w:ind w:firstLine="567"/>
        <w:jc w:val="center"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оборудования, проведение работ при социальной газификации (догазификации)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ind w:firstLine="0"/>
        <w:jc w:val="center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0"/>
        <w:jc w:val="center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709"/>
        <w:widowControl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Правилами предоставления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</w:t>
      </w:r>
      <w:r>
        <w:rPr>
          <w:rFonts w:ascii="Times New Roman" w:hAnsi="Times New Roman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sz w:val="28"/>
          <w:szCs w:val="28"/>
          <w:highlight w:val="white"/>
        </w:rPr>
        <w:t xml:space="preserve">, приведенными в приложении № 37 </w:t>
      </w:r>
      <w:r>
        <w:rPr>
          <w:rFonts w:ascii="Times New Roman" w:hAnsi="Times New Roman"/>
          <w:sz w:val="28"/>
          <w:szCs w:val="28"/>
          <w:highlight w:val="white"/>
        </w:rPr>
        <w:t xml:space="preserve">к государственной программе </w:t>
      </w:r>
      <w:r>
        <w:rPr>
          <w:rFonts w:ascii="Times New Roman" w:hAnsi="Times New Roman"/>
          <w:sz w:val="28"/>
          <w:szCs w:val="28"/>
          <w:highlight w:val="white"/>
        </w:rPr>
        <w:t xml:space="preserve">Российской Федерации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«Развитие энергетики», утвержденной постановлением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Правительства Российской Федерации от 15.04.2014 № 321 «Об утверждении государственной программы Российской Федерации «Развитие энергетики» (далее – Правила),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п о с т а н о в л я е т: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Утвердить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прилагаемые: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/>
          <w:sz w:val="28"/>
          <w:szCs w:val="28"/>
          <w:highlight w:val="white"/>
        </w:rPr>
        <w:t xml:space="preserve">перечень мероприятий, при реализации которых возникают расходные обязател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ьства Новосибирской области, в целях софинансирования которых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предоставляются субсидии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из федерального бюджета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/>
          <w:sz w:val="28"/>
          <w:szCs w:val="28"/>
          <w:highlight w:val="white"/>
        </w:rPr>
        <w:t xml:space="preserve">ьготным категориям граждан 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 порядок определения размера субсидии </w:t>
      </w:r>
      <w:r>
        <w:rPr>
          <w:rFonts w:ascii="Times New Roman" w:hAnsi="Times New Roman"/>
          <w:sz w:val="28"/>
          <w:szCs w:val="28"/>
          <w:highlight w:val="white"/>
        </w:rPr>
        <w:t xml:space="preserve">гражданам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порядок и сроки предоставления субсидий гражданам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4) порядок взаимодействия между гражданином, министерством </w:t>
      </w:r>
      <w:r>
        <w:rPr>
          <w:rFonts w:ascii="Times New Roman" w:hAnsi="Times New Roman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газораспределительной организацией при получении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;</w:t>
      </w:r>
      <w:r>
        <w:rPr>
          <w:highlight w:val="white"/>
        </w:rPr>
      </w:r>
    </w:p>
    <w:p>
      <w:pPr>
        <w:pStyle w:val="931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5) требования к документам, представляемым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гражданами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субсидий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) гражданам);</w:t>
      </w:r>
      <w:r>
        <w:rPr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6) требования к перечню документов, представляемых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гражданами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целях получения субсидий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31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7)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порядок и основания возврата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граждан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ином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средств субсидии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854"/>
        <w:ind w:firstLine="709"/>
        <w:widowControl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Понятия, используемые в документах, утвержденных настоящим постановлением, применяются в значениях, определенных Правилами.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ind w:firstLine="709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3. Контрол</w:t>
      </w: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ь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bidi="ru-RU"/>
        </w:rPr>
        <w:t xml:space="preserve">за исполнением настоящего постановления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возложить на заместителя Губернатора Новосибирской области Нелюбова С.А.</w:t>
      </w:r>
      <w:r>
        <w:rPr>
          <w:rFonts w:ascii="Times New Roman" w:hAnsi="Times New Roman"/>
          <w:sz w:val="28"/>
          <w:szCs w:val="28"/>
          <w:highlight w:val="white"/>
        </w:rPr>
        <w:t xml:space="preserve">, координирующего деятельность министерства труда и социального развития Новосибирской области, заместителя Губернатора Новосибирской области С</w:t>
      </w:r>
      <w:r>
        <w:rPr>
          <w:rFonts w:ascii="Times New Roman" w:hAnsi="Times New Roman"/>
          <w:sz w:val="28"/>
          <w:szCs w:val="28"/>
          <w:highlight w:val="white"/>
        </w:rPr>
        <w:t xml:space="preserve">ё</w:t>
      </w:r>
      <w:r>
        <w:rPr>
          <w:rFonts w:ascii="Times New Roman" w:hAnsi="Times New Roman"/>
          <w:sz w:val="28"/>
          <w:szCs w:val="28"/>
          <w:highlight w:val="white"/>
        </w:rPr>
        <w:t xml:space="preserve">мку С.Н., координирующего деятельность министерства жилищно-коммунального хозяйства и энергетики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709"/>
        <w:widowControl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854"/>
        <w:ind w:firstLine="0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firstLine="0"/>
        <w:widowControl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854"/>
        <w:ind w:firstLine="0"/>
        <w:widowControl/>
        <w:rPr>
          <w:rFonts w:ascii="Times New Roman" w:hAnsi="Times New Roman" w:eastAsia="Calibri"/>
          <w:sz w:val="28"/>
          <w:szCs w:val="28"/>
          <w:highlight w:val="white"/>
        </w:rPr>
      </w:pPr>
      <w:r>
        <w:rPr>
          <w:rFonts w:ascii="Times New Roman" w:hAnsi="Times New Roman" w:eastAsia="Calibri"/>
          <w:sz w:val="28"/>
          <w:szCs w:val="28"/>
          <w:highlight w:val="white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eastAsia="Calibri"/>
          <w:sz w:val="28"/>
          <w:szCs w:val="28"/>
          <w:highlight w:val="white"/>
        </w:rPr>
      </w:r>
      <w:r>
        <w:rPr>
          <w:rFonts w:ascii="Times New Roman" w:hAnsi="Times New Roman" w:eastAsia="Calibri"/>
          <w:sz w:val="28"/>
          <w:szCs w:val="28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contextualSpacing/>
        <w:ind w:firstLine="0"/>
        <w:jc w:val="left"/>
        <w:widowControl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/>
          <w:color w:val="000000"/>
          <w:sz w:val="20"/>
          <w:szCs w:val="20"/>
          <w:highlight w:val="white"/>
        </w:rPr>
      </w:r>
    </w:p>
    <w:p>
      <w:pPr>
        <w:pStyle w:val="854"/>
        <w:ind w:right="-1" w:firstLine="0"/>
        <w:jc w:val="left"/>
        <w:widowControl/>
        <w:rPr>
          <w:rFonts w:ascii="Times New Roman" w:hAnsi="Times New Roman" w:eastAsia="Calibri"/>
          <w:sz w:val="20"/>
          <w:szCs w:val="20"/>
          <w:highlight w:val="white"/>
        </w:rPr>
      </w:pPr>
      <w:r>
        <w:rPr>
          <w:rFonts w:ascii="Times New Roman" w:hAnsi="Times New Roman" w:eastAsia="Calibri"/>
          <w:sz w:val="20"/>
          <w:szCs w:val="20"/>
          <w:highlight w:val="white"/>
        </w:rPr>
        <w:t xml:space="preserve">Е.В. Бахарева</w:t>
      </w:r>
      <w:r>
        <w:rPr>
          <w:rFonts w:ascii="Times New Roman" w:hAnsi="Times New Roman" w:eastAsia="Calibri"/>
          <w:sz w:val="20"/>
          <w:szCs w:val="20"/>
          <w:highlight w:val="white"/>
        </w:rPr>
      </w:r>
      <w:r>
        <w:rPr>
          <w:rFonts w:ascii="Times New Roman" w:hAnsi="Times New Roman" w:eastAsia="Calibri"/>
          <w:sz w:val="20"/>
          <w:szCs w:val="20"/>
          <w:highlight w:val="white"/>
        </w:rPr>
      </w:r>
    </w:p>
    <w:p>
      <w:pPr>
        <w:pStyle w:val="854"/>
        <w:ind w:right="-1" w:firstLine="0"/>
        <w:jc w:val="left"/>
        <w:widowControl/>
        <w:rPr>
          <w:rFonts w:ascii="Times New Roman" w:hAnsi="Times New Roman" w:eastAsia="Calibri"/>
          <w:sz w:val="20"/>
          <w:szCs w:val="20"/>
          <w:highlight w:val="none"/>
        </w:rPr>
      </w:pPr>
      <w:r>
        <w:rPr>
          <w:rFonts w:ascii="Times New Roman" w:hAnsi="Times New Roman" w:eastAsia="Calibri"/>
          <w:sz w:val="20"/>
          <w:szCs w:val="20"/>
          <w:highlight w:val="white"/>
        </w:rPr>
        <w:t xml:space="preserve">238 75 10</w:t>
      </w:r>
      <w:r>
        <w:rPr>
          <w:rFonts w:ascii="Times New Roman" w:hAnsi="Times New Roman" w:eastAsia="Calibri"/>
          <w:sz w:val="20"/>
          <w:szCs w:val="20"/>
          <w:highlight w:val="white"/>
        </w:rPr>
      </w:r>
      <w:r>
        <w:rPr>
          <w:rFonts w:ascii="Times New Roman" w:hAnsi="Times New Roman" w:eastAsia="Calibri"/>
          <w:sz w:val="20"/>
          <w:szCs w:val="20"/>
          <w:highlight w:val="non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мероприятий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при реализации которых возникают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расходные обязательства Новосибирской области, в целях софинансирования которых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предоставляются субсидии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из федерального бюджета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Подключение (технологическое присоединение) в пределах границ земельного участка гражданина.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Проектирование сети газопотребления.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Строительство газопровода от границ земельного участка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Установка газоиспользующего оборудования.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Строительство либо реконструкция внутреннего газо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провода объекта капитального строительства.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 Установка прибора учета газа.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 Поставка газоиспользующего оборудования.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 Поставка прибора учета газа.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определения размера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гражданам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(далее – Порядок)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Право на предоставление субсидии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имеют граждане Российской Федерации,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относящиеся к льготным категориям,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владеющие на праве собственности (включая долевую или совместную собственность) или на ином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предусмотренном законом праве домовладениями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граждане)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расположенными на территории Новосибирской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области,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включенными в пообъектный пл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н-график догазификации Новосибирской области, утвержденный заместителем руководителя регионального штаба по газификации Новосибирской области в рамках Региональной программы газификации жилищно-коммунального хозяйства, промышленных и иных организаций на те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ритории Новосибирской области, утвержденной постановлением Правительства Новосибирской области от 30.03.2022 № 144-п «Об утверждении Региональной программы газификации жилищно-коммунального хозяйства, промышленных и иных организаций на территории Новосибир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ской области», и заключившие после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31.12.2023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договор о подключении (технологическом присоединении) газоиспользующего оборудования к сети газораспределения в рамках догазификации либо дополнительное соглашение к договору о подключении (технологическом присо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единении) газоиспользующего оборудования к сети газораспределения в рамках догазификации, заключенному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 31.12.2023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(включительно)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Договор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соответствии с пунктом 12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 подключени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в соотв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тствии с типовой формой договора о подключении (технологическом присоединении) газоиспользующего оборудования к сети газораспределения, и (или) по строительству газопровода от границ земельного участка до объекта капитального строительства, в рамках догази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фикации,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– типовая форма договора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дусматривает осуществление мероприятий, входящих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перечень мероприятий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при реализации которых возникают расходные обязательства Новосибирской области, в целях софинансирования которых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предоставляются субсидии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из федерального бюджета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утвержденный настоящим постановлением.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льготным категориям граждан относятся: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граждане, являющиеся: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ветеранами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Великой Отечественной войны;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ветеранами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Великой Отечественной войны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инвалидами боевых дейст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 член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ами семей погибших (умерших)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Великой Отечественной войны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инвалидов боевых действий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участников Великой Отечественной войны, ветеранов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д) участниками специальной военной операции и членами их семей;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 инвалидами первой группы и лицами, осуществляющими уход за детьми-инвалидами;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многодетные семьи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малоимущие граждане, в том числе малоимущие семьи с детьми.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Субсидия гражданам предоставляется не более одного раза в течение 3 лет в отношении одного домовладения, в пределах которого осуществляется подключение, однократно.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При отнесении гражданина к нескольким категориям, указанным в пункте 2 настоящего Порядка, право на предоставление субсидии предоставляется по одной из них по выбору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Размер субсидии определяется равным размеру затрат гражданина на покупку и установку газоиспользующего оборудования, проведение работ внутри границ их земельных участков в рамках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реализации по осуществлению подключения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(технологического присоединения) газоиспользующего оборудования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объектов капитального строительства к газораспределительным сетям при догазификации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мероприятие), предусмотренных в заключенном гражданином договоре, 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более 100 000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отношении одного домовладения однократно.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Указанные затраты внутри границ земельных участков включают расходы на реализацию следующих мероприятий: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проектирование сети газопотребления, включая расходы на проведение инженерно-геодезических изысканий, разработку проектной документации и рабочей документации, согласование прокладки объектов сети газопотребления с владельцами смежных коммуник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аций (при необходимости);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осуществление строительно-монтажных работ сети газопотребления, включая расходы на строительство линейной части сети газопотребления (газопровода), строительство пунктов редуцирования газа и устройств электрохимической защиты от коррозии, уста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овку отключающих устройств, фитингов и других устройств и сооружений сети газопотребления, устройство внутреннего газопровода на объекте капитального строительства, на покраску газопроводов, продувку газопроводов и газоиспользующего оборудования, испытание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газопровода на герметичность, на выполнение пусконаладочных работ, проведение контрольной опрессовки газопровода.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К газоиспользующему оборудованию, затраты на покупку и установку которого могут компенсироваться за счет средств субсидии, относится газоиспользующее оборудование,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роизведенное на территории Российской Федерации в соответствии с критериями и порядком подтверждения, установленными постановлением Правительства Российской Федерации от 17.07.2015 № 719 «О подтверждении производства промышленной продукции на территории 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включая в том числе: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котел (газовый двухконтурный или одноконтурный напольный котел, газовый двухконтурный или одноконтурный настенный котел)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газовый водонагреватель;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газовую плиту, газовую варочную панель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счетчики газа (прибор учета газа);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колонку (или бойлер косвенного нагрева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систему контроля загазованности;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иное допустимое к установке в домовладениях оборудование, работающее на природном газе и необходимое для отопления (теплоснабжения) домовладений и для пищеприготовления.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Размер затрат гражданина определяется на основании сведений, указанных в договоре с учетом пункта 13 Правил подключения.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размер затрат гражданина, указанный в договоре, превышает установленный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6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предельный размер субсидии, субсидия предоставляется в предельном размере, при этом гражданин оплачивает разницу между размером затрат и предоставленной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субсидией за счет собственных средств в порядке и в сроки, установленные договором.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размер затрат гражданина, указанный в договоре, оказался меньше установленного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 6 настоящего Порядка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предельного размера субсидии, субсидия предоставляется в размере затрат, указанных в договоре, при этом разница между предельным размером субсиди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и фактически предоставленной субсидией гражданину не компенсируется (денежные средства не выплачиваются, а также не применяются иные виды компенсации).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Включение каких-либо расходов на получение субсидии в состав затрат, учитываемых при определении ее размера, не допускается.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Расходы на предоставление субсидии носят целевой характер и осуществляются на условиях софинансирования из федерального бюджета.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Субсидии являются целевыми и предоставляются в целях внесения гражданином платы по договору в порядке, установленном в пункте 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типовой формы договора,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путем возложения исполнения его обязательств по оплате договор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государственное казенное учреждение Новосибирской области «Центр социальной поддержки населения г. Новосибирска», государственные казенные учреждения Новосибирской области (центры социальной поддержки населения городов и районов Новосибирской области),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подведомственные министерству труда и социального развития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месту жительства гражданина.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10. Средства на предоставление субсидий предусматриваются в бюджете Новосибирской области.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11. Финансирование расходов на предоставление субсидий осуществляется министерством труда и социального развития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и сроки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предоставления субсидий гражданам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предусматривает распоряжение выделенными при ее предоставлении денежными средствами без участия гражданина путем направления непосредственно газораспределительной организации, с которой гражданином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после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31.12.2023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подключении (технологическом присоединении) газоиспользующего оборудования к сети газораспределения в рамках догазификации, либо дополнительное соглашение к договору о подключении (технологическом присо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единении) газоиспользующего оборудования к сети газораспределения в рамках догазификации, заключенному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 31.12.2023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газораспределительным организац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направляются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ударственным казенным учреждением Новосибирской области «Центр социальной поддержки населения г. Новосибирска», государственными казенными учреждениями Новосибирской области (центрами социальной поддержки населения городов и районов Новосибирской области),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подведомственными министерству 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которые гражданин обратился за предоставлением субсидии,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счет внесения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латы за гражданина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порядке и в сроки, установленные пунктом 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 подключени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), в соотв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тствии с типовой формой договора о подключении (технологическом присоединении) газоиспользующего оборудования к сети газораспределения, и (или) по строительству газопровода от границ земельного участка до объекта капитального строительства, в рамках догази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фикации, являющейся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взаимодействия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между гражданином, министерством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, газораспределительной организацией при получении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граждане, претендующие на получение субсидии, лично либо через уполномоченного представителя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представитель) обращаются в государственные казенные учреждения Новосибирской области (центры социальной поддержки населения горо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районов Новосибирской области), в государственное казенное учреждение Новосибирской области 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центр социальной поддержки населения), по 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 жительства гражданина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документами, представляемыми в соответствии с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требованиями 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перечню документов,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, утвержденными настоящим постановлением 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документы).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регистрируются центром социальной поддержки населения в день их подачи.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Днем обращения гражданина (представителя) за получением субсидии является дата регистрации документов в центре 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Центр социальной поддержки населения: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в течение пяти рабочих дней со дня обращения гражданина (представителя) осуществляет проверку полученных от гражданина (представителя) документов (сведений), по результатам которой принимает одно из следующих решений: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о предоставлении субсидии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представленные гражданином (представителем) документы подтверждают право гражданина на получение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об отказе в предоставлении субсидии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случае, если по результатам проверки установлено, что гражданин: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имеет права на получение субсидии по поданным им документам;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воспользовался правом на получение субсидии по домовладени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которого представлены документы, и срок реализации этого права не превысил трех лет;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представил один или несколько документов, уапорядказанных в перечне документов,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утвержденном настоящим 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указал в документах недостоверные и/или неполные сведения;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в срок пять рабочих дней со дня принятия решения о предоставлении субсидии, но не позднее сроков внесения платы, установленных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договором о подключении (технологическом присоединении) газоиспользующего оборудования к сети газораспределения в рамках догазификации, заключенным после 31.12.2023, либо дополнительным соглашением к договору о подключении (технологическом присо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единении) газоиспользующего оборудования к сети газораспределения в рамках догазификации, заключенным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 31.12.2023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(включительно)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учетом сроков, предусмотренных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13 типовой формы договора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подключении (технологическом присоединении) газоиспользующего оборудования к сети газораспределения, и (или) по строительству газопровода от границ земельного участка до объекта капитального строительства, в рамках догази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фикации, являющимся приложением № 8 к Правилам подключения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13.09.2021 № 1547 «Об утверждении Правил подк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перечисляет на расчетный счет газораспределительн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организации денежные средства в размере 50% от суммы договора.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принятия решения о предоставлении субсидии центр социальной поддержки населения в течение одного рабочего дня со дня принятия такого решения направляет письменное уведомление гражданину (представителю).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принятия решения об отказе в предоставлении субсидии центр социальной поддержки населения в течение одного рабочего со дня принятия такого решения направляет гражданину (представителю) уведомление об отказе в предоставлении субсидии с указанием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причин отказа.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(представитель), получивший отказ в предоставлении субсидии, имеет право на повторное обращение в центр социальной поддержки населения в случае устранения причин такого отказа.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центра социальной поддержки населения может быть оспорено гражданином или иными заинтересованными лицами в порядке, предусмотренном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После исполнения договора газораспределительная организация представляет акт о подключении (технологическом присоединении), заверенный в установленном порядке, в центр социальной поддержки населения.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Центр социальной поддержки населения в течение 10 рабочих дней со дня поступления от газораспределительной организации акта о подключении (технологическом присоединении) перечисляет газораспределительной организации денежные средства в соответствии с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рядком внесения платы, установленным сторонами договора.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к документам,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представляемым гражданами,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гражданам)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В целях подтверждения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статуса гражданина для определения его права на получение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(его уполномоченный представитель) вправе представить по собственной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инициативе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государственные казенные учреждения Новосибирской области (центры социальной поддержки населения горо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районов Новосибирской области), в государственное казенное учреждение Новосибирской области 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центр социальной поддержки населения), по 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 жительства гражданина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ветерана Великой Отечественной войны;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инвалида Отечественной войны;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члена семьи погибшего (умершего) инвалида войны, участника Великой Отечественной войны или ветерана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справку, подтверждающую факт установления инвалидности I группы,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справку, подтверждающую факт установления ребенку (детям) инвалидности, выдаваемую федеральными государственными учреждениями медико-социальной экспертизы;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инвалида о праве на льготы (в отношении инвалидов боевых действий);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ветерана боевых действий;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многодетной семьи;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удостоверение родителей и жен погибших военнослужащих (в отношении членов погибших участников специальной военной операции);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10) свидетельство о смерти участника специальной военной операции (в отношении членов семей умерших участников специальной военной операции).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ля подтверждения статуса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участника специальной военной операции и членов семей умершего участника специальной военной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гражданин (его уполномоченный представитель)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копию документа, подтверждающего участие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выданного органом военного управления, объе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инением, соединением, воинской частью либо организацией Вооруженных Сил Российской Федерации, оперативно-территориальным объединением, воинской частью (организацией) войск национальной гвардии Российской Федерации, территориальным органом Росгвардии, подра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зделением ФСБ России, органом федеральной службы безопасности, органами внутренних дел Российской Федерации либо военным комиссариатом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ля подтверждения статуса малоимущего одиноко проживающего гражданина (гражданина из малоимущей семьи) представ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яются документы, подтверждающие доходы заявителя (семьи заявителя). Центр социальной поддержки населения производит исчисление среднедушевого дохода одиноко проживающего гражданина (гражданина из малоимущей семьи) в соответствии с Федеральным законом от 05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04.2003 № 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постановлением Правительства Российской Федерации от 20.0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.2003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 Одиноко проживающий гражданин (гражданин из малоимущей семьи) является 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имущим, если его среднедушевой доход ниже величины прожиточного минимума, установленного в Новосибирской области на год подачи документов. Учет доходов ведется независимо от раздельного или совместного проживания супругов. Состав семьи определяется в соотв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етствии со статьей 2 Семейного кодекса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Представляемые документы не должны содержать подчисток, зачеркнутых слов и иных не оговоренных в них исправлений, а также повреждений, не позволяющих однозначно истолковать их содержание.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если документы, представляемые по собственной инициативе, не представлены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(его уполномоченным представителем)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информация (сведения) о них запрашивается центром социальной поддержки населения посредством межведомственного информационного взаимодействия.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ТРЕБОВАНИЯ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перечню документов,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представляемых гражданами в целях получения субсидий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(далее – Требования)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 получения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граждане, претендующие на получение субсидии, лично либо через уполномоченного представителя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представитель) представляют в государственные казенные учреждения Новосибирской области (центры социальной поддержки населения горо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дов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районов Новосибирской области), в государственное казенное учреждение Новосибирской области «Центр социальной поддержки населения г. Новосибирска» (клиентские службы), подведомственные министерству труда и социального развития Новосибирской области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центр социальной поддержки населения), по 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сту жительства гражданина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паспорт или иной документ, удостоверяющий личность гражданина, и его копию;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документ, подтверждающий статус гражданина, поданный в соответствии 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требованиями к документам,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представляемым гражданами, в соответствии с законодательством Российской Федерации и нормативными правовыми актами Новосибирской области в целях подтверждения их статуса (права на получение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я, проведение работ при социальной газификации (догазификации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гражданам)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утвержденными настоящим постановлением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 заявление гражданина о предоставлении субсидии (далее – заявление) по форме, утверждаемой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министерством труда и социального развития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Заявление содержит в том числе положения об обязанности гражданина использовать субсидию только на цели, предусмотренные пунктом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 предоставления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приведенных в приложении № 37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государственной программе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Российской Федерации от 15.04.2014 № 321 «Об утверждении государственной программы Российской Федерации «Развитие энергетики»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Правила)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согласие гражданина на осуществление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центром социальной поддержки населения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отношении него проверок соблюдения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порядка, целей и условий предоставления субсидий гражданам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,установленных Правилами, а также об ознакомлении с основаниями прекращения предоставления гражданину субсидии и 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нованиями для возврата гражданином субсидии, включающими нецелевое использование субсидии гражданином, расторжение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подключении (технологическом присоединении) газоиспользующего оборудования к сети газораспределения в рамках догазификации, заключенного после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31.12.2023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либо дополнительного соглашения к договору о подключении (технологическом присо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единении) газоиспользующего оборудования к сети газораспределения в рамках догазификации, заключенному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до 31.12.2023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(включительно)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(далее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white"/>
        </w:rPr>
        <w:t xml:space="preserve">договор)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утрату права на предоставление субсидии в период со дня подачи заявления до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принятия решения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представление недостоверных сведений и документов при подаче заявления;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 копию договора, заключенного гражданином;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документ, удостоверяющий личность представителя, и его копию, и документ, удостоверяющий полномочия представителя, и его копию (в случае обращения представителя).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 Гражданин (представитель) несет ответственность за достоверность сведений, указанных в заявлении, и сведений, содержащихся в представленных документах.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Запрещается требовать от гражданина (представителя) представления документов и сведений, не предусмотренных настоящими Требованиями.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4"/>
        <w:ind w:left="595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и основания возврата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гражданином средств субсидии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Контроль за целевым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покупку и установку газоиспользующего оборудования,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 оборудования и объектов капитального строительства к газораспределительным сетям при догазификации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(далее – субсидия)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осуществляется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Основаниями для возврата денежных средств субсидии являются: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использование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 субсидии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на цели, отличные от предусмотренных пунктом 1 Правил 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редоставления и распределения в 2024 году субсидий из федерального бюджета бюджетам субъектов Российской Федерации на софинансирование расходов по предоставлению субсидий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льготным категориям граждан на покупку и установку газоиспользующего оборудов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ания, проведение работ при социальной газификации (догазификации)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приведенных в приложении № 37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государственной программе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«Развитие энергетики», утвержденной 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Правительства Российской Федерации от 15.04.2014 № 321 «Об утверждении государственной программы Российской Федерации «Развитие энергетики»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представление гражданином недостоверных сведений и документов при подаче заявления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предоставлении субсидии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В случае нецелевого расходования субсидии газораспределительной организацией сумма денежных средств субсидии возвращается в добровольном порядке. В случае отказа газораспределительной организации от добровольного возмещения затрат возврат указанных сред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ств осуществляется в порядке, установленном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Средства субсидии при ее возврате взыскиваются в бюджет Новосибирской области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выявления основания для возврата денежные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редства подлежат возврату газораспределительной организацией в бюджет Новосибирской области в течение семи дней со дня получения газораспределительной организацией соответствующего требования министерства труда и социального развития Новосибирской области,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котором указывается порядок их возврата.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невыполнении требования министерства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возврате денежных средств в указанный срок они взыскиваются с газораспределительной организации в судебном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____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  <w:p>
      <w:pPr>
        <w:ind w:right="-1" w:firstLine="0"/>
        <w:jc w:val="left"/>
        <w:widowControl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sectPr>
      <w:headerReference w:type="default" r:id="rId9"/>
      <w:footnotePr/>
      <w:endnotePr/>
      <w:type w:val="nextPage"/>
      <w:pgSz w:w="11900" w:h="16800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00506000000020000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pPr>
      <w:ind w:firstLine="720"/>
      <w:jc w:val="both"/>
      <w:widowControl w:val="off"/>
    </w:pPr>
    <w:rPr>
      <w:rFonts w:ascii="Arial" w:hAnsi="Arial"/>
      <w:sz w:val="24"/>
      <w:szCs w:val="24"/>
      <w:lang w:val="ru-RU" w:eastAsia="ru-RU" w:bidi="ar-SA"/>
    </w:rPr>
  </w:style>
  <w:style w:type="paragraph" w:styleId="855">
    <w:name w:val="Заголовок 1"/>
    <w:basedOn w:val="854"/>
    <w:next w:val="854"/>
    <w:link w:val="862"/>
    <w:uiPriority w:val="9"/>
    <w:qFormat/>
    <w:pPr>
      <w:ind w:firstLine="0"/>
      <w:jc w:val="center"/>
      <w:spacing w:before="108" w:after="108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56">
    <w:name w:val="Заголовок 2"/>
    <w:basedOn w:val="855"/>
    <w:next w:val="854"/>
    <w:link w:val="863"/>
    <w:uiPriority w:val="9"/>
    <w:qFormat/>
    <w:pPr>
      <w:outlineLvl w:val="1"/>
    </w:pPr>
    <w:rPr>
      <w:i/>
      <w:iCs/>
      <w:sz w:val="28"/>
      <w:szCs w:val="28"/>
    </w:rPr>
  </w:style>
  <w:style w:type="paragraph" w:styleId="857">
    <w:name w:val="Заголовок 3"/>
    <w:basedOn w:val="856"/>
    <w:next w:val="854"/>
    <w:link w:val="864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858">
    <w:name w:val="Заголовок 4"/>
    <w:basedOn w:val="857"/>
    <w:next w:val="854"/>
    <w:link w:val="865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859">
    <w:name w:val="Основной шрифт абзаца"/>
    <w:next w:val="859"/>
    <w:link w:val="854"/>
    <w:uiPriority w:val="1"/>
    <w:unhideWhenUsed/>
  </w:style>
  <w:style w:type="table" w:styleId="860">
    <w:name w:val="Обычная таблица"/>
    <w:next w:val="860"/>
    <w:link w:val="854"/>
    <w:uiPriority w:val="99"/>
    <w:semiHidden/>
    <w:unhideWhenUsed/>
    <w:tblPr/>
  </w:style>
  <w:style w:type="numbering" w:styleId="861">
    <w:name w:val="Нет списка"/>
    <w:next w:val="861"/>
    <w:link w:val="854"/>
    <w:uiPriority w:val="99"/>
    <w:semiHidden/>
    <w:unhideWhenUsed/>
  </w:style>
  <w:style w:type="character" w:styleId="862">
    <w:name w:val="Заголовок 1 Знак"/>
    <w:next w:val="862"/>
    <w:link w:val="855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63">
    <w:name w:val="Заголовок 2 Знак"/>
    <w:next w:val="863"/>
    <w:link w:val="856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4">
    <w:name w:val="Заголовок 3 Знак"/>
    <w:next w:val="864"/>
    <w:link w:val="857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65">
    <w:name w:val="Заголовок 4 Знак"/>
    <w:next w:val="865"/>
    <w:link w:val="858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66">
    <w:name w:val="Цветовое выделение"/>
    <w:next w:val="866"/>
    <w:link w:val="854"/>
    <w:uiPriority w:val="99"/>
    <w:rPr>
      <w:b/>
      <w:color w:val="26282f"/>
    </w:rPr>
  </w:style>
  <w:style w:type="character" w:styleId="867">
    <w:name w:val="Гипертекстовая ссылка"/>
    <w:next w:val="867"/>
    <w:link w:val="854"/>
    <w:uiPriority w:val="99"/>
    <w:rPr>
      <w:rFonts w:cs="Times New Roman"/>
      <w:b/>
      <w:color w:val="106bbe"/>
    </w:rPr>
  </w:style>
  <w:style w:type="character" w:styleId="868">
    <w:name w:val="Активная гипертекстовая ссылка"/>
    <w:next w:val="868"/>
    <w:link w:val="854"/>
    <w:uiPriority w:val="99"/>
    <w:rPr>
      <w:rFonts w:cs="Times New Roman"/>
      <w:b/>
      <w:color w:val="106bbe"/>
      <w:u w:val="single"/>
    </w:rPr>
  </w:style>
  <w:style w:type="paragraph" w:styleId="869">
    <w:name w:val="Внимание"/>
    <w:basedOn w:val="854"/>
    <w:next w:val="854"/>
    <w:link w:val="854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870">
    <w:name w:val="Внимание: криминал!!"/>
    <w:basedOn w:val="869"/>
    <w:next w:val="854"/>
    <w:link w:val="854"/>
    <w:uiPriority w:val="99"/>
  </w:style>
  <w:style w:type="paragraph" w:styleId="871">
    <w:name w:val="Внимание: недобросовестность!"/>
    <w:basedOn w:val="869"/>
    <w:next w:val="854"/>
    <w:link w:val="854"/>
    <w:uiPriority w:val="99"/>
  </w:style>
  <w:style w:type="character" w:styleId="872">
    <w:name w:val="Выделение для Базового Поиска"/>
    <w:next w:val="872"/>
    <w:link w:val="854"/>
    <w:uiPriority w:val="99"/>
    <w:rPr>
      <w:rFonts w:cs="Times New Roman"/>
      <w:b/>
      <w:bCs/>
      <w:color w:val="0058a9"/>
    </w:rPr>
  </w:style>
  <w:style w:type="character" w:styleId="873">
    <w:name w:val="Выделение для Базового Поиска (курсив)"/>
    <w:next w:val="873"/>
    <w:link w:val="854"/>
    <w:uiPriority w:val="99"/>
    <w:rPr>
      <w:rFonts w:cs="Times New Roman"/>
      <w:b/>
      <w:bCs/>
      <w:i/>
      <w:iCs/>
      <w:color w:val="0058a9"/>
    </w:rPr>
  </w:style>
  <w:style w:type="paragraph" w:styleId="874">
    <w:name w:val="Дочерний элемент списка"/>
    <w:basedOn w:val="854"/>
    <w:next w:val="854"/>
    <w:link w:val="854"/>
    <w:uiPriority w:val="99"/>
    <w:pPr>
      <w:ind w:firstLine="0"/>
    </w:pPr>
    <w:rPr>
      <w:color w:val="868381"/>
      <w:sz w:val="20"/>
      <w:szCs w:val="20"/>
    </w:rPr>
  </w:style>
  <w:style w:type="paragraph" w:styleId="875">
    <w:name w:val="Основное меню (преемственное)"/>
    <w:basedOn w:val="854"/>
    <w:next w:val="854"/>
    <w:link w:val="854"/>
    <w:uiPriority w:val="99"/>
    <w:rPr>
      <w:rFonts w:ascii="Verdana" w:hAnsi="Verdana" w:cs="Verdana"/>
      <w:sz w:val="22"/>
      <w:szCs w:val="22"/>
    </w:rPr>
  </w:style>
  <w:style w:type="paragraph" w:styleId="876">
    <w:name w:val="Заголовок"/>
    <w:basedOn w:val="875"/>
    <w:next w:val="854"/>
    <w:link w:val="854"/>
    <w:uiPriority w:val="99"/>
    <w:rPr>
      <w:b/>
      <w:bCs/>
      <w:color w:val="0058a9"/>
      <w:shd w:val="clear" w:color="auto" w:fill="f0f0f0"/>
    </w:rPr>
  </w:style>
  <w:style w:type="paragraph" w:styleId="877">
    <w:name w:val="Заголовок группы контролов"/>
    <w:basedOn w:val="854"/>
    <w:next w:val="854"/>
    <w:link w:val="854"/>
    <w:uiPriority w:val="99"/>
    <w:rPr>
      <w:b/>
      <w:bCs/>
      <w:color w:val="000000"/>
    </w:rPr>
  </w:style>
  <w:style w:type="paragraph" w:styleId="878">
    <w:name w:val="Заголовок для информации об изменениях"/>
    <w:basedOn w:val="855"/>
    <w:next w:val="854"/>
    <w:link w:val="854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879">
    <w:name w:val="Заголовок распахивающейся части диалога"/>
    <w:basedOn w:val="854"/>
    <w:next w:val="854"/>
    <w:link w:val="854"/>
    <w:uiPriority w:val="99"/>
    <w:rPr>
      <w:i/>
      <w:iCs/>
      <w:color w:val="000080"/>
      <w:sz w:val="22"/>
      <w:szCs w:val="22"/>
    </w:rPr>
  </w:style>
  <w:style w:type="character" w:styleId="880">
    <w:name w:val="Заголовок своего сообщения"/>
    <w:next w:val="880"/>
    <w:link w:val="854"/>
    <w:uiPriority w:val="99"/>
    <w:rPr>
      <w:rFonts w:cs="Times New Roman"/>
      <w:b/>
      <w:bCs/>
      <w:color w:val="26282f"/>
    </w:rPr>
  </w:style>
  <w:style w:type="paragraph" w:styleId="881">
    <w:name w:val="Заголовок статьи"/>
    <w:basedOn w:val="854"/>
    <w:next w:val="854"/>
    <w:link w:val="854"/>
    <w:uiPriority w:val="99"/>
    <w:pPr>
      <w:ind w:left="1612" w:hanging="892"/>
    </w:pPr>
  </w:style>
  <w:style w:type="character" w:styleId="882">
    <w:name w:val="Заголовок чужого сообщения"/>
    <w:next w:val="882"/>
    <w:link w:val="854"/>
    <w:uiPriority w:val="99"/>
    <w:rPr>
      <w:rFonts w:cs="Times New Roman"/>
      <w:b/>
      <w:bCs/>
      <w:color w:val="ff0000"/>
    </w:rPr>
  </w:style>
  <w:style w:type="paragraph" w:styleId="883">
    <w:name w:val="Заголовок ЭР (левое окно)"/>
    <w:basedOn w:val="854"/>
    <w:next w:val="854"/>
    <w:link w:val="854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884">
    <w:name w:val="Заголовок ЭР (правое окно)"/>
    <w:basedOn w:val="883"/>
    <w:next w:val="854"/>
    <w:link w:val="854"/>
    <w:uiPriority w:val="99"/>
    <w:pPr>
      <w:jc w:val="left"/>
      <w:spacing w:after="0"/>
    </w:pPr>
  </w:style>
  <w:style w:type="paragraph" w:styleId="885">
    <w:name w:val="Интерактивный заголовок"/>
    <w:basedOn w:val="876"/>
    <w:next w:val="854"/>
    <w:link w:val="854"/>
    <w:uiPriority w:val="99"/>
    <w:rPr>
      <w:u w:val="single"/>
    </w:rPr>
  </w:style>
  <w:style w:type="paragraph" w:styleId="886">
    <w:name w:val="Текст информации об изменениях"/>
    <w:basedOn w:val="854"/>
    <w:next w:val="854"/>
    <w:link w:val="854"/>
    <w:uiPriority w:val="99"/>
    <w:rPr>
      <w:color w:val="353842"/>
      <w:sz w:val="18"/>
      <w:szCs w:val="18"/>
    </w:rPr>
  </w:style>
  <w:style w:type="paragraph" w:styleId="887">
    <w:name w:val="Информация об изменениях"/>
    <w:basedOn w:val="886"/>
    <w:next w:val="854"/>
    <w:link w:val="854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888">
    <w:name w:val="Текст (справка)"/>
    <w:basedOn w:val="854"/>
    <w:next w:val="854"/>
    <w:link w:val="854"/>
    <w:uiPriority w:val="99"/>
    <w:pPr>
      <w:ind w:left="170" w:right="170" w:firstLine="0"/>
      <w:jc w:val="left"/>
    </w:pPr>
  </w:style>
  <w:style w:type="paragraph" w:styleId="889">
    <w:name w:val="Комментарий"/>
    <w:basedOn w:val="888"/>
    <w:next w:val="854"/>
    <w:link w:val="854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90">
    <w:name w:val="Информация об изменениях документа"/>
    <w:basedOn w:val="889"/>
    <w:next w:val="854"/>
    <w:link w:val="854"/>
    <w:uiPriority w:val="99"/>
    <w:rPr>
      <w:i/>
      <w:iCs/>
    </w:rPr>
  </w:style>
  <w:style w:type="paragraph" w:styleId="891">
    <w:name w:val="Текст (лев. подпись)"/>
    <w:basedOn w:val="854"/>
    <w:next w:val="854"/>
    <w:link w:val="854"/>
    <w:uiPriority w:val="99"/>
    <w:pPr>
      <w:ind w:firstLine="0"/>
      <w:jc w:val="left"/>
    </w:pPr>
  </w:style>
  <w:style w:type="paragraph" w:styleId="892">
    <w:name w:val="Колонтитул (левый)"/>
    <w:basedOn w:val="891"/>
    <w:next w:val="854"/>
    <w:link w:val="854"/>
    <w:uiPriority w:val="99"/>
    <w:rPr>
      <w:sz w:val="14"/>
      <w:szCs w:val="14"/>
    </w:rPr>
  </w:style>
  <w:style w:type="paragraph" w:styleId="893">
    <w:name w:val="Текст (прав. подпись)"/>
    <w:basedOn w:val="854"/>
    <w:next w:val="854"/>
    <w:link w:val="854"/>
    <w:uiPriority w:val="99"/>
    <w:pPr>
      <w:ind w:firstLine="0"/>
      <w:jc w:val="right"/>
    </w:pPr>
  </w:style>
  <w:style w:type="paragraph" w:styleId="894">
    <w:name w:val="Колонтитул (правый)"/>
    <w:basedOn w:val="893"/>
    <w:next w:val="854"/>
    <w:link w:val="854"/>
    <w:uiPriority w:val="99"/>
    <w:rPr>
      <w:sz w:val="14"/>
      <w:szCs w:val="14"/>
    </w:rPr>
  </w:style>
  <w:style w:type="paragraph" w:styleId="895">
    <w:name w:val="Комментарий пользователя"/>
    <w:basedOn w:val="889"/>
    <w:next w:val="854"/>
    <w:link w:val="854"/>
    <w:uiPriority w:val="99"/>
    <w:pPr>
      <w:jc w:val="left"/>
    </w:pPr>
    <w:rPr>
      <w:shd w:val="clear" w:color="auto" w:fill="ffdfe0"/>
    </w:rPr>
  </w:style>
  <w:style w:type="paragraph" w:styleId="896">
    <w:name w:val="Куда обратиться?"/>
    <w:basedOn w:val="869"/>
    <w:next w:val="854"/>
    <w:link w:val="854"/>
    <w:uiPriority w:val="99"/>
  </w:style>
  <w:style w:type="paragraph" w:styleId="897">
    <w:name w:val="Моноширинный"/>
    <w:basedOn w:val="854"/>
    <w:next w:val="854"/>
    <w:link w:val="854"/>
    <w:uiPriority w:val="99"/>
    <w:pPr>
      <w:ind w:firstLine="0"/>
      <w:jc w:val="left"/>
    </w:pPr>
    <w:rPr>
      <w:rFonts w:ascii="Courier New" w:hAnsi="Courier New" w:cs="Courier New"/>
    </w:rPr>
  </w:style>
  <w:style w:type="character" w:styleId="898">
    <w:name w:val="Найденные слова"/>
    <w:next w:val="898"/>
    <w:link w:val="854"/>
    <w:uiPriority w:val="99"/>
    <w:rPr>
      <w:rFonts w:cs="Times New Roman"/>
      <w:b/>
      <w:color w:val="26282f"/>
      <w:shd w:val="clear" w:color="auto" w:fill="fff580"/>
    </w:rPr>
  </w:style>
  <w:style w:type="character" w:styleId="899">
    <w:name w:val="Не вступил в силу"/>
    <w:next w:val="899"/>
    <w:link w:val="854"/>
    <w:uiPriority w:val="99"/>
    <w:rPr>
      <w:rFonts w:cs="Times New Roman"/>
      <w:b/>
      <w:color w:val="000000"/>
      <w:shd w:val="clear" w:color="auto" w:fill="d8ede8"/>
    </w:rPr>
  </w:style>
  <w:style w:type="paragraph" w:styleId="900">
    <w:name w:val="Необходимые документы"/>
    <w:basedOn w:val="869"/>
    <w:next w:val="854"/>
    <w:link w:val="854"/>
    <w:uiPriority w:val="99"/>
    <w:pPr>
      <w:ind w:firstLine="118"/>
    </w:pPr>
  </w:style>
  <w:style w:type="paragraph" w:styleId="901">
    <w:name w:val="Нормальный (таблица)"/>
    <w:basedOn w:val="854"/>
    <w:next w:val="854"/>
    <w:link w:val="854"/>
    <w:uiPriority w:val="99"/>
    <w:pPr>
      <w:ind w:firstLine="0"/>
    </w:pPr>
  </w:style>
  <w:style w:type="paragraph" w:styleId="902">
    <w:name w:val="Таблицы (моноширинный)"/>
    <w:basedOn w:val="854"/>
    <w:next w:val="854"/>
    <w:link w:val="854"/>
    <w:uiPriority w:val="99"/>
    <w:pPr>
      <w:ind w:firstLine="0"/>
      <w:jc w:val="left"/>
    </w:pPr>
    <w:rPr>
      <w:rFonts w:ascii="Courier New" w:hAnsi="Courier New" w:cs="Courier New"/>
    </w:rPr>
  </w:style>
  <w:style w:type="paragraph" w:styleId="903">
    <w:name w:val="Оглавление"/>
    <w:basedOn w:val="902"/>
    <w:next w:val="854"/>
    <w:link w:val="854"/>
    <w:uiPriority w:val="99"/>
    <w:pPr>
      <w:ind w:left="140"/>
    </w:pPr>
  </w:style>
  <w:style w:type="character" w:styleId="904">
    <w:name w:val="Опечатки"/>
    <w:next w:val="904"/>
    <w:link w:val="854"/>
    <w:uiPriority w:val="99"/>
    <w:rPr>
      <w:color w:val="ff0000"/>
    </w:rPr>
  </w:style>
  <w:style w:type="paragraph" w:styleId="905">
    <w:name w:val="Переменная часть"/>
    <w:basedOn w:val="875"/>
    <w:next w:val="854"/>
    <w:link w:val="854"/>
    <w:uiPriority w:val="99"/>
    <w:rPr>
      <w:sz w:val="18"/>
      <w:szCs w:val="18"/>
    </w:rPr>
  </w:style>
  <w:style w:type="paragraph" w:styleId="906">
    <w:name w:val="Подвал для информации об изменениях"/>
    <w:basedOn w:val="855"/>
    <w:next w:val="854"/>
    <w:link w:val="854"/>
    <w:uiPriority w:val="99"/>
    <w:pPr>
      <w:outlineLvl w:val="9"/>
    </w:pPr>
    <w:rPr>
      <w:b w:val="0"/>
      <w:bCs w:val="0"/>
      <w:sz w:val="18"/>
      <w:szCs w:val="18"/>
    </w:rPr>
  </w:style>
  <w:style w:type="paragraph" w:styleId="907">
    <w:name w:val="Подзаголовок для информации об изменениях"/>
    <w:basedOn w:val="886"/>
    <w:next w:val="854"/>
    <w:link w:val="854"/>
    <w:uiPriority w:val="99"/>
    <w:rPr>
      <w:b/>
      <w:bCs/>
    </w:rPr>
  </w:style>
  <w:style w:type="paragraph" w:styleId="908">
    <w:name w:val="Подчёркнуный текст"/>
    <w:basedOn w:val="854"/>
    <w:next w:val="854"/>
    <w:link w:val="854"/>
    <w:uiPriority w:val="99"/>
  </w:style>
  <w:style w:type="paragraph" w:styleId="909">
    <w:name w:val="Постоянная часть"/>
    <w:basedOn w:val="875"/>
    <w:next w:val="854"/>
    <w:link w:val="854"/>
    <w:uiPriority w:val="99"/>
    <w:rPr>
      <w:sz w:val="20"/>
      <w:szCs w:val="20"/>
    </w:rPr>
  </w:style>
  <w:style w:type="paragraph" w:styleId="910">
    <w:name w:val="Прижатый влево"/>
    <w:basedOn w:val="854"/>
    <w:next w:val="854"/>
    <w:link w:val="854"/>
    <w:uiPriority w:val="99"/>
    <w:pPr>
      <w:ind w:firstLine="0"/>
      <w:jc w:val="left"/>
    </w:pPr>
  </w:style>
  <w:style w:type="paragraph" w:styleId="911">
    <w:name w:val="Пример."/>
    <w:basedOn w:val="869"/>
    <w:next w:val="854"/>
    <w:link w:val="854"/>
    <w:uiPriority w:val="99"/>
  </w:style>
  <w:style w:type="paragraph" w:styleId="912">
    <w:name w:val="Примечание."/>
    <w:basedOn w:val="869"/>
    <w:next w:val="854"/>
    <w:link w:val="854"/>
    <w:uiPriority w:val="99"/>
  </w:style>
  <w:style w:type="character" w:styleId="913">
    <w:name w:val="Продолжение ссылки"/>
    <w:next w:val="913"/>
    <w:link w:val="854"/>
    <w:uiPriority w:val="99"/>
    <w:rPr>
      <w:rFonts w:cs="Times New Roman"/>
      <w:b/>
      <w:color w:val="106bbe"/>
    </w:rPr>
  </w:style>
  <w:style w:type="paragraph" w:styleId="914">
    <w:name w:val="Словарная статья"/>
    <w:basedOn w:val="854"/>
    <w:next w:val="854"/>
    <w:link w:val="854"/>
    <w:uiPriority w:val="99"/>
    <w:pPr>
      <w:ind w:right="118" w:firstLine="0"/>
    </w:pPr>
  </w:style>
  <w:style w:type="character" w:styleId="915">
    <w:name w:val="Сравнение редакций"/>
    <w:next w:val="915"/>
    <w:link w:val="854"/>
    <w:uiPriority w:val="99"/>
    <w:rPr>
      <w:rFonts w:cs="Times New Roman"/>
      <w:b/>
      <w:color w:val="26282f"/>
    </w:rPr>
  </w:style>
  <w:style w:type="character" w:styleId="916">
    <w:name w:val="Сравнение редакций. Добавленный фрагмент"/>
    <w:next w:val="916"/>
    <w:link w:val="854"/>
    <w:uiPriority w:val="99"/>
    <w:rPr>
      <w:color w:val="000000"/>
      <w:shd w:val="clear" w:color="auto" w:fill="c1d7ff"/>
    </w:rPr>
  </w:style>
  <w:style w:type="character" w:styleId="917">
    <w:name w:val="Сравнение редакций. Удаленный фрагмент"/>
    <w:next w:val="917"/>
    <w:link w:val="854"/>
    <w:uiPriority w:val="99"/>
    <w:rPr>
      <w:color w:val="000000"/>
      <w:shd w:val="clear" w:color="auto" w:fill="c4c413"/>
    </w:rPr>
  </w:style>
  <w:style w:type="paragraph" w:styleId="918">
    <w:name w:val="Ссылка на официальную публикацию"/>
    <w:basedOn w:val="854"/>
    <w:next w:val="854"/>
    <w:link w:val="854"/>
    <w:uiPriority w:val="99"/>
  </w:style>
  <w:style w:type="paragraph" w:styleId="919">
    <w:name w:val="Текст в таблице"/>
    <w:basedOn w:val="901"/>
    <w:next w:val="854"/>
    <w:link w:val="854"/>
    <w:uiPriority w:val="99"/>
    <w:pPr>
      <w:ind w:firstLine="500"/>
    </w:pPr>
  </w:style>
  <w:style w:type="paragraph" w:styleId="920">
    <w:name w:val="Текст ЭР (см. также)"/>
    <w:basedOn w:val="854"/>
    <w:next w:val="854"/>
    <w:link w:val="854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21">
    <w:name w:val="Технический комментарий"/>
    <w:basedOn w:val="854"/>
    <w:next w:val="854"/>
    <w:link w:val="854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922">
    <w:name w:val="Утратил силу"/>
    <w:next w:val="922"/>
    <w:link w:val="854"/>
    <w:uiPriority w:val="99"/>
    <w:rPr>
      <w:rFonts w:cs="Times New Roman"/>
      <w:b/>
      <w:strike/>
      <w:color w:val="666600"/>
    </w:rPr>
  </w:style>
  <w:style w:type="paragraph" w:styleId="923">
    <w:name w:val="Формула"/>
    <w:basedOn w:val="854"/>
    <w:next w:val="854"/>
    <w:link w:val="854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24">
    <w:name w:val="Центрированный (таблица)"/>
    <w:basedOn w:val="901"/>
    <w:next w:val="854"/>
    <w:link w:val="854"/>
    <w:uiPriority w:val="99"/>
    <w:pPr>
      <w:jc w:val="center"/>
    </w:pPr>
  </w:style>
  <w:style w:type="paragraph" w:styleId="925">
    <w:name w:val="ЭР-содержание (правое окно)"/>
    <w:basedOn w:val="854"/>
    <w:next w:val="854"/>
    <w:link w:val="854"/>
    <w:uiPriority w:val="99"/>
    <w:pPr>
      <w:ind w:firstLine="0"/>
      <w:jc w:val="left"/>
      <w:spacing w:before="300"/>
    </w:pPr>
  </w:style>
  <w:style w:type="paragraph" w:styleId="926">
    <w:name w:val="Основной текст"/>
    <w:basedOn w:val="854"/>
    <w:next w:val="926"/>
    <w:link w:val="927"/>
    <w:uiPriority w:val="99"/>
    <w:pPr>
      <w:ind w:firstLine="0"/>
      <w:jc w:val="left"/>
      <w:spacing w:after="120"/>
      <w:widowControl/>
    </w:pPr>
    <w:rPr>
      <w:rFonts w:ascii="Times New Roman" w:hAnsi="Times New Roman"/>
      <w:sz w:val="20"/>
      <w:szCs w:val="20"/>
      <w:lang w:val="en-US" w:eastAsia="en-US"/>
    </w:rPr>
  </w:style>
  <w:style w:type="character" w:styleId="927">
    <w:name w:val="Основной текст Знак"/>
    <w:next w:val="927"/>
    <w:link w:val="926"/>
    <w:uiPriority w:val="99"/>
    <w:rPr>
      <w:rFonts w:cs="Times New Roman"/>
      <w:sz w:val="20"/>
      <w:szCs w:val="20"/>
    </w:rPr>
  </w:style>
  <w:style w:type="character" w:styleId="928">
    <w:name w:val="Гиперссылка"/>
    <w:next w:val="928"/>
    <w:link w:val="854"/>
    <w:uiPriority w:val="99"/>
    <w:unhideWhenUsed/>
    <w:rPr>
      <w:rFonts w:ascii="Verdana" w:hAnsi="Verdana" w:cs="Times New Roman"/>
      <w:color w:val="314351"/>
      <w:u w:val="none"/>
    </w:rPr>
  </w:style>
  <w:style w:type="paragraph" w:styleId="929">
    <w:name w:val="Обычный (веб)"/>
    <w:basedOn w:val="854"/>
    <w:next w:val="929"/>
    <w:link w:val="854"/>
    <w:uiPriority w:val="99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SimSun"/>
      <w:lang w:eastAsia="zh-CN"/>
    </w:rPr>
  </w:style>
  <w:style w:type="paragraph" w:styleId="930">
    <w:name w:val="ConsPlusTitle"/>
    <w:next w:val="930"/>
    <w:link w:val="854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31">
    <w:name w:val="Без интервала"/>
    <w:next w:val="931"/>
    <w:link w:val="854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32">
    <w:name w:val="Название"/>
    <w:basedOn w:val="854"/>
    <w:next w:val="932"/>
    <w:link w:val="933"/>
    <w:uiPriority w:val="99"/>
    <w:qFormat/>
    <w:pPr>
      <w:ind w:firstLine="0"/>
      <w:jc w:val="center"/>
      <w:widowControl/>
    </w:pPr>
    <w:rPr>
      <w:rFonts w:ascii="Times New Roman" w:hAnsi="Times New Roman"/>
      <w:b/>
      <w:sz w:val="20"/>
      <w:szCs w:val="20"/>
      <w:lang w:val="en-US" w:eastAsia="en-US"/>
    </w:rPr>
  </w:style>
  <w:style w:type="character" w:styleId="933">
    <w:name w:val="Название Знак"/>
    <w:next w:val="933"/>
    <w:link w:val="932"/>
    <w:uiPriority w:val="99"/>
    <w:rPr>
      <w:rFonts w:cs="Times New Roman"/>
      <w:b/>
      <w:sz w:val="20"/>
      <w:szCs w:val="20"/>
    </w:rPr>
  </w:style>
  <w:style w:type="paragraph" w:styleId="934">
    <w:name w:val="Текст выноски"/>
    <w:basedOn w:val="854"/>
    <w:next w:val="934"/>
    <w:link w:val="935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35">
    <w:name w:val="Текст выноски Знак"/>
    <w:next w:val="935"/>
    <w:link w:val="934"/>
    <w:uiPriority w:val="99"/>
    <w:semiHidden/>
    <w:rPr>
      <w:rFonts w:ascii="Tahoma" w:hAnsi="Tahoma" w:cs="Tahoma"/>
      <w:sz w:val="16"/>
      <w:szCs w:val="16"/>
    </w:rPr>
  </w:style>
  <w:style w:type="paragraph" w:styleId="936">
    <w:name w:val="Верхний колонтитул"/>
    <w:basedOn w:val="854"/>
    <w:next w:val="936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>
    <w:name w:val="Верхний колонтитул Знак"/>
    <w:next w:val="937"/>
    <w:link w:val="936"/>
    <w:uiPriority w:val="99"/>
    <w:rPr>
      <w:rFonts w:ascii="Arial" w:hAnsi="Arial"/>
      <w:sz w:val="24"/>
      <w:szCs w:val="24"/>
    </w:rPr>
  </w:style>
  <w:style w:type="paragraph" w:styleId="938">
    <w:name w:val="Нижний колонтитул"/>
    <w:basedOn w:val="854"/>
    <w:next w:val="938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>
    <w:name w:val="Нижний колонтитул Знак"/>
    <w:next w:val="939"/>
    <w:link w:val="938"/>
    <w:uiPriority w:val="99"/>
    <w:rPr>
      <w:rFonts w:ascii="Arial" w:hAnsi="Arial"/>
      <w:sz w:val="24"/>
      <w:szCs w:val="24"/>
    </w:rPr>
  </w:style>
  <w:style w:type="paragraph" w:styleId="940">
    <w:name w:val="ConsPlusNormal"/>
    <w:next w:val="940"/>
    <w:link w:val="854"/>
    <w:rPr>
      <w:sz w:val="28"/>
      <w:szCs w:val="28"/>
      <w:lang w:val="ru-RU" w:eastAsia="ru-RU" w:bidi="ar-SA"/>
    </w:rPr>
  </w:style>
  <w:style w:type="character" w:styleId="941">
    <w:name w:val="Знак примечания"/>
    <w:next w:val="941"/>
    <w:link w:val="854"/>
    <w:uiPriority w:val="99"/>
    <w:semiHidden/>
    <w:unhideWhenUsed/>
    <w:rPr>
      <w:sz w:val="16"/>
      <w:szCs w:val="16"/>
    </w:rPr>
  </w:style>
  <w:style w:type="paragraph" w:styleId="942">
    <w:name w:val="Текст примечания"/>
    <w:basedOn w:val="854"/>
    <w:next w:val="942"/>
    <w:link w:val="943"/>
    <w:uiPriority w:val="99"/>
    <w:semiHidden/>
    <w:unhideWhenUsed/>
    <w:rPr>
      <w:sz w:val="20"/>
      <w:szCs w:val="20"/>
    </w:rPr>
  </w:style>
  <w:style w:type="character" w:styleId="943">
    <w:name w:val="Текст примечания Знак"/>
    <w:next w:val="943"/>
    <w:link w:val="942"/>
    <w:uiPriority w:val="99"/>
    <w:semiHidden/>
    <w:rPr>
      <w:rFonts w:ascii="Arial" w:hAnsi="Arial"/>
    </w:rPr>
  </w:style>
  <w:style w:type="paragraph" w:styleId="944">
    <w:name w:val="Тема примечания"/>
    <w:basedOn w:val="942"/>
    <w:next w:val="942"/>
    <w:link w:val="945"/>
    <w:uiPriority w:val="99"/>
    <w:semiHidden/>
    <w:unhideWhenUsed/>
    <w:rPr>
      <w:b/>
      <w:bCs/>
    </w:rPr>
  </w:style>
  <w:style w:type="character" w:styleId="945">
    <w:name w:val="Тема примечания Знак"/>
    <w:next w:val="945"/>
    <w:link w:val="944"/>
    <w:uiPriority w:val="99"/>
    <w:semiHidden/>
    <w:rPr>
      <w:rFonts w:ascii="Arial" w:hAnsi="Arial"/>
      <w:b/>
      <w:bCs/>
    </w:rPr>
  </w:style>
  <w:style w:type="character" w:styleId="946" w:default="1">
    <w:name w:val="Default Paragraph Font"/>
    <w:uiPriority w:val="1"/>
    <w:semiHidden/>
    <w:unhideWhenUsed/>
  </w:style>
  <w:style w:type="numbering" w:styleId="947" w:default="1">
    <w:name w:val="No List"/>
    <w:uiPriority w:val="99"/>
    <w:semiHidden/>
    <w:unhideWhenUsed/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НПП "Гарант-Сервис"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Волгограда от 16 июля 2014 г</dc:title>
  <dc:creator>НПП "Гарант-Сервис"</dc:creator>
  <dc:description>Документ экспортирован из системы ГАРАНТ</dc:description>
  <cp:revision>29</cp:revision>
  <dcterms:created xsi:type="dcterms:W3CDTF">2023-02-16T05:03:00Z</dcterms:created>
  <dcterms:modified xsi:type="dcterms:W3CDTF">2024-01-18T10:07:50Z</dcterms:modified>
  <cp:version>983040</cp:version>
</cp:coreProperties>
</file>