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CF0B43" w:rsidRDefault="00372A34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1B1B4834" wp14:editId="00ADB19C">
            <wp:extent cx="518160" cy="62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Pr="00CF0B43" w:rsidRDefault="009C3ADF">
      <w:pPr>
        <w:widowControl/>
        <w:ind w:firstLine="0"/>
        <w:jc w:val="center"/>
        <w:rPr>
          <w:bCs/>
        </w:rPr>
      </w:pPr>
    </w:p>
    <w:p w:rsidR="009C3ADF" w:rsidRPr="00C3080F" w:rsidRDefault="009C3ADF">
      <w:pPr>
        <w:widowControl/>
        <w:ind w:firstLine="0"/>
        <w:jc w:val="center"/>
        <w:rPr>
          <w:b/>
          <w:bCs/>
        </w:rPr>
      </w:pPr>
      <w:r w:rsidRPr="00C3080F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C3080F" w:rsidRDefault="00B45BC1">
      <w:pPr>
        <w:widowControl/>
        <w:ind w:firstLine="0"/>
        <w:jc w:val="center"/>
        <w:rPr>
          <w:b/>
          <w:bCs/>
        </w:rPr>
      </w:pPr>
      <w:r w:rsidRPr="00C3080F">
        <w:rPr>
          <w:b/>
          <w:bCs/>
        </w:rPr>
        <w:t>(Минпромторг НСО)</w:t>
      </w:r>
    </w:p>
    <w:p w:rsidR="009C3ADF" w:rsidRPr="00CF0B43" w:rsidRDefault="009C3ADF">
      <w:pPr>
        <w:widowControl/>
        <w:ind w:firstLine="0"/>
        <w:jc w:val="center"/>
        <w:rPr>
          <w:bCs/>
        </w:rPr>
      </w:pPr>
    </w:p>
    <w:p w:rsidR="00A91E1D" w:rsidRPr="00CF0B43" w:rsidRDefault="00A91E1D">
      <w:pPr>
        <w:widowControl/>
        <w:ind w:firstLine="0"/>
        <w:jc w:val="center"/>
        <w:rPr>
          <w:bCs/>
        </w:rPr>
      </w:pPr>
    </w:p>
    <w:p w:rsidR="009C3ADF" w:rsidRPr="00240DEB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240DEB">
        <w:rPr>
          <w:b/>
          <w:bCs/>
          <w:sz w:val="36"/>
          <w:szCs w:val="36"/>
        </w:rPr>
        <w:t>ПРИКАЗ</w:t>
      </w:r>
    </w:p>
    <w:p w:rsidR="009C3ADF" w:rsidRPr="00CF0B43" w:rsidRDefault="009311BC">
      <w:pPr>
        <w:widowControl/>
        <w:ind w:firstLine="0"/>
      </w:pPr>
      <w:r>
        <w:t>_____________</w:t>
      </w:r>
      <w:r w:rsidR="009C3ADF" w:rsidRPr="00CF0B43">
        <w:t xml:space="preserve">                                                                      </w:t>
      </w:r>
      <w:r w:rsidR="00D64A73" w:rsidRPr="00CF0B43">
        <w:t xml:space="preserve">   </w:t>
      </w:r>
      <w:r w:rsidR="00492A58" w:rsidRPr="00CF0B43">
        <w:t xml:space="preserve"> </w:t>
      </w:r>
      <w:r w:rsidR="00E30115" w:rsidRPr="00CF0B43">
        <w:t xml:space="preserve">          </w:t>
      </w:r>
      <w:r w:rsidR="00F65A73" w:rsidRPr="00CF0B43">
        <w:t xml:space="preserve">№ </w:t>
      </w:r>
      <w:r>
        <w:t>_______</w:t>
      </w:r>
    </w:p>
    <w:p w:rsidR="009C3ADF" w:rsidRPr="00CF0B43" w:rsidRDefault="009C3ADF">
      <w:pPr>
        <w:widowControl/>
        <w:ind w:left="709" w:firstLine="0"/>
        <w:jc w:val="left"/>
      </w:pPr>
    </w:p>
    <w:p w:rsidR="009C3ADF" w:rsidRPr="00CF0B43" w:rsidRDefault="009C3ADF" w:rsidP="009C3ADF">
      <w:pPr>
        <w:widowControl/>
        <w:ind w:firstLine="0"/>
        <w:jc w:val="center"/>
      </w:pPr>
      <w:r w:rsidRPr="00CF0B43">
        <w:t>г.</w:t>
      </w:r>
      <w:r w:rsidR="0072166B" w:rsidRPr="00CF0B43">
        <w:t xml:space="preserve"> </w:t>
      </w:r>
      <w:r w:rsidRPr="00CF0B43">
        <w:t>Новосибирск</w:t>
      </w:r>
    </w:p>
    <w:p w:rsidR="002A7D50" w:rsidRPr="00CF0B43" w:rsidRDefault="002A7D50" w:rsidP="002A7D50">
      <w:pPr>
        <w:widowControl/>
        <w:ind w:firstLine="0"/>
      </w:pPr>
    </w:p>
    <w:p w:rsidR="00A76495" w:rsidRPr="00CF0B43" w:rsidRDefault="00A76495" w:rsidP="008E3053">
      <w:pPr>
        <w:jc w:val="center"/>
      </w:pPr>
    </w:p>
    <w:p w:rsidR="005A4DED" w:rsidRDefault="005A4DED" w:rsidP="008E3053">
      <w:pPr>
        <w:jc w:val="center"/>
      </w:pPr>
    </w:p>
    <w:p w:rsidR="0026156E" w:rsidRDefault="00E9000B" w:rsidP="009311BC">
      <w:pPr>
        <w:jc w:val="center"/>
      </w:pPr>
      <w:r w:rsidRPr="00CF0B43">
        <w:t>Об утверждении</w:t>
      </w:r>
      <w:r w:rsidR="0026156E">
        <w:t xml:space="preserve"> паспорта</w:t>
      </w:r>
      <w:r w:rsidRPr="00CF0B43">
        <w:t xml:space="preserve"> </w:t>
      </w:r>
      <w:r w:rsidR="0026156E">
        <w:t>ключевого</w:t>
      </w:r>
      <w:r w:rsidR="009311BC">
        <w:t xml:space="preserve"> показателей</w:t>
      </w:r>
      <w:r w:rsidR="009311BC" w:rsidRPr="009311BC">
        <w:t xml:space="preserve"> результативности </w:t>
      </w:r>
      <w:r w:rsidR="009311BC">
        <w:t xml:space="preserve">и эффективности </w:t>
      </w:r>
      <w:proofErr w:type="spellStart"/>
      <w:r w:rsidR="0026156E" w:rsidRPr="0026156E">
        <w:t>контрольно</w:t>
      </w:r>
      <w:proofErr w:type="spellEnd"/>
      <w:r w:rsidR="0026156E" w:rsidRPr="0026156E">
        <w:t xml:space="preserve"> – надзорной деятельности министерства промышленности, торговли и развития предпринимательства Новосибирской области при осуществлении лицензионного контроля за заготовкой, хранением, переработкой и реализацией лома черны</w:t>
      </w:r>
      <w:r w:rsidR="0026156E">
        <w:t xml:space="preserve">х металлов, цветных металлов на </w:t>
      </w:r>
      <w:r w:rsidR="0026156E" w:rsidRPr="0026156E">
        <w:t>территории Новосибирской области</w:t>
      </w:r>
    </w:p>
    <w:p w:rsidR="008E3053" w:rsidRPr="00CF0B43" w:rsidRDefault="008E3053" w:rsidP="008E3053">
      <w:pPr>
        <w:widowControl/>
        <w:ind w:left="709" w:firstLine="0"/>
        <w:jc w:val="left"/>
      </w:pPr>
    </w:p>
    <w:p w:rsidR="00E9000B" w:rsidRPr="009311BC" w:rsidRDefault="009311BC" w:rsidP="0026156E">
      <w:pPr>
        <w:widowControl/>
        <w:adjustRightInd w:val="0"/>
      </w:pPr>
      <w:r>
        <w:t xml:space="preserve">В соответствии с </w:t>
      </w:r>
      <w:hyperlink r:id="rId9" w:history="1">
        <w:r w:rsidRPr="009311BC">
          <w:t>распоряжением</w:t>
        </w:r>
      </w:hyperlink>
      <w:r>
        <w:t xml:space="preserve"> </w:t>
      </w:r>
      <w:r>
        <w:t>Правительства РФ от 17.05.2016 № 934-р «</w:t>
      </w:r>
      <w:r>
        <w:t>Об утверждении основных направлений разработки и внедрения системы оценки результативности и эффективности контрольно-надзорной деятельност</w:t>
      </w:r>
      <w:r>
        <w:t>и»</w:t>
      </w:r>
      <w:r>
        <w:t xml:space="preserve">, </w:t>
      </w:r>
      <w:hyperlink r:id="rId10" w:history="1">
        <w:r w:rsidRPr="009311BC">
          <w:t>постановлением</w:t>
        </w:r>
      </w:hyperlink>
      <w:r>
        <w:t xml:space="preserve"> Правительства Новосибирской</w:t>
      </w:r>
      <w:r>
        <w:t xml:space="preserve"> области от 28.09.2017 № 370-п «</w:t>
      </w:r>
      <w:r>
        <w:t>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государственного контроля (надзора)</w:t>
      </w:r>
      <w:r>
        <w:t xml:space="preserve">, приказом </w:t>
      </w:r>
      <w:r w:rsidRPr="009311BC">
        <w:t>министерства промышленности, торговли и развития предпринимательства Новосибирской области</w:t>
      </w:r>
      <w:r w:rsidR="0026156E">
        <w:t xml:space="preserve">  от 30.11.2017 №</w:t>
      </w:r>
      <w:r w:rsidR="0026156E" w:rsidRPr="0026156E">
        <w:t xml:space="preserve"> 307</w:t>
      </w:r>
      <w:r w:rsidR="0026156E">
        <w:t xml:space="preserve"> «</w:t>
      </w:r>
      <w:r w:rsidR="0026156E" w:rsidRPr="0026156E">
        <w:t>Об утверждении Перечня показателей результативности и эффективности контрольно-надзорной деятельности министерства промышленности, торговли и развития предпринимательства Новосибирской области при осуществлении лицензионного контроля за заготовкой, хранением, переработкой и реализацией лома черных металлов, цветных металлов на территории Новосибирской области и Методики их оценки (расчета)</w:t>
      </w:r>
      <w:r w:rsidR="0026156E">
        <w:t xml:space="preserve">» </w:t>
      </w:r>
      <w:r w:rsidR="005C1097" w:rsidRPr="00240DEB">
        <w:rPr>
          <w:b/>
        </w:rPr>
        <w:t>п</w:t>
      </w:r>
      <w:r w:rsidR="008E3053" w:rsidRPr="00240DEB">
        <w:rPr>
          <w:b/>
        </w:rPr>
        <w:t> р и к а з ы в а ю:</w:t>
      </w:r>
    </w:p>
    <w:p w:rsidR="0026156E" w:rsidRDefault="00E9000B" w:rsidP="0026156E">
      <w:r w:rsidRPr="00CF0B43">
        <w:t>1.</w:t>
      </w:r>
      <w:r w:rsidR="00C30FE1" w:rsidRPr="00CF0B43">
        <w:rPr>
          <w:lang w:val="en-US"/>
        </w:rPr>
        <w:t> </w:t>
      </w:r>
      <w:r w:rsidR="00235453">
        <w:t>Утвердить</w:t>
      </w:r>
      <w:r w:rsidR="0026156E">
        <w:t xml:space="preserve"> паспорт </w:t>
      </w:r>
      <w:r w:rsidR="0026156E" w:rsidRPr="0026156E">
        <w:t xml:space="preserve">ключевого показателя результативности и эффективности </w:t>
      </w:r>
      <w:proofErr w:type="spellStart"/>
      <w:r w:rsidR="0026156E" w:rsidRPr="0026156E">
        <w:t>контрольно</w:t>
      </w:r>
      <w:proofErr w:type="spellEnd"/>
      <w:r w:rsidR="0026156E" w:rsidRPr="0026156E">
        <w:t xml:space="preserve"> – надзорной деятельности министерства промышленности, торговли и развития предпринима</w:t>
      </w:r>
      <w:r w:rsidR="0026156E">
        <w:t xml:space="preserve">тельства Новосибирской области </w:t>
      </w:r>
      <w:r w:rsidR="0026156E" w:rsidRPr="0026156E">
        <w:t>при осуществлении лицензионного контроля за заготовкой, хранением, переработкой и реализацией лома черных металлов, цветных металлов на территории Новосибирской области</w:t>
      </w:r>
      <w:r w:rsidR="0026156E">
        <w:t xml:space="preserve"> согласно Приложению.</w:t>
      </w:r>
    </w:p>
    <w:p w:rsidR="00E9000B" w:rsidRDefault="00235453" w:rsidP="00F85539">
      <w:bookmarkStart w:id="0" w:name="_GoBack"/>
      <w:bookmarkEnd w:id="0"/>
      <w:r>
        <w:lastRenderedPageBreak/>
        <w:t>2</w:t>
      </w:r>
      <w:r w:rsidR="00240DEB">
        <w:t>. Контроль за исполнением настоящего приказа оставляю за собой.</w:t>
      </w:r>
    </w:p>
    <w:p w:rsidR="00240DEB" w:rsidRPr="00240DEB" w:rsidRDefault="00240DEB" w:rsidP="00F85539"/>
    <w:p w:rsidR="008E3053" w:rsidRPr="00CF0B43" w:rsidRDefault="008E3053" w:rsidP="00604987">
      <w:pPr>
        <w:widowControl/>
        <w:autoSpaceDE/>
        <w:autoSpaceDN/>
        <w:ind w:firstLine="0"/>
        <w:rPr>
          <w:lang w:eastAsia="en-US"/>
        </w:rPr>
      </w:pPr>
    </w:p>
    <w:p w:rsidR="004126CC" w:rsidRPr="00CF0B43" w:rsidRDefault="004126CC" w:rsidP="00604987">
      <w:pPr>
        <w:widowControl/>
        <w:autoSpaceDE/>
        <w:autoSpaceDN/>
        <w:ind w:firstLine="0"/>
        <w:rPr>
          <w:lang w:eastAsia="en-US"/>
        </w:rPr>
      </w:pPr>
    </w:p>
    <w:p w:rsidR="00445405" w:rsidRPr="00CF0B43" w:rsidRDefault="00C30FE1" w:rsidP="00CA303F">
      <w:pPr>
        <w:tabs>
          <w:tab w:val="left" w:pos="4159"/>
        </w:tabs>
        <w:ind w:firstLine="0"/>
        <w:outlineLvl w:val="1"/>
        <w:rPr>
          <w:sz w:val="22"/>
          <w:szCs w:val="22"/>
        </w:rPr>
      </w:pPr>
      <w:r w:rsidRPr="00CF0B43">
        <w:rPr>
          <w:bCs/>
        </w:rPr>
        <w:t>М</w:t>
      </w:r>
      <w:r w:rsidR="00445405" w:rsidRPr="00CF0B43">
        <w:rPr>
          <w:bCs/>
        </w:rPr>
        <w:t>инистр</w:t>
      </w:r>
      <w:r w:rsidR="00445405" w:rsidRPr="00CF0B43">
        <w:rPr>
          <w:bCs/>
        </w:rPr>
        <w:tab/>
      </w:r>
      <w:r w:rsidR="00445405" w:rsidRPr="00CF0B43">
        <w:rPr>
          <w:bCs/>
        </w:rPr>
        <w:tab/>
      </w:r>
      <w:r w:rsidR="00445405" w:rsidRPr="00CF0B43">
        <w:rPr>
          <w:bCs/>
        </w:rPr>
        <w:tab/>
      </w:r>
      <w:r w:rsidR="00445405" w:rsidRPr="00CF0B43">
        <w:rPr>
          <w:bCs/>
        </w:rPr>
        <w:tab/>
      </w:r>
      <w:r w:rsidR="00445405" w:rsidRPr="00CF0B43">
        <w:rPr>
          <w:bCs/>
        </w:rPr>
        <w:tab/>
      </w:r>
      <w:r w:rsidR="00445405" w:rsidRPr="00CF0B43">
        <w:rPr>
          <w:bCs/>
        </w:rPr>
        <w:tab/>
      </w:r>
      <w:r w:rsidR="00445405" w:rsidRPr="00CF0B43">
        <w:rPr>
          <w:bCs/>
        </w:rPr>
        <w:tab/>
        <w:t xml:space="preserve">   </w:t>
      </w:r>
      <w:r w:rsidR="007631B2" w:rsidRPr="00CF0B43">
        <w:rPr>
          <w:bCs/>
        </w:rPr>
        <w:t xml:space="preserve"> </w:t>
      </w:r>
      <w:r w:rsidR="00F113BD" w:rsidRPr="00CF0B43">
        <w:rPr>
          <w:bCs/>
        </w:rPr>
        <w:t>А.А. Гончаров</w:t>
      </w:r>
    </w:p>
    <w:p w:rsidR="003146C8" w:rsidRPr="00B84070" w:rsidRDefault="003146C8" w:rsidP="00445405">
      <w:pPr>
        <w:widowControl/>
        <w:ind w:firstLine="0"/>
        <w:jc w:val="left"/>
        <w:rPr>
          <w:sz w:val="16"/>
          <w:szCs w:val="16"/>
        </w:rPr>
      </w:pPr>
    </w:p>
    <w:p w:rsidR="003146C8" w:rsidRDefault="003146C8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235453" w:rsidRDefault="00235453" w:rsidP="00445405">
      <w:pPr>
        <w:widowControl/>
        <w:ind w:firstLine="0"/>
        <w:jc w:val="left"/>
        <w:rPr>
          <w:sz w:val="16"/>
          <w:szCs w:val="16"/>
        </w:rPr>
      </w:pPr>
    </w:p>
    <w:p w:rsidR="00F87E01" w:rsidRDefault="00F87E01" w:rsidP="00445405">
      <w:pPr>
        <w:widowControl/>
        <w:ind w:firstLine="0"/>
        <w:jc w:val="left"/>
        <w:rPr>
          <w:sz w:val="16"/>
          <w:szCs w:val="16"/>
        </w:rPr>
      </w:pPr>
    </w:p>
    <w:p w:rsidR="004142FE" w:rsidRPr="00CF0B43" w:rsidRDefault="00C6494D" w:rsidP="00445405">
      <w:pPr>
        <w:widowControl/>
        <w:ind w:firstLine="0"/>
        <w:jc w:val="left"/>
        <w:rPr>
          <w:sz w:val="20"/>
          <w:szCs w:val="20"/>
        </w:rPr>
      </w:pPr>
      <w:r w:rsidRPr="00CF0B43">
        <w:rPr>
          <w:sz w:val="20"/>
          <w:szCs w:val="20"/>
        </w:rPr>
        <w:t>Э.А. Литовская</w:t>
      </w:r>
    </w:p>
    <w:p w:rsidR="003146C8" w:rsidRDefault="00C6494D" w:rsidP="00445405">
      <w:pPr>
        <w:widowControl/>
        <w:ind w:firstLine="0"/>
        <w:jc w:val="left"/>
        <w:rPr>
          <w:sz w:val="20"/>
          <w:szCs w:val="20"/>
        </w:rPr>
      </w:pPr>
      <w:r w:rsidRPr="00CF0B43">
        <w:rPr>
          <w:sz w:val="20"/>
          <w:szCs w:val="20"/>
        </w:rPr>
        <w:t>8 (383) 238 62 21</w:t>
      </w:r>
    </w:p>
    <w:p w:rsidR="003146C8" w:rsidRDefault="003146C8" w:rsidP="00445405">
      <w:pPr>
        <w:widowControl/>
        <w:ind w:firstLine="0"/>
        <w:jc w:val="left"/>
        <w:rPr>
          <w:sz w:val="20"/>
          <w:szCs w:val="20"/>
        </w:rPr>
      </w:pPr>
    </w:p>
    <w:p w:rsidR="00235453" w:rsidRDefault="00235453" w:rsidP="00445405">
      <w:pPr>
        <w:widowControl/>
        <w:ind w:firstLine="0"/>
        <w:jc w:val="left"/>
        <w:rPr>
          <w:sz w:val="20"/>
          <w:szCs w:val="20"/>
        </w:rPr>
        <w:sectPr w:rsidR="00235453" w:rsidSect="00B84070">
          <w:headerReference w:type="default" r:id="rId11"/>
          <w:footerReference w:type="default" r:id="rId12"/>
          <w:headerReference w:type="first" r:id="rId13"/>
          <w:pgSz w:w="11907" w:h="16840"/>
          <w:pgMar w:top="567" w:right="567" w:bottom="1134" w:left="1418" w:header="567" w:footer="567" w:gutter="0"/>
          <w:pgNumType w:start="1"/>
          <w:cols w:space="709"/>
          <w:titlePg/>
          <w:docGrid w:linePitch="381"/>
        </w:sectPr>
      </w:pPr>
    </w:p>
    <w:p w:rsidR="0026156E" w:rsidRPr="0026156E" w:rsidRDefault="0026156E" w:rsidP="0026156E">
      <w:pPr>
        <w:widowControl/>
        <w:ind w:left="10915" w:firstLine="0"/>
        <w:jc w:val="center"/>
        <w:rPr>
          <w:sz w:val="26"/>
          <w:szCs w:val="26"/>
        </w:rPr>
      </w:pPr>
      <w:r w:rsidRPr="0026156E">
        <w:rPr>
          <w:sz w:val="26"/>
          <w:szCs w:val="26"/>
        </w:rPr>
        <w:lastRenderedPageBreak/>
        <w:t>Приложение</w:t>
      </w:r>
    </w:p>
    <w:p w:rsidR="0026156E" w:rsidRPr="0026156E" w:rsidRDefault="0026156E" w:rsidP="0026156E">
      <w:pPr>
        <w:widowControl/>
        <w:ind w:left="10915" w:firstLine="0"/>
        <w:jc w:val="center"/>
        <w:rPr>
          <w:sz w:val="26"/>
          <w:szCs w:val="26"/>
        </w:rPr>
      </w:pPr>
      <w:r w:rsidRPr="0026156E">
        <w:rPr>
          <w:sz w:val="26"/>
          <w:szCs w:val="26"/>
        </w:rPr>
        <w:t>к приказу министерства промышленности, торговли и развития предпринимательства Новосибирской области</w:t>
      </w:r>
    </w:p>
    <w:p w:rsidR="0026156E" w:rsidRPr="0026156E" w:rsidRDefault="0026156E" w:rsidP="0026156E">
      <w:pPr>
        <w:widowControl/>
        <w:ind w:left="10915" w:firstLine="0"/>
        <w:jc w:val="center"/>
        <w:rPr>
          <w:sz w:val="26"/>
          <w:szCs w:val="26"/>
        </w:rPr>
      </w:pPr>
      <w:r w:rsidRPr="0026156E">
        <w:rPr>
          <w:sz w:val="26"/>
          <w:szCs w:val="26"/>
        </w:rPr>
        <w:t>от__________________ №_______</w:t>
      </w:r>
    </w:p>
    <w:p w:rsidR="0026156E" w:rsidRPr="0026156E" w:rsidRDefault="0026156E" w:rsidP="0026156E">
      <w:pPr>
        <w:widowControl/>
        <w:ind w:firstLine="0"/>
        <w:jc w:val="center"/>
        <w:rPr>
          <w:b/>
        </w:rPr>
      </w:pPr>
    </w:p>
    <w:p w:rsidR="0026156E" w:rsidRPr="0026156E" w:rsidRDefault="0026156E" w:rsidP="0026156E">
      <w:pPr>
        <w:widowControl/>
        <w:ind w:firstLine="0"/>
        <w:jc w:val="center"/>
        <w:rPr>
          <w:b/>
        </w:rPr>
      </w:pPr>
      <w:r w:rsidRPr="0026156E">
        <w:rPr>
          <w:b/>
          <w:sz w:val="32"/>
        </w:rPr>
        <w:t>ПАСПОРТ</w:t>
      </w:r>
      <w:r w:rsidRPr="0026156E">
        <w:rPr>
          <w:b/>
        </w:rPr>
        <w:t xml:space="preserve"> </w:t>
      </w:r>
    </w:p>
    <w:p w:rsidR="0026156E" w:rsidRPr="0026156E" w:rsidRDefault="0026156E" w:rsidP="0026156E">
      <w:pPr>
        <w:widowControl/>
        <w:ind w:firstLine="0"/>
        <w:jc w:val="center"/>
      </w:pPr>
      <w:r w:rsidRPr="0026156E">
        <w:t xml:space="preserve">ключевого показателя результативности и эффективности </w:t>
      </w:r>
      <w:proofErr w:type="spellStart"/>
      <w:r w:rsidRPr="0026156E">
        <w:t>контрольно</w:t>
      </w:r>
      <w:proofErr w:type="spellEnd"/>
      <w:r w:rsidRPr="0026156E">
        <w:t xml:space="preserve"> – надзорной деятельности министерства промышленности, торговли и развития предпринимательства Новосибирской области (далее – Минпромторг НСО) при осуществлении лицензионного контроля за заготовкой, хранением, переработкой и реализацией лома черных металлов, цветных металлов на территории Новосибирской области </w:t>
      </w:r>
    </w:p>
    <w:p w:rsidR="0026156E" w:rsidRPr="0026156E" w:rsidRDefault="0026156E" w:rsidP="0026156E">
      <w:pPr>
        <w:widowControl/>
        <w:ind w:firstLine="0"/>
        <w:jc w:val="center"/>
      </w:pPr>
      <w:r w:rsidRPr="0026156E">
        <w:t>А.3.1 «Доля подконтрольных субъектов допустивших нарушения требований законодательства в сфере заготовки, хранения, переработки и реализации лома черных металлов, цветных металлов из общего числа охваченных проверками в текущем периоде»</w:t>
      </w:r>
    </w:p>
    <w:p w:rsidR="0026156E" w:rsidRPr="0026156E" w:rsidRDefault="0026156E" w:rsidP="0026156E">
      <w:pPr>
        <w:widowControl/>
        <w:ind w:firstLine="0"/>
        <w:jc w:val="lef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983"/>
        <w:gridCol w:w="1949"/>
        <w:gridCol w:w="2891"/>
        <w:gridCol w:w="1417"/>
        <w:gridCol w:w="3665"/>
      </w:tblGrid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1"/>
            </w:pPr>
            <w:r w:rsidRPr="0026156E">
              <w:t>Отдел лицензирования управления лицензирования министерства промышленности, торговли и развития предпринимательства Новосибирской области (далее – Минпромторг НСО)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2"/>
            </w:pPr>
            <w:r w:rsidRPr="0026156E">
              <w:t>I. Общая информация по показателю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Номер (индекс) показателя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Наименование цели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Наименование задач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Базовое значение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Международное сопоставление показателя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t>А.3.1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rPr>
                <w:sz w:val="24"/>
                <w:szCs w:val="24"/>
              </w:rPr>
              <w:t xml:space="preserve">Предупреждение, выявление и пресечение нарушений обязательных требований в области заготовки, </w:t>
            </w:r>
            <w:r w:rsidRPr="0026156E">
              <w:rPr>
                <w:sz w:val="24"/>
                <w:szCs w:val="24"/>
              </w:rPr>
              <w:lastRenderedPageBreak/>
              <w:t>хранения, переработки и реализации лома черных металлов, цветных металлов со стороны хозяйствующих</w:t>
            </w:r>
            <w:r w:rsidRPr="0026156E">
              <w:rPr>
                <w:sz w:val="22"/>
                <w:szCs w:val="22"/>
              </w:rPr>
              <w:t xml:space="preserve"> субъектов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lastRenderedPageBreak/>
              <w:t xml:space="preserve">Доля подконтрольных субъектов, допустивших нарушения требований законодательства в сфере заготовки, хранения, переработки и реализации лома черных металлов, цветных металлов, из </w:t>
            </w:r>
            <w:r w:rsidRPr="0026156E">
              <w:rPr>
                <w:sz w:val="24"/>
                <w:szCs w:val="24"/>
              </w:rPr>
              <w:lastRenderedPageBreak/>
              <w:t>общего числа охваченных проверками в текущем периоде</w:t>
            </w:r>
          </w:p>
          <w:p w:rsidR="0026156E" w:rsidRPr="0026156E" w:rsidRDefault="0026156E" w:rsidP="0026156E">
            <w:pPr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lastRenderedPageBreak/>
              <w:t>50%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Данные отсутствуют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Формула расчета показателя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rPr>
                <w:noProof/>
                <w:position w:val="-32"/>
                <w:sz w:val="26"/>
                <w:szCs w:val="26"/>
              </w:rPr>
              <w:drawing>
                <wp:inline distT="0" distB="0" distL="0" distR="0" wp14:anchorId="26D27C53" wp14:editId="73F8504B">
                  <wp:extent cx="1584960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56E" w:rsidRPr="0026156E" w:rsidTr="00EC4F05">
        <w:tc>
          <w:tcPr>
            <w:tcW w:w="6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Расшифровка (данных) переменных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Источники (данных) переменных, в том числе информационные системы (реквизиты статистических форм, номера строк, наименования и реквизиты информационных систем)</w:t>
            </w:r>
          </w:p>
        </w:tc>
      </w:tr>
      <w:tr w:rsidR="0026156E" w:rsidRPr="0026156E" w:rsidTr="00EC4F05">
        <w:tc>
          <w:tcPr>
            <w:tcW w:w="6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26156E">
              <w:rPr>
                <w:sz w:val="24"/>
                <w:szCs w:val="24"/>
              </w:rPr>
              <w:t>АПн</w:t>
            </w:r>
            <w:proofErr w:type="spellEnd"/>
            <w:r w:rsidRPr="0026156E">
              <w:rPr>
                <w:sz w:val="24"/>
                <w:szCs w:val="24"/>
              </w:rPr>
              <w:t xml:space="preserve"> - доля подконтрольных субъектов, соответствующих требованиям законодательства в сфере заготовки, хранения, переработки и реализации лома черных металлов, цветных металлов (%)</w:t>
            </w:r>
          </w:p>
          <w:p w:rsidR="0026156E" w:rsidRPr="0026156E" w:rsidRDefault="0026156E" w:rsidP="0026156E">
            <w:pPr>
              <w:adjustRightInd w:val="0"/>
              <w:ind w:firstLine="0"/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Данные отдела лицензирования управления лицензирования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НСО</w:t>
            </w:r>
          </w:p>
        </w:tc>
      </w:tr>
      <w:tr w:rsidR="0026156E" w:rsidRPr="0026156E" w:rsidTr="00EC4F05">
        <w:tc>
          <w:tcPr>
            <w:tcW w:w="6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Ан - количество подконтрольных субъектов, в отношении которых выявлены несоответствия требованиям законодательства в сфере заготовки, хранения, переработки и реализации лома черных металлов, цветных металлов либо выявлены нарушения данного законодательства</w:t>
            </w:r>
          </w:p>
          <w:p w:rsidR="0026156E" w:rsidRPr="0026156E" w:rsidRDefault="0026156E" w:rsidP="0026156E">
            <w:pPr>
              <w:adjustRightInd w:val="0"/>
              <w:ind w:firstLine="0"/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Данные отдела лицензирования управления лицензирования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НСО</w:t>
            </w:r>
          </w:p>
        </w:tc>
      </w:tr>
      <w:tr w:rsidR="0026156E" w:rsidRPr="0026156E" w:rsidTr="00EC4F05">
        <w:tc>
          <w:tcPr>
            <w:tcW w:w="6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Апр - количество подконтрольных субъектов, в отношении </w:t>
            </w:r>
            <w:r w:rsidRPr="0026156E">
              <w:rPr>
                <w:sz w:val="24"/>
                <w:szCs w:val="24"/>
              </w:rPr>
              <w:lastRenderedPageBreak/>
              <w:t>которых были проведены проверки</w:t>
            </w:r>
          </w:p>
          <w:p w:rsidR="0026156E" w:rsidRPr="0026156E" w:rsidRDefault="0026156E" w:rsidP="0026156E">
            <w:pPr>
              <w:adjustRightInd w:val="0"/>
              <w:ind w:firstLine="0"/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lastRenderedPageBreak/>
              <w:t xml:space="preserve">Данные отдела лицензирования управления лицензирования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</w:t>
            </w:r>
            <w:r w:rsidRPr="0026156E">
              <w:rPr>
                <w:sz w:val="24"/>
                <w:szCs w:val="24"/>
              </w:rPr>
              <w:lastRenderedPageBreak/>
              <w:t>НСО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2"/>
            </w:pPr>
            <w:r w:rsidRPr="0026156E">
              <w:lastRenderedPageBreak/>
              <w:t>II. Методика расчета переменных, используемых для расчета показателя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rPr>
                <w:sz w:val="24"/>
                <w:szCs w:val="24"/>
              </w:rPr>
              <w:t>Ан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Расчету подлежит доля подконтрольных субъектов, соответствующих требованиям законодательства в сфере заготовки, хранения, переработки и реализации лома черных металлов, цветных металлов (%) при этом учитываются: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- количество подконтрольных субъектов, в отношении которых выявлены несоответствия требованиям законодательства в сфере заготовки, хранения, переработки и реализации лома черных металлов, цветных металлов либо выявлены нарушения данного законодательства;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- Количество подконтрольных субъектов, в отношении которых были проведены проверки. 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rPr>
                <w:sz w:val="24"/>
                <w:szCs w:val="24"/>
              </w:rPr>
              <w:t>Апр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Источником данных является отдел лицензирования управления лицензирования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НСО. Дополнительного расчета не требуется.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2"/>
            </w:pPr>
            <w:r w:rsidRPr="0026156E">
              <w:t>III. Состояние показателя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3"/>
            </w:pPr>
            <w:r w:rsidRPr="0026156E">
              <w:t>Описание основных обстоятельств, характеризующих базовое значение показателя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 xml:space="preserve">Базовое значение </w:t>
            </w:r>
          </w:p>
          <w:p w:rsidR="0026156E" w:rsidRPr="0026156E" w:rsidRDefault="0026156E" w:rsidP="0026156E">
            <w:pPr>
              <w:adjustRightInd w:val="0"/>
              <w:ind w:firstLine="0"/>
              <w:jc w:val="center"/>
            </w:pPr>
          </w:p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0%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widowControl/>
              <w:adjustRightInd w:val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Текущее значение показателя А.3.1. напрямую зависит от количества:</w:t>
            </w:r>
          </w:p>
          <w:p w:rsidR="0026156E" w:rsidRPr="0026156E" w:rsidRDefault="0026156E" w:rsidP="0026156E">
            <w:pPr>
              <w:widowControl/>
              <w:adjustRightInd w:val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1) плановых проверок, проведенных в соответствии с утвержденным </w:t>
            </w:r>
            <w:proofErr w:type="spellStart"/>
            <w:r w:rsidRPr="0026156E">
              <w:rPr>
                <w:sz w:val="24"/>
                <w:szCs w:val="24"/>
              </w:rPr>
              <w:t>Минпромторгом</w:t>
            </w:r>
            <w:proofErr w:type="spellEnd"/>
            <w:r w:rsidRPr="0026156E">
              <w:rPr>
                <w:sz w:val="24"/>
                <w:szCs w:val="24"/>
              </w:rPr>
              <w:t xml:space="preserve"> НСО и согласованным с прокуратурой Новосибирской области планом проверок юридических лиц, индивидуальных предпринимателей на текущий год;</w:t>
            </w:r>
          </w:p>
          <w:p w:rsidR="0026156E" w:rsidRPr="0026156E" w:rsidRDefault="0026156E" w:rsidP="0026156E">
            <w:pPr>
              <w:widowControl/>
              <w:adjustRightInd w:val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2) внеплановых проверок, проведенных в отношении лицензиатов (организаций и индивидуальных предпринимателей, имеющих лицензию на заготовку, хранение, переработку и реализацию лома черных металлов, цветных металлов на территории Новосибирской области по следующим основаниям:</w:t>
            </w:r>
          </w:p>
          <w:p w:rsidR="0026156E" w:rsidRPr="0026156E" w:rsidRDefault="0026156E" w:rsidP="0026156E">
            <w:pPr>
              <w:widowControl/>
              <w:adjustRightInd w:val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- истечение срока исполнения лицензиатом ранее выданного </w:t>
            </w:r>
            <w:proofErr w:type="spellStart"/>
            <w:r w:rsidRPr="0026156E">
              <w:rPr>
                <w:sz w:val="24"/>
                <w:szCs w:val="24"/>
              </w:rPr>
              <w:t>Минпромторгом</w:t>
            </w:r>
            <w:proofErr w:type="spellEnd"/>
            <w:r w:rsidRPr="0026156E">
              <w:rPr>
                <w:sz w:val="24"/>
                <w:szCs w:val="24"/>
              </w:rPr>
              <w:t xml:space="preserve"> НСО предписания об устранении выявленного нарушения лицензионных требований;</w:t>
            </w:r>
          </w:p>
          <w:p w:rsidR="0026156E" w:rsidRPr="0026156E" w:rsidRDefault="0026156E" w:rsidP="0026156E">
            <w:pPr>
              <w:widowControl/>
              <w:adjustRightInd w:val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- поступление в Минпромторг НСО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грубых нарушений лицензиатом лицензионных требований;</w:t>
            </w:r>
          </w:p>
          <w:p w:rsidR="0026156E" w:rsidRPr="0026156E" w:rsidRDefault="0026156E" w:rsidP="0026156E">
            <w:pPr>
              <w:widowControl/>
              <w:adjustRightInd w:val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- истечение срока, на который было приостановлено действие лицензии в соответствии с </w:t>
            </w:r>
            <w:hyperlink r:id="rId15" w:history="1">
              <w:r w:rsidRPr="0026156E">
                <w:rPr>
                  <w:sz w:val="24"/>
                  <w:szCs w:val="24"/>
                </w:rPr>
                <w:t>частями 2</w:t>
              </w:r>
            </w:hyperlink>
            <w:r w:rsidRPr="0026156E">
              <w:rPr>
                <w:sz w:val="24"/>
                <w:szCs w:val="24"/>
              </w:rPr>
              <w:t xml:space="preserve"> и </w:t>
            </w:r>
            <w:hyperlink r:id="rId16" w:history="1">
              <w:r w:rsidRPr="0026156E">
                <w:rPr>
                  <w:sz w:val="24"/>
                  <w:szCs w:val="24"/>
                </w:rPr>
                <w:t>3 статьи 20</w:t>
              </w:r>
            </w:hyperlink>
            <w:r w:rsidRPr="0026156E">
              <w:rPr>
                <w:sz w:val="24"/>
                <w:szCs w:val="24"/>
              </w:rPr>
              <w:t xml:space="preserve"> Федерального закона от 04.05.2011 № 99-ФЗ «О лицензировании отдельных видов деятельности»;</w:t>
            </w:r>
          </w:p>
          <w:p w:rsidR="0026156E" w:rsidRPr="0026156E" w:rsidRDefault="0026156E" w:rsidP="0026156E">
            <w:pPr>
              <w:widowControl/>
              <w:adjustRightInd w:val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lastRenderedPageBreak/>
              <w:t xml:space="preserve">- наличие ходатайства лицензиата о проведении </w:t>
            </w:r>
            <w:proofErr w:type="spellStart"/>
            <w:r w:rsidRPr="0026156E">
              <w:rPr>
                <w:sz w:val="24"/>
                <w:szCs w:val="24"/>
              </w:rPr>
              <w:t>Минпромторгом</w:t>
            </w:r>
            <w:proofErr w:type="spellEnd"/>
            <w:r w:rsidRPr="0026156E">
              <w:rPr>
                <w:sz w:val="24"/>
                <w:szCs w:val="24"/>
              </w:rPr>
              <w:t xml:space="preserve"> НСО внеплановой выездной проверки в целях установления факта досрочного исполнения предписания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НСО;</w:t>
            </w:r>
          </w:p>
          <w:p w:rsidR="0026156E" w:rsidRPr="0026156E" w:rsidRDefault="0026156E" w:rsidP="0026156E">
            <w:pPr>
              <w:widowControl/>
              <w:adjustRightInd w:val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- наличие приказа (распоряжения), изданного лицензирующим органом в соответствии с поручением Президента Российской Федерации или Правительства Российской Федерации.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3"/>
            </w:pPr>
            <w:r w:rsidRPr="0026156E">
              <w:lastRenderedPageBreak/>
              <w:t>Описание стратегической цели показателя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t>Наименование цели и ее описание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b/>
                <w:u w:val="single"/>
              </w:rPr>
            </w:pPr>
            <w:r w:rsidRPr="0026156E">
              <w:rPr>
                <w:b/>
                <w:u w:val="single"/>
              </w:rPr>
              <w:t>Наименование цели:</w:t>
            </w:r>
          </w:p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rPr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b/>
                <w:u w:val="single"/>
              </w:rPr>
            </w:pPr>
            <w:r w:rsidRPr="0026156E">
              <w:rPr>
                <w:b/>
                <w:u w:val="single"/>
              </w:rPr>
              <w:t>Описание цели: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Снижение количества подконтрольных субъектов, в отношении которых выявлены несоответствия требованиям законодательства в сфере заготовки, хранения, переработки и реализации лома черных металлов, цветных металлов через проведение контрольных, профилактических мероприятий и систематического наблюдения за исполнением обязательных требований и условий.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Предотвращение ущерба правам, законным интересам граждан и организаций, возможность нанесения которого связана с осуществлением подконтрольными субъектами деятельности в сфере заготовки, хранения, переработки и реализации лома черных металлов, цветных металлов либо выявлены нарушения данного законодательства;</w:t>
            </w:r>
          </w:p>
          <w:p w:rsidR="0026156E" w:rsidRPr="0026156E" w:rsidRDefault="0026156E" w:rsidP="0026156E">
            <w:pPr>
              <w:adjustRightInd w:val="0"/>
              <w:ind w:firstLine="0"/>
            </w:pP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3"/>
            </w:pPr>
            <w:r w:rsidRPr="0026156E">
              <w:t>Описание целевых значений показателя по годам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годы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2019 г.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2020 г.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2021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2022 г.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2023 г.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Базовое значение (значение)</w:t>
            </w:r>
          </w:p>
          <w:p w:rsidR="0026156E" w:rsidRPr="0026156E" w:rsidRDefault="0026156E" w:rsidP="0026156E">
            <w:pPr>
              <w:adjustRightInd w:val="0"/>
              <w:ind w:firstLine="0"/>
              <w:jc w:val="center"/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  <w:r w:rsidRPr="0026156E">
              <w:t>50%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</w:pP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3"/>
            </w:pPr>
          </w:p>
          <w:p w:rsidR="0026156E" w:rsidRPr="0026156E" w:rsidRDefault="0026156E" w:rsidP="0026156E">
            <w:pPr>
              <w:adjustRightInd w:val="0"/>
              <w:ind w:firstLine="0"/>
              <w:jc w:val="center"/>
              <w:outlineLvl w:val="3"/>
            </w:pPr>
          </w:p>
          <w:p w:rsidR="0026156E" w:rsidRPr="0026156E" w:rsidRDefault="0026156E" w:rsidP="0026156E">
            <w:pPr>
              <w:adjustRightInd w:val="0"/>
              <w:ind w:firstLine="0"/>
              <w:jc w:val="center"/>
              <w:outlineLvl w:val="3"/>
            </w:pPr>
            <w:r w:rsidRPr="0026156E">
              <w:lastRenderedPageBreak/>
              <w:t>Описание задач по достижению целевых значений показателя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lastRenderedPageBreak/>
              <w:t>Проводить разъяснительную работу с подконтрольными субъектами о необходимости неукоснительного соблюдения лицензионных и обязательных требований, установленных в Федеральном законе от 04.05.2011 № 99-ФЗ «О лицензировании отдельных видов деятельности», в постановлении Правительства РФ от 11.05.2001 № 370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«Об утверждении Правил обращения с ломом и отходами цветных металлов и их отчуждения» и иных нормативных правовых актах, регулирующих вопросы заготовки, хранения, переработки и реализации лома черных металлов, цветных металлов, в частности путем: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- проведения публичных обсуждений результатов правоприменительной практики органа государственного контроля (надзора), руководств по соблюдению обязательных требований;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- проведения семинаров;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- личных приемов;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- размещения информационных сообщений о нововведениях в законодательстве в области заготовки, хранения, переработки и реализации лома черных металлов, цветных металлов на сайте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НСО в сети «Интернет».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 </w:t>
            </w:r>
            <w:hyperlink r:id="rId17" w:tooltip="Федеральный закон от 26.12.2008 N 294-ФЗ (ред. от 02.08.2019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      <w:r w:rsidRPr="0026156E">
                <w:rPr>
                  <w:sz w:val="24"/>
                  <w:szCs w:val="24"/>
                </w:rPr>
                <w:t>частями 5</w:t>
              </w:r>
            </w:hyperlink>
            <w:r w:rsidRPr="0026156E">
              <w:rPr>
                <w:sz w:val="24"/>
                <w:szCs w:val="24"/>
              </w:rPr>
              <w:t xml:space="preserve"> - </w:t>
            </w:r>
            <w:hyperlink r:id="rId18" w:tooltip="Федеральный закон от 26.12.2008 N 294-ФЗ (ред. от 02.08.2019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      <w:r w:rsidRPr="0026156E">
                <w:rPr>
                  <w:sz w:val="24"/>
                  <w:szCs w:val="24"/>
                </w:rPr>
                <w:t>7 статьи 8.2</w:t>
              </w:r>
            </w:hyperlink>
            <w:r w:rsidRPr="0026156E">
              <w:rPr>
                <w:sz w:val="24"/>
                <w:szCs w:val="24"/>
              </w:rPr>
      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порядке, установленном </w:t>
            </w:r>
            <w:hyperlink r:id="rId19" w:tooltip="Постановление Правительства РФ от 10.02.2017 N 166 (ред. от 21.03.2019) &quot;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&quot;{КонсультантПлюс}" w:history="1">
              <w:r w:rsidRPr="0026156E">
                <w:rPr>
                  <w:sz w:val="24"/>
                  <w:szCs w:val="24"/>
                </w:rPr>
                <w:t>постановлением</w:t>
              </w:r>
            </w:hyperlink>
            <w:r w:rsidRPr="0026156E">
              <w:rPr>
                <w:sz w:val="24"/>
                <w:szCs w:val="24"/>
              </w:rPr>
              <w:t xml:space="preserve">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3"/>
            </w:pPr>
            <w:r w:rsidRPr="0026156E">
              <w:t xml:space="preserve">Описание рисков </w:t>
            </w:r>
            <w:proofErr w:type="spellStart"/>
            <w:r w:rsidRPr="0026156E">
              <w:t>недостижения</w:t>
            </w:r>
            <w:proofErr w:type="spellEnd"/>
            <w:r w:rsidRPr="0026156E">
              <w:t xml:space="preserve"> целевых значений показателя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Контрольно-надзорная деятельность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НСО направлена на предупреждение, выявление и пресечение нарушений обязательных требований со стороны организаций и индивидуальных предпринимателей, имеющих лицензию на заготовку, хранение, переработку и реализацию лома черных металлов, цветных металлов на территории Новосибирской области, а также устранение выявленных нарушений обязательных требований, а также причин и условий, им способствовавших.</w:t>
            </w:r>
          </w:p>
          <w:p w:rsidR="0026156E" w:rsidRPr="0026156E" w:rsidRDefault="0026156E" w:rsidP="0026156E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Значение показателя должно стремиться к своему максимальному значению, что будет свидетельствовать о высоком уровне результативности лицензионного контроля за заготовкой, хранением, переработкой и реализацией лома черных металлов, цветных металлов на территории Новосибирской области.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Основными рисками </w:t>
            </w:r>
            <w:proofErr w:type="spellStart"/>
            <w:r w:rsidRPr="0026156E">
              <w:rPr>
                <w:sz w:val="24"/>
                <w:szCs w:val="24"/>
              </w:rPr>
              <w:t>недостижения</w:t>
            </w:r>
            <w:proofErr w:type="spellEnd"/>
            <w:r w:rsidRPr="0026156E">
              <w:rPr>
                <w:sz w:val="24"/>
                <w:szCs w:val="24"/>
              </w:rPr>
              <w:t xml:space="preserve"> целевых значений показателя являются: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- неисполнение организациями и индивидуальными предпринимателями обязательных требований при осуществлении деятельности по заготовке, хранению, переработке и реализации лома черных металлов, цветных металлов;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- отсутствие со стороны подконтрольных субъектов социально ответственного поведения в части постоянного соблюдения обязательных требований законодательства при осуществлении деятельности по заготовке, хранению, переработке и реализации лома черных металлов, </w:t>
            </w:r>
            <w:r w:rsidRPr="0026156E">
              <w:rPr>
                <w:sz w:val="24"/>
                <w:szCs w:val="24"/>
              </w:rPr>
              <w:lastRenderedPageBreak/>
              <w:t>цветных металлов.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Меры, способствующие минимизации рисков:</w:t>
            </w:r>
          </w:p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rPr>
                <w:sz w:val="24"/>
                <w:szCs w:val="24"/>
              </w:rPr>
              <w:t>- проведение разъяснительной работы среди организаций и индивидуальных предпринимателей о необходимости неукоснительного соблюдения лицензионных и обязательных требований при осуществлении деятельности по заготовке, хранению, переработке и реализации лома черных металлов, цветных металлов, а также о степени ответственности при их нарушении.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2"/>
            </w:pPr>
            <w:r w:rsidRPr="0026156E">
              <w:lastRenderedPageBreak/>
              <w:t>IV. Методика сбора и управления данными</w:t>
            </w:r>
          </w:p>
        </w:tc>
      </w:tr>
      <w:tr w:rsidR="0026156E" w:rsidRPr="0026156E" w:rsidTr="00EC4F05">
        <w:tc>
          <w:tcPr>
            <w:tcW w:w="14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jc w:val="center"/>
              <w:outlineLvl w:val="3"/>
            </w:pPr>
            <w:r w:rsidRPr="0026156E">
              <w:t>Методы сбора и управления статистическими и иными данными, необходимыми для расчета показателя, включая механизмы и сроки их совершенствования/опубликования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t>Наименование необходимых данных для расчета переменных (первичный учет)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1) количество проведенных плановых проверок;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2) количество проведенных внеплановых  проверок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t>Источники исходных данных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1) форма № 1- лицензирование «Сведения об осуществлении лицензирования»;</w:t>
            </w:r>
          </w:p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rPr>
                <w:sz w:val="24"/>
                <w:szCs w:val="24"/>
              </w:rPr>
              <w:t>2) ФГИС «Единый реестр проверок».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t>Характеристики, отражающие специфику сбора данных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Исходные данные, необходимые для расчета показателя А.1., формируются и находятся в непосредственном распоряжении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НСО.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t>Ограничения данных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Рисков ограничения данных не выявлено.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lastRenderedPageBreak/>
              <w:t>Процедуры обеспечения качества данных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Статистические данные предоставляются отделом лицензирования управления лицензирования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НСО. </w:t>
            </w:r>
          </w:p>
          <w:p w:rsidR="0026156E" w:rsidRPr="0026156E" w:rsidRDefault="0026156E" w:rsidP="0026156E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Качество данных обеспечивается путем внутреннего контроля за соответствием данных.</w:t>
            </w:r>
          </w:p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t>Надзор за данными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Сведения о проведенных плановых проверках предоставляются в органы прокуратуры в форме актов сверки (за полугодие, за год), в также вносятся в ФГИС «Единый реестр проверок», ГАС «Управление», в </w:t>
            </w:r>
            <w:proofErr w:type="spellStart"/>
            <w:r w:rsidRPr="0026156E">
              <w:rPr>
                <w:sz w:val="24"/>
                <w:szCs w:val="24"/>
              </w:rPr>
              <w:t>т.ч</w:t>
            </w:r>
            <w:proofErr w:type="spellEnd"/>
            <w:r w:rsidRPr="0026156E">
              <w:rPr>
                <w:sz w:val="24"/>
                <w:szCs w:val="24"/>
              </w:rPr>
              <w:t>. для обеспечения открытости данных о результатах контрольных мероприятиях.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t>Сроки представления окончательных результатов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 xml:space="preserve">Статистическая отчетность по форме № 1-лицензирования формируется и размещается </w:t>
            </w:r>
            <w:proofErr w:type="gramStart"/>
            <w:r w:rsidRPr="0026156E">
              <w:rPr>
                <w:sz w:val="24"/>
                <w:szCs w:val="24"/>
              </w:rPr>
              <w:t>в ГАС</w:t>
            </w:r>
            <w:proofErr w:type="gramEnd"/>
            <w:r w:rsidRPr="0026156E">
              <w:rPr>
                <w:sz w:val="24"/>
                <w:szCs w:val="24"/>
              </w:rPr>
              <w:t xml:space="preserve"> «Управление» за 1 полугодие, за год - до 15 числа после отчетного периода. Следовательно, результат окончательного расчета показателя А.1. за отчетный период (год) формируется одновременно с годовой отчетностью </w:t>
            </w:r>
            <w:proofErr w:type="spellStart"/>
            <w:r w:rsidRPr="0026156E">
              <w:rPr>
                <w:sz w:val="24"/>
                <w:szCs w:val="24"/>
              </w:rPr>
              <w:t>Минпромторга</w:t>
            </w:r>
            <w:proofErr w:type="spellEnd"/>
            <w:r w:rsidRPr="0026156E">
              <w:rPr>
                <w:sz w:val="24"/>
                <w:szCs w:val="24"/>
              </w:rPr>
              <w:t xml:space="preserve"> НСО.</w:t>
            </w:r>
          </w:p>
        </w:tc>
      </w:tr>
      <w:tr w:rsidR="0026156E" w:rsidRPr="0026156E" w:rsidTr="00EC4F05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</w:pPr>
            <w:r w:rsidRPr="0026156E">
              <w:t>Механизм внешнего аудита данных</w:t>
            </w:r>
          </w:p>
        </w:tc>
        <w:tc>
          <w:tcPr>
            <w:tcW w:w="12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E" w:rsidRPr="0026156E" w:rsidRDefault="0026156E" w:rsidP="0026156E">
            <w:pPr>
              <w:adjustRightInd w:val="0"/>
              <w:ind w:firstLine="0"/>
              <w:rPr>
                <w:sz w:val="24"/>
                <w:szCs w:val="24"/>
              </w:rPr>
            </w:pPr>
            <w:r w:rsidRPr="0026156E">
              <w:rPr>
                <w:sz w:val="24"/>
                <w:szCs w:val="24"/>
              </w:rPr>
              <w:t>Внешний аудит данных может быть проведен посредством использования данных из ФГИС «Единый реестр проверок», ГАС «Управление».</w:t>
            </w:r>
          </w:p>
        </w:tc>
      </w:tr>
    </w:tbl>
    <w:p w:rsidR="0026156E" w:rsidRPr="0026156E" w:rsidRDefault="0026156E" w:rsidP="0026156E">
      <w:pPr>
        <w:adjustRightInd w:val="0"/>
        <w:ind w:firstLine="0"/>
        <w:jc w:val="left"/>
      </w:pPr>
    </w:p>
    <w:p w:rsidR="0026156E" w:rsidRPr="0026156E" w:rsidRDefault="0026156E" w:rsidP="0026156E">
      <w:pPr>
        <w:widowControl/>
        <w:ind w:firstLine="0"/>
        <w:jc w:val="left"/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p w:rsidR="0026156E" w:rsidRDefault="0026156E" w:rsidP="00235453">
      <w:pPr>
        <w:ind w:left="10915"/>
        <w:jc w:val="center"/>
        <w:rPr>
          <w:sz w:val="26"/>
          <w:szCs w:val="26"/>
        </w:rPr>
      </w:pPr>
    </w:p>
    <w:sectPr w:rsidR="0026156E" w:rsidSect="00970195">
      <w:pgSz w:w="16840" w:h="11907" w:orient="landscape"/>
      <w:pgMar w:top="1418" w:right="567" w:bottom="567" w:left="1134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38" w:rsidRDefault="00EC2C38">
      <w:r>
        <w:separator/>
      </w:r>
    </w:p>
  </w:endnote>
  <w:endnote w:type="continuationSeparator" w:id="0">
    <w:p w:rsidR="00EC2C38" w:rsidRDefault="00E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D8" w:rsidRPr="00FE3718" w:rsidRDefault="00EE0AD8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38" w:rsidRDefault="00EC2C38">
      <w:r>
        <w:separator/>
      </w:r>
    </w:p>
  </w:footnote>
  <w:footnote w:type="continuationSeparator" w:id="0">
    <w:p w:rsidR="00EC2C38" w:rsidRDefault="00E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70" w:rsidRPr="00B84070" w:rsidRDefault="00B84070" w:rsidP="00B84070">
    <w:pPr>
      <w:pStyle w:val="a6"/>
      <w:jc w:val="center"/>
    </w:pPr>
    <w:r w:rsidRPr="00B84070">
      <w:fldChar w:fldCharType="begin"/>
    </w:r>
    <w:r w:rsidRPr="00B84070">
      <w:instrText>PAGE   \* MERGEFORMAT</w:instrText>
    </w:r>
    <w:r w:rsidRPr="00B84070">
      <w:fldChar w:fldCharType="separate"/>
    </w:r>
    <w:r w:rsidR="0026156E">
      <w:rPr>
        <w:noProof/>
      </w:rPr>
      <w:t>2</w:t>
    </w:r>
    <w:r w:rsidRPr="00B84070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70" w:rsidRDefault="00B84070">
    <w:pPr>
      <w:pStyle w:val="a6"/>
      <w:jc w:val="center"/>
    </w:pPr>
  </w:p>
  <w:p w:rsidR="00B84070" w:rsidRDefault="00B840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4552683"/>
    <w:multiLevelType w:val="hybridMultilevel"/>
    <w:tmpl w:val="A8960982"/>
    <w:lvl w:ilvl="0" w:tplc="ACC20F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76B13D7"/>
    <w:multiLevelType w:val="hybridMultilevel"/>
    <w:tmpl w:val="375C53BC"/>
    <w:lvl w:ilvl="0" w:tplc="AED82A5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C354BCA"/>
    <w:multiLevelType w:val="hybridMultilevel"/>
    <w:tmpl w:val="76D8A2EE"/>
    <w:lvl w:ilvl="0" w:tplc="221CDC5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F982895"/>
    <w:multiLevelType w:val="hybridMultilevel"/>
    <w:tmpl w:val="AEDA4ED0"/>
    <w:lvl w:ilvl="0" w:tplc="D7765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2625F3F"/>
    <w:multiLevelType w:val="hybridMultilevel"/>
    <w:tmpl w:val="6CA6B75E"/>
    <w:lvl w:ilvl="0" w:tplc="5F4698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5841964"/>
    <w:multiLevelType w:val="hybridMultilevel"/>
    <w:tmpl w:val="2E78187E"/>
    <w:lvl w:ilvl="0" w:tplc="5AC6E5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3DF3"/>
    <w:rsid w:val="00003E7D"/>
    <w:rsid w:val="00005402"/>
    <w:rsid w:val="00005A18"/>
    <w:rsid w:val="00012D22"/>
    <w:rsid w:val="00024483"/>
    <w:rsid w:val="0003578E"/>
    <w:rsid w:val="00035EB1"/>
    <w:rsid w:val="00036773"/>
    <w:rsid w:val="0004435A"/>
    <w:rsid w:val="000479D0"/>
    <w:rsid w:val="00062110"/>
    <w:rsid w:val="00070F8A"/>
    <w:rsid w:val="00074602"/>
    <w:rsid w:val="00076A60"/>
    <w:rsid w:val="00076DFE"/>
    <w:rsid w:val="00081CCF"/>
    <w:rsid w:val="0008551C"/>
    <w:rsid w:val="0008641E"/>
    <w:rsid w:val="00092031"/>
    <w:rsid w:val="0009604D"/>
    <w:rsid w:val="000A3700"/>
    <w:rsid w:val="000A714A"/>
    <w:rsid w:val="000B0CD8"/>
    <w:rsid w:val="000B21DD"/>
    <w:rsid w:val="000B26AF"/>
    <w:rsid w:val="000C314D"/>
    <w:rsid w:val="000C672D"/>
    <w:rsid w:val="000D5F24"/>
    <w:rsid w:val="000D6C4F"/>
    <w:rsid w:val="000E01E5"/>
    <w:rsid w:val="000E4EE9"/>
    <w:rsid w:val="000F4615"/>
    <w:rsid w:val="00100751"/>
    <w:rsid w:val="00102594"/>
    <w:rsid w:val="00105E34"/>
    <w:rsid w:val="00107058"/>
    <w:rsid w:val="001109A1"/>
    <w:rsid w:val="00112B3C"/>
    <w:rsid w:val="00112EAF"/>
    <w:rsid w:val="0012097D"/>
    <w:rsid w:val="0012154F"/>
    <w:rsid w:val="00122E38"/>
    <w:rsid w:val="0012365B"/>
    <w:rsid w:val="001312FF"/>
    <w:rsid w:val="00132FB8"/>
    <w:rsid w:val="00133D46"/>
    <w:rsid w:val="00146911"/>
    <w:rsid w:val="00151489"/>
    <w:rsid w:val="00151E6E"/>
    <w:rsid w:val="001525B1"/>
    <w:rsid w:val="00152A86"/>
    <w:rsid w:val="00154E9D"/>
    <w:rsid w:val="0016057D"/>
    <w:rsid w:val="0016341E"/>
    <w:rsid w:val="00164C94"/>
    <w:rsid w:val="00170FB3"/>
    <w:rsid w:val="001746BB"/>
    <w:rsid w:val="0018047D"/>
    <w:rsid w:val="00184183"/>
    <w:rsid w:val="00186201"/>
    <w:rsid w:val="0018623D"/>
    <w:rsid w:val="00187B06"/>
    <w:rsid w:val="00191249"/>
    <w:rsid w:val="001934BE"/>
    <w:rsid w:val="001A0F31"/>
    <w:rsid w:val="001A3C6D"/>
    <w:rsid w:val="001A787A"/>
    <w:rsid w:val="001B787E"/>
    <w:rsid w:val="001B7AE8"/>
    <w:rsid w:val="001C18C5"/>
    <w:rsid w:val="001C3CAC"/>
    <w:rsid w:val="001D19F9"/>
    <w:rsid w:val="001D1D6E"/>
    <w:rsid w:val="001D4920"/>
    <w:rsid w:val="001D5ECD"/>
    <w:rsid w:val="001D78A9"/>
    <w:rsid w:val="001E302E"/>
    <w:rsid w:val="001E471A"/>
    <w:rsid w:val="001F4817"/>
    <w:rsid w:val="002038AB"/>
    <w:rsid w:val="00205637"/>
    <w:rsid w:val="00212011"/>
    <w:rsid w:val="002144B5"/>
    <w:rsid w:val="00215DEF"/>
    <w:rsid w:val="00217A8A"/>
    <w:rsid w:val="00220F22"/>
    <w:rsid w:val="00225A92"/>
    <w:rsid w:val="0023345C"/>
    <w:rsid w:val="00235453"/>
    <w:rsid w:val="00240DEB"/>
    <w:rsid w:val="002429E0"/>
    <w:rsid w:val="0025132E"/>
    <w:rsid w:val="00256739"/>
    <w:rsid w:val="0026156E"/>
    <w:rsid w:val="002825E7"/>
    <w:rsid w:val="002842E6"/>
    <w:rsid w:val="002854C4"/>
    <w:rsid w:val="00294E37"/>
    <w:rsid w:val="00297C82"/>
    <w:rsid w:val="002A2210"/>
    <w:rsid w:val="002A3A35"/>
    <w:rsid w:val="002A5D4B"/>
    <w:rsid w:val="002A7D50"/>
    <w:rsid w:val="002B39B3"/>
    <w:rsid w:val="002B4A56"/>
    <w:rsid w:val="002B7E85"/>
    <w:rsid w:val="002C0D49"/>
    <w:rsid w:val="002C42B6"/>
    <w:rsid w:val="002C4317"/>
    <w:rsid w:val="002C57B5"/>
    <w:rsid w:val="002D13B2"/>
    <w:rsid w:val="002D2B9B"/>
    <w:rsid w:val="002D3A5C"/>
    <w:rsid w:val="002D4669"/>
    <w:rsid w:val="002E1C3E"/>
    <w:rsid w:val="002F0FE2"/>
    <w:rsid w:val="002F17AE"/>
    <w:rsid w:val="002F5A6E"/>
    <w:rsid w:val="00300B66"/>
    <w:rsid w:val="00312441"/>
    <w:rsid w:val="003146C8"/>
    <w:rsid w:val="003258AA"/>
    <w:rsid w:val="00330179"/>
    <w:rsid w:val="003461A8"/>
    <w:rsid w:val="00351B04"/>
    <w:rsid w:val="003555C8"/>
    <w:rsid w:val="00360579"/>
    <w:rsid w:val="00360BF0"/>
    <w:rsid w:val="003662A6"/>
    <w:rsid w:val="00367EAA"/>
    <w:rsid w:val="00370E9C"/>
    <w:rsid w:val="00372A34"/>
    <w:rsid w:val="00383482"/>
    <w:rsid w:val="00385B2D"/>
    <w:rsid w:val="003916FF"/>
    <w:rsid w:val="003A3A07"/>
    <w:rsid w:val="003A4C17"/>
    <w:rsid w:val="003B1C99"/>
    <w:rsid w:val="003B27D7"/>
    <w:rsid w:val="003C048C"/>
    <w:rsid w:val="003C0BFB"/>
    <w:rsid w:val="003C2E13"/>
    <w:rsid w:val="003C4E58"/>
    <w:rsid w:val="003D25A1"/>
    <w:rsid w:val="003D2AB7"/>
    <w:rsid w:val="003D3E6F"/>
    <w:rsid w:val="003E2ED0"/>
    <w:rsid w:val="003E4DF2"/>
    <w:rsid w:val="003F2279"/>
    <w:rsid w:val="003F2ABC"/>
    <w:rsid w:val="003F36E0"/>
    <w:rsid w:val="00403243"/>
    <w:rsid w:val="0040709B"/>
    <w:rsid w:val="00407D96"/>
    <w:rsid w:val="004126CC"/>
    <w:rsid w:val="0041399F"/>
    <w:rsid w:val="00413F13"/>
    <w:rsid w:val="004142FE"/>
    <w:rsid w:val="004217D4"/>
    <w:rsid w:val="004253D8"/>
    <w:rsid w:val="00426520"/>
    <w:rsid w:val="00426E4E"/>
    <w:rsid w:val="00427F6F"/>
    <w:rsid w:val="00430C26"/>
    <w:rsid w:val="004328B1"/>
    <w:rsid w:val="00434D59"/>
    <w:rsid w:val="00435A41"/>
    <w:rsid w:val="00436322"/>
    <w:rsid w:val="004368AA"/>
    <w:rsid w:val="0044128D"/>
    <w:rsid w:val="00443153"/>
    <w:rsid w:val="00444370"/>
    <w:rsid w:val="00445405"/>
    <w:rsid w:val="004476DA"/>
    <w:rsid w:val="00447D9D"/>
    <w:rsid w:val="00456471"/>
    <w:rsid w:val="0046047A"/>
    <w:rsid w:val="0046136F"/>
    <w:rsid w:val="00471B0A"/>
    <w:rsid w:val="00474121"/>
    <w:rsid w:val="00474AC0"/>
    <w:rsid w:val="00474C2F"/>
    <w:rsid w:val="00484C64"/>
    <w:rsid w:val="00492A58"/>
    <w:rsid w:val="00495E4B"/>
    <w:rsid w:val="00496E8E"/>
    <w:rsid w:val="004A0E08"/>
    <w:rsid w:val="004A1DBB"/>
    <w:rsid w:val="004A5D3F"/>
    <w:rsid w:val="004A5DEA"/>
    <w:rsid w:val="004A7CF6"/>
    <w:rsid w:val="004B0880"/>
    <w:rsid w:val="004C2A3F"/>
    <w:rsid w:val="004C6776"/>
    <w:rsid w:val="004D0C17"/>
    <w:rsid w:val="004D0C9B"/>
    <w:rsid w:val="004D1E2C"/>
    <w:rsid w:val="004D260F"/>
    <w:rsid w:val="004D65BE"/>
    <w:rsid w:val="004F01AC"/>
    <w:rsid w:val="00517217"/>
    <w:rsid w:val="00523CB7"/>
    <w:rsid w:val="00524548"/>
    <w:rsid w:val="00526703"/>
    <w:rsid w:val="00526AD2"/>
    <w:rsid w:val="00534159"/>
    <w:rsid w:val="00546B67"/>
    <w:rsid w:val="00562DF3"/>
    <w:rsid w:val="0057005B"/>
    <w:rsid w:val="00573439"/>
    <w:rsid w:val="005802D7"/>
    <w:rsid w:val="00582783"/>
    <w:rsid w:val="005833D8"/>
    <w:rsid w:val="00591FAE"/>
    <w:rsid w:val="00592CBF"/>
    <w:rsid w:val="005968EE"/>
    <w:rsid w:val="005A07A3"/>
    <w:rsid w:val="005A39FE"/>
    <w:rsid w:val="005A4DED"/>
    <w:rsid w:val="005B465D"/>
    <w:rsid w:val="005B56F6"/>
    <w:rsid w:val="005C01E4"/>
    <w:rsid w:val="005C1097"/>
    <w:rsid w:val="005C1A8B"/>
    <w:rsid w:val="005E50F9"/>
    <w:rsid w:val="005F55C4"/>
    <w:rsid w:val="00604987"/>
    <w:rsid w:val="00606D49"/>
    <w:rsid w:val="0061414C"/>
    <w:rsid w:val="00614600"/>
    <w:rsid w:val="0061582A"/>
    <w:rsid w:val="00621546"/>
    <w:rsid w:val="006403C6"/>
    <w:rsid w:val="00640565"/>
    <w:rsid w:val="00662806"/>
    <w:rsid w:val="0066720B"/>
    <w:rsid w:val="00671464"/>
    <w:rsid w:val="006812D5"/>
    <w:rsid w:val="00685CEE"/>
    <w:rsid w:val="00687C1E"/>
    <w:rsid w:val="00697561"/>
    <w:rsid w:val="00697BC7"/>
    <w:rsid w:val="006A316C"/>
    <w:rsid w:val="006B0C1B"/>
    <w:rsid w:val="006B1FBC"/>
    <w:rsid w:val="006B273C"/>
    <w:rsid w:val="006B3A1E"/>
    <w:rsid w:val="006B4EAB"/>
    <w:rsid w:val="006B57A6"/>
    <w:rsid w:val="006C3ED8"/>
    <w:rsid w:val="006C73F1"/>
    <w:rsid w:val="006E1B7C"/>
    <w:rsid w:val="006E1FED"/>
    <w:rsid w:val="006E5883"/>
    <w:rsid w:val="006F444C"/>
    <w:rsid w:val="006F5A21"/>
    <w:rsid w:val="006F67C7"/>
    <w:rsid w:val="006F728E"/>
    <w:rsid w:val="0070496F"/>
    <w:rsid w:val="00705C70"/>
    <w:rsid w:val="0070621C"/>
    <w:rsid w:val="00710E9F"/>
    <w:rsid w:val="00713479"/>
    <w:rsid w:val="007176AD"/>
    <w:rsid w:val="0072166B"/>
    <w:rsid w:val="007246C5"/>
    <w:rsid w:val="007249FA"/>
    <w:rsid w:val="00731D33"/>
    <w:rsid w:val="00737550"/>
    <w:rsid w:val="00740BB8"/>
    <w:rsid w:val="00743876"/>
    <w:rsid w:val="007439AF"/>
    <w:rsid w:val="007545BE"/>
    <w:rsid w:val="00756197"/>
    <w:rsid w:val="00760FCC"/>
    <w:rsid w:val="007622EE"/>
    <w:rsid w:val="007631B2"/>
    <w:rsid w:val="0076679E"/>
    <w:rsid w:val="00772489"/>
    <w:rsid w:val="00774F9C"/>
    <w:rsid w:val="007824FF"/>
    <w:rsid w:val="00787140"/>
    <w:rsid w:val="00787AC9"/>
    <w:rsid w:val="00787CFB"/>
    <w:rsid w:val="007A55C7"/>
    <w:rsid w:val="007A7DBD"/>
    <w:rsid w:val="007B5956"/>
    <w:rsid w:val="007B60ED"/>
    <w:rsid w:val="007C390D"/>
    <w:rsid w:val="007C4362"/>
    <w:rsid w:val="007C4B66"/>
    <w:rsid w:val="007D3513"/>
    <w:rsid w:val="007E2166"/>
    <w:rsid w:val="007F3B9C"/>
    <w:rsid w:val="00801B8C"/>
    <w:rsid w:val="00801B9D"/>
    <w:rsid w:val="008060E7"/>
    <w:rsid w:val="00815291"/>
    <w:rsid w:val="00833F32"/>
    <w:rsid w:val="008367D2"/>
    <w:rsid w:val="00837373"/>
    <w:rsid w:val="00837BE6"/>
    <w:rsid w:val="00837F40"/>
    <w:rsid w:val="0084119F"/>
    <w:rsid w:val="00851314"/>
    <w:rsid w:val="00855C8A"/>
    <w:rsid w:val="00861025"/>
    <w:rsid w:val="008770B3"/>
    <w:rsid w:val="00887594"/>
    <w:rsid w:val="00890F3F"/>
    <w:rsid w:val="008921E0"/>
    <w:rsid w:val="008A2DEF"/>
    <w:rsid w:val="008B048A"/>
    <w:rsid w:val="008B4569"/>
    <w:rsid w:val="008C2678"/>
    <w:rsid w:val="008D4B69"/>
    <w:rsid w:val="008E3053"/>
    <w:rsid w:val="008F2179"/>
    <w:rsid w:val="008F4ABB"/>
    <w:rsid w:val="008F57B3"/>
    <w:rsid w:val="00905646"/>
    <w:rsid w:val="009060A7"/>
    <w:rsid w:val="00907F1E"/>
    <w:rsid w:val="00916049"/>
    <w:rsid w:val="009161EF"/>
    <w:rsid w:val="0092690A"/>
    <w:rsid w:val="0093088B"/>
    <w:rsid w:val="009311BC"/>
    <w:rsid w:val="00935756"/>
    <w:rsid w:val="009424E0"/>
    <w:rsid w:val="009452D1"/>
    <w:rsid w:val="0095070B"/>
    <w:rsid w:val="00951B07"/>
    <w:rsid w:val="00952A6D"/>
    <w:rsid w:val="00956524"/>
    <w:rsid w:val="00960B05"/>
    <w:rsid w:val="00960EEE"/>
    <w:rsid w:val="009662A8"/>
    <w:rsid w:val="00966AA1"/>
    <w:rsid w:val="00970195"/>
    <w:rsid w:val="00971457"/>
    <w:rsid w:val="00976780"/>
    <w:rsid w:val="00994DE7"/>
    <w:rsid w:val="00995E37"/>
    <w:rsid w:val="009B4E38"/>
    <w:rsid w:val="009B5D10"/>
    <w:rsid w:val="009C3A23"/>
    <w:rsid w:val="009C3ADF"/>
    <w:rsid w:val="009C50FD"/>
    <w:rsid w:val="009C5466"/>
    <w:rsid w:val="009C5672"/>
    <w:rsid w:val="009D1757"/>
    <w:rsid w:val="009D2387"/>
    <w:rsid w:val="009D5CF8"/>
    <w:rsid w:val="009D6FE6"/>
    <w:rsid w:val="009D7E31"/>
    <w:rsid w:val="009E7DC0"/>
    <w:rsid w:val="009F4191"/>
    <w:rsid w:val="00A027F8"/>
    <w:rsid w:val="00A03E37"/>
    <w:rsid w:val="00A059BF"/>
    <w:rsid w:val="00A21E6E"/>
    <w:rsid w:val="00A22FAA"/>
    <w:rsid w:val="00A30C4B"/>
    <w:rsid w:val="00A324EB"/>
    <w:rsid w:val="00A34EF4"/>
    <w:rsid w:val="00A357EA"/>
    <w:rsid w:val="00A40116"/>
    <w:rsid w:val="00A40925"/>
    <w:rsid w:val="00A43DAE"/>
    <w:rsid w:val="00A55AAC"/>
    <w:rsid w:val="00A5655A"/>
    <w:rsid w:val="00A62D74"/>
    <w:rsid w:val="00A6522C"/>
    <w:rsid w:val="00A72363"/>
    <w:rsid w:val="00A76495"/>
    <w:rsid w:val="00A82E18"/>
    <w:rsid w:val="00A85AF1"/>
    <w:rsid w:val="00A91527"/>
    <w:rsid w:val="00A91C2F"/>
    <w:rsid w:val="00A91E1D"/>
    <w:rsid w:val="00A94005"/>
    <w:rsid w:val="00AA158A"/>
    <w:rsid w:val="00AA40F1"/>
    <w:rsid w:val="00AA7FA0"/>
    <w:rsid w:val="00AB2D39"/>
    <w:rsid w:val="00AB60C5"/>
    <w:rsid w:val="00AC25F1"/>
    <w:rsid w:val="00AC43E7"/>
    <w:rsid w:val="00AC563E"/>
    <w:rsid w:val="00AD2B36"/>
    <w:rsid w:val="00AE1013"/>
    <w:rsid w:val="00AF0483"/>
    <w:rsid w:val="00AF66A2"/>
    <w:rsid w:val="00B042D1"/>
    <w:rsid w:val="00B1142E"/>
    <w:rsid w:val="00B1302B"/>
    <w:rsid w:val="00B13B7F"/>
    <w:rsid w:val="00B15776"/>
    <w:rsid w:val="00B16EFF"/>
    <w:rsid w:val="00B20156"/>
    <w:rsid w:val="00B2412A"/>
    <w:rsid w:val="00B2421A"/>
    <w:rsid w:val="00B42A74"/>
    <w:rsid w:val="00B45BC1"/>
    <w:rsid w:val="00B5215F"/>
    <w:rsid w:val="00B5271B"/>
    <w:rsid w:val="00B53B95"/>
    <w:rsid w:val="00B56F5B"/>
    <w:rsid w:val="00B6628D"/>
    <w:rsid w:val="00B66534"/>
    <w:rsid w:val="00B706E4"/>
    <w:rsid w:val="00B7747C"/>
    <w:rsid w:val="00B77910"/>
    <w:rsid w:val="00B82A62"/>
    <w:rsid w:val="00B84070"/>
    <w:rsid w:val="00B84DCA"/>
    <w:rsid w:val="00BA4979"/>
    <w:rsid w:val="00BA5A04"/>
    <w:rsid w:val="00BB0A9B"/>
    <w:rsid w:val="00BB49EB"/>
    <w:rsid w:val="00BB4E51"/>
    <w:rsid w:val="00BC209C"/>
    <w:rsid w:val="00BC450D"/>
    <w:rsid w:val="00BE043C"/>
    <w:rsid w:val="00BE2000"/>
    <w:rsid w:val="00BF02CE"/>
    <w:rsid w:val="00BF06A8"/>
    <w:rsid w:val="00BF24D7"/>
    <w:rsid w:val="00C05F97"/>
    <w:rsid w:val="00C077CD"/>
    <w:rsid w:val="00C166F2"/>
    <w:rsid w:val="00C2350E"/>
    <w:rsid w:val="00C3080F"/>
    <w:rsid w:val="00C30FE1"/>
    <w:rsid w:val="00C337EB"/>
    <w:rsid w:val="00C43F27"/>
    <w:rsid w:val="00C46678"/>
    <w:rsid w:val="00C47E65"/>
    <w:rsid w:val="00C5317C"/>
    <w:rsid w:val="00C56FA7"/>
    <w:rsid w:val="00C61B73"/>
    <w:rsid w:val="00C61EA6"/>
    <w:rsid w:val="00C6494D"/>
    <w:rsid w:val="00C805A6"/>
    <w:rsid w:val="00C80699"/>
    <w:rsid w:val="00C82FCA"/>
    <w:rsid w:val="00C91497"/>
    <w:rsid w:val="00C94AAB"/>
    <w:rsid w:val="00CA044C"/>
    <w:rsid w:val="00CA303F"/>
    <w:rsid w:val="00CA4CD6"/>
    <w:rsid w:val="00CB4454"/>
    <w:rsid w:val="00CC119E"/>
    <w:rsid w:val="00CC1CDC"/>
    <w:rsid w:val="00CC41C1"/>
    <w:rsid w:val="00CC58E5"/>
    <w:rsid w:val="00CD0399"/>
    <w:rsid w:val="00CD1889"/>
    <w:rsid w:val="00CD4825"/>
    <w:rsid w:val="00CF0993"/>
    <w:rsid w:val="00CF0B43"/>
    <w:rsid w:val="00CF276A"/>
    <w:rsid w:val="00D026B5"/>
    <w:rsid w:val="00D04C6D"/>
    <w:rsid w:val="00D10A6A"/>
    <w:rsid w:val="00D13CF9"/>
    <w:rsid w:val="00D16FBA"/>
    <w:rsid w:val="00D22506"/>
    <w:rsid w:val="00D24D7B"/>
    <w:rsid w:val="00D2624F"/>
    <w:rsid w:val="00D35F14"/>
    <w:rsid w:val="00D36528"/>
    <w:rsid w:val="00D4256F"/>
    <w:rsid w:val="00D42700"/>
    <w:rsid w:val="00D4357D"/>
    <w:rsid w:val="00D46D26"/>
    <w:rsid w:val="00D60202"/>
    <w:rsid w:val="00D61E7D"/>
    <w:rsid w:val="00D6246B"/>
    <w:rsid w:val="00D64A73"/>
    <w:rsid w:val="00D75BFD"/>
    <w:rsid w:val="00D80C18"/>
    <w:rsid w:val="00D81D6A"/>
    <w:rsid w:val="00D84027"/>
    <w:rsid w:val="00D8712A"/>
    <w:rsid w:val="00D91D42"/>
    <w:rsid w:val="00D96758"/>
    <w:rsid w:val="00D96CD3"/>
    <w:rsid w:val="00D97D13"/>
    <w:rsid w:val="00DA00AE"/>
    <w:rsid w:val="00DA6393"/>
    <w:rsid w:val="00DB69D6"/>
    <w:rsid w:val="00DC0E64"/>
    <w:rsid w:val="00DC176A"/>
    <w:rsid w:val="00DC1BEC"/>
    <w:rsid w:val="00DD2026"/>
    <w:rsid w:val="00DD4F1F"/>
    <w:rsid w:val="00DD6A96"/>
    <w:rsid w:val="00DD6F7C"/>
    <w:rsid w:val="00DD7A4E"/>
    <w:rsid w:val="00DE1423"/>
    <w:rsid w:val="00DE1E22"/>
    <w:rsid w:val="00DE286F"/>
    <w:rsid w:val="00DE60CD"/>
    <w:rsid w:val="00DE6BBD"/>
    <w:rsid w:val="00DF0ED0"/>
    <w:rsid w:val="00DF58C2"/>
    <w:rsid w:val="00E0684B"/>
    <w:rsid w:val="00E16386"/>
    <w:rsid w:val="00E20ADC"/>
    <w:rsid w:val="00E22759"/>
    <w:rsid w:val="00E30115"/>
    <w:rsid w:val="00E37FC3"/>
    <w:rsid w:val="00E466FA"/>
    <w:rsid w:val="00E50669"/>
    <w:rsid w:val="00E60572"/>
    <w:rsid w:val="00E61589"/>
    <w:rsid w:val="00E623F2"/>
    <w:rsid w:val="00E62652"/>
    <w:rsid w:val="00E64A1B"/>
    <w:rsid w:val="00E67860"/>
    <w:rsid w:val="00E67D04"/>
    <w:rsid w:val="00E80233"/>
    <w:rsid w:val="00E8328A"/>
    <w:rsid w:val="00E9000B"/>
    <w:rsid w:val="00E938FB"/>
    <w:rsid w:val="00EA1FFF"/>
    <w:rsid w:val="00EA7258"/>
    <w:rsid w:val="00EB039A"/>
    <w:rsid w:val="00EB03E1"/>
    <w:rsid w:val="00EB1E44"/>
    <w:rsid w:val="00EB21EF"/>
    <w:rsid w:val="00EC1594"/>
    <w:rsid w:val="00EC2C38"/>
    <w:rsid w:val="00EC3CE2"/>
    <w:rsid w:val="00EC4A0F"/>
    <w:rsid w:val="00EC630A"/>
    <w:rsid w:val="00ED4D6F"/>
    <w:rsid w:val="00EE0AD8"/>
    <w:rsid w:val="00EE20FC"/>
    <w:rsid w:val="00EE7DE4"/>
    <w:rsid w:val="00EF351B"/>
    <w:rsid w:val="00EF5CA9"/>
    <w:rsid w:val="00F040DA"/>
    <w:rsid w:val="00F05009"/>
    <w:rsid w:val="00F050EB"/>
    <w:rsid w:val="00F058A2"/>
    <w:rsid w:val="00F10F84"/>
    <w:rsid w:val="00F11193"/>
    <w:rsid w:val="00F113BD"/>
    <w:rsid w:val="00F157C3"/>
    <w:rsid w:val="00F21C50"/>
    <w:rsid w:val="00F25FD3"/>
    <w:rsid w:val="00F27F05"/>
    <w:rsid w:val="00F3640A"/>
    <w:rsid w:val="00F368D4"/>
    <w:rsid w:val="00F369BB"/>
    <w:rsid w:val="00F50484"/>
    <w:rsid w:val="00F5062D"/>
    <w:rsid w:val="00F62369"/>
    <w:rsid w:val="00F65A73"/>
    <w:rsid w:val="00F706D6"/>
    <w:rsid w:val="00F771D5"/>
    <w:rsid w:val="00F85539"/>
    <w:rsid w:val="00F87E01"/>
    <w:rsid w:val="00F922BF"/>
    <w:rsid w:val="00F961CF"/>
    <w:rsid w:val="00FA4D5C"/>
    <w:rsid w:val="00FB1601"/>
    <w:rsid w:val="00FB4174"/>
    <w:rsid w:val="00FD5BC5"/>
    <w:rsid w:val="00FD7C80"/>
    <w:rsid w:val="00FE3718"/>
    <w:rsid w:val="00FF3359"/>
    <w:rsid w:val="00FF409B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49CD9"/>
  <w14:defaultImageDpi w14:val="0"/>
  <w15:docId w15:val="{B3D82BA0-1EEB-46AF-B2EE-99777B65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87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hyperlink" Target="consultantplus://offline/ref=1CA82E8FD9D12E1F2FB48F78C79905B8F053FC460ABAF561352A492F23E9C005A3C340AB4EB5F3E97D6BAA6C92446B9D4A868ED886K8FF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CA82E8FD9D12E1F2FB48F78C79905B8F053FC460ABAF561352A492F23E9C005A3C340AB4EB7F3E97D6BAA6C92446B9D4A868ED886K8F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C2BBB8B55C3FD82BEAA659101D518FCE9597487E56B45848A604FA35578844295EE76EEB51183BC8C278E98CA93FDEFB540164F30C2469A73C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C2BBB8B55C3FD82BEAA659101D518FCE9597487E56B45848A604FA35578844295EE76EEB51183BC9C278E98CA93FDEFB540164F30C2469A73CD" TargetMode="External"/><Relationship Id="rId10" Type="http://schemas.openxmlformats.org/officeDocument/2006/relationships/hyperlink" Target="consultantplus://offline/ref=28AB28A1B6D72BFC2E393AE5415F7362DFC8E65DEAD5BDE86C1D30EABB94061F1B5D9528C83DAF53500549CA451E14B622N0SDE" TargetMode="External"/><Relationship Id="rId19" Type="http://schemas.openxmlformats.org/officeDocument/2006/relationships/hyperlink" Target="consultantplus://offline/ref=1CA82E8FD9D12E1F2FB48F78C79905B8F052FD4A0BB9F561352A492F23E9C005B1C318A545BEE6BC2D31FD6191K4F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AB28A1B6D72BFC2E3924E857332D6BD5C0BD52EED6B5BE304B36BDE4C4004A5B1D937D9978FE59580D039A03551BB7201A848E20EB2BF2N8S9E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738676-C6A0-46EA-A68D-8516B70E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Литовская Элина Александровна</cp:lastModifiedBy>
  <cp:revision>3</cp:revision>
  <cp:lastPrinted>2019-06-03T02:32:00Z</cp:lastPrinted>
  <dcterms:created xsi:type="dcterms:W3CDTF">2019-12-13T04:40:00Z</dcterms:created>
  <dcterms:modified xsi:type="dcterms:W3CDTF">2019-12-13T04:49:00Z</dcterms:modified>
</cp:coreProperties>
</file>