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left="595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ind w:left="595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ind w:left="595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25.06.2012 № 302-п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bCs/>
          <w:sz w:val="28"/>
          <w:szCs w:val="28"/>
        </w:rPr>
        <w:t xml:space="preserve"> о с т а н о в л я е т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4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</w:rPr>
        <w:t xml:space="preserve">от 25.06.2012 № 302-п</w:t>
      </w:r>
      <w:r>
        <w:rPr>
          <w:sz w:val="28"/>
          <w:szCs w:val="28"/>
        </w:rPr>
        <w:t xml:space="preserve"> «Об установлении для граждан ставок платы по договору купли-продажи лесных насаждений для собственных нужд на территории Новосибирской области» следующие изменения: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Дополнить</w:t>
      </w:r>
      <w:r>
        <w:rPr>
          <w:sz w:val="28"/>
          <w:szCs w:val="28"/>
        </w:rPr>
        <w:t xml:space="preserve"> пунктом 1.5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 Установить, что ставки платы для граждан по договору купли-продажи лесных насаждений для собственных нужд, принятые настоящим постановлением, корректируются путем их умножения на коэффициент 0,5, при условии предос</w:t>
      </w:r>
      <w:r>
        <w:rPr>
          <w:sz w:val="28"/>
          <w:szCs w:val="28"/>
        </w:rPr>
        <w:t xml:space="preserve">тавления соответствующего подтверждающего документа, для следующих категорий граждан, проживающих на территории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направленным для участия в специальной военной операции;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одному из членов семьи гражданина</w:t>
      </w:r>
      <w:r>
        <w:rPr>
          <w:sz w:val="28"/>
          <w:szCs w:val="28"/>
        </w:rPr>
        <w:t xml:space="preserve">, погибшего (умершего) в результате участия в специальной военной операции.».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Пункт 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«3. </w:t>
      </w:r>
      <w:r>
        <w:rPr>
          <w:sz w:val="28"/>
          <w:szCs w:val="28"/>
          <w:highlight w:val="none"/>
        </w:rPr>
        <w:t xml:space="preserve">Контроль за исполнением настоящего постановления возложить на</w:t>
      </w:r>
      <w:r>
        <w:rPr>
          <w:sz w:val="28"/>
          <w:szCs w:val="28"/>
          <w:highlight w:val="none"/>
        </w:rPr>
        <w:t xml:space="preserve"> первого заместителя Председателя Правительства Новосибирской области Знаткова В.М.».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4"/>
        <w:jc w:val="both"/>
        <w:rPr>
          <w:sz w:val="20"/>
        </w:rPr>
      </w:pPr>
      <w:r>
        <w:rPr>
          <w:sz w:val="20"/>
        </w:rPr>
        <w:t xml:space="preserve">Е.А. Шестернин</w:t>
      </w:r>
      <w:bookmarkStart w:id="0" w:name="_GoBack"/>
      <w:r/>
      <w:bookmarkEnd w:id="0"/>
      <w:r>
        <w:rPr>
          <w:sz w:val="20"/>
        </w:rPr>
      </w:r>
      <w:r>
        <w:rPr>
          <w:sz w:val="20"/>
        </w:rPr>
      </w:r>
    </w:p>
    <w:p>
      <w:pPr>
        <w:pStyle w:val="854"/>
        <w:jc w:val="both"/>
        <w:rPr>
          <w:sz w:val="20"/>
        </w:rPr>
      </w:pPr>
      <w:r>
        <w:rPr>
          <w:sz w:val="20"/>
        </w:rPr>
        <w:t xml:space="preserve">296 51 70</w:t>
      </w:r>
      <w:r>
        <w:rPr>
          <w:sz w:val="20"/>
        </w:rPr>
      </w:r>
      <w:r>
        <w:rPr>
          <w:sz w:val="20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</w:rPr>
      </w:r>
      <w:r/>
      <w:r>
        <w:rPr>
          <w:sz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657">
    <w:name w:val="Heading 1"/>
    <w:basedOn w:val="656"/>
    <w:next w:val="656"/>
    <w:link w:val="68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next w:val="656"/>
    <w:link w:val="68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68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68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68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next w:val="656"/>
    <w:link w:val="69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3">
    <w:name w:val="Heading 7"/>
    <w:basedOn w:val="656"/>
    <w:next w:val="656"/>
    <w:link w:val="69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4">
    <w:name w:val="Heading 8"/>
    <w:basedOn w:val="656"/>
    <w:next w:val="656"/>
    <w:link w:val="69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5">
    <w:name w:val="Heading 9"/>
    <w:basedOn w:val="656"/>
    <w:next w:val="656"/>
    <w:link w:val="69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uiPriority w:val="10"/>
    <w:rPr>
      <w:sz w:val="48"/>
      <w:szCs w:val="48"/>
    </w:rPr>
  </w:style>
  <w:style w:type="character" w:styleId="679" w:customStyle="1">
    <w:name w:val="Subtitle Char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Caption Char"/>
    <w:uiPriority w:val="99"/>
  </w:style>
  <w:style w:type="character" w:styleId="683" w:customStyle="1">
    <w:name w:val="Footnote Text Char"/>
    <w:uiPriority w:val="99"/>
    <w:rPr>
      <w:sz w:val="18"/>
    </w:rPr>
  </w:style>
  <w:style w:type="character" w:styleId="684" w:customStyle="1">
    <w:name w:val="Endnote Text Char"/>
    <w:uiPriority w:val="99"/>
    <w:rPr>
      <w:sz w:val="20"/>
    </w:rPr>
  </w:style>
  <w:style w:type="character" w:styleId="685" w:customStyle="1">
    <w:name w:val="Заголовок 1 Знак"/>
    <w:link w:val="657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link w:val="658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link w:val="659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56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ind w:firstLine="851"/>
      <w:jc w:val="both"/>
    </w:pPr>
    <w:rPr>
      <w:rFonts w:ascii="Calibri" w:hAnsi="Calibri" w:eastAsia="Times New Roman"/>
      <w:sz w:val="22"/>
      <w:szCs w:val="22"/>
      <w:lang w:eastAsia="en-US"/>
    </w:rPr>
  </w:style>
  <w:style w:type="paragraph" w:styleId="696">
    <w:name w:val="Title"/>
    <w:basedOn w:val="656"/>
    <w:next w:val="656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Заголовок Знак"/>
    <w:link w:val="696"/>
    <w:uiPriority w:val="10"/>
    <w:rPr>
      <w:sz w:val="48"/>
      <w:szCs w:val="48"/>
    </w:rPr>
  </w:style>
  <w:style w:type="paragraph" w:styleId="698">
    <w:name w:val="Subtitle"/>
    <w:basedOn w:val="656"/>
    <w:next w:val="656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link w:val="698"/>
    <w:uiPriority w:val="11"/>
    <w:rPr>
      <w:sz w:val="24"/>
      <w:szCs w:val="24"/>
    </w:rPr>
  </w:style>
  <w:style w:type="paragraph" w:styleId="700">
    <w:name w:val="Quote"/>
    <w:basedOn w:val="656"/>
    <w:next w:val="656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6"/>
    <w:next w:val="656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56"/>
    <w:link w:val="856"/>
    <w:uiPriority w:val="99"/>
    <w:unhideWhenUsed/>
    <w:pPr>
      <w:ind w:firstLine="851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705" w:customStyle="1">
    <w:name w:val="Header Char"/>
    <w:uiPriority w:val="99"/>
  </w:style>
  <w:style w:type="paragraph" w:styleId="706">
    <w:name w:val="Footer"/>
    <w:basedOn w:val="656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uiPriority w:val="99"/>
  </w:style>
  <w:style w:type="paragraph" w:styleId="708">
    <w:name w:val="Caption"/>
    <w:basedOn w:val="656"/>
    <w:next w:val="65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6">
    <w:name w:val="Hyperlink"/>
    <w:uiPriority w:val="99"/>
    <w:unhideWhenUsed/>
    <w:rPr>
      <w:color w:val="0000ff"/>
      <w:u w:val="single"/>
    </w:rPr>
  </w:style>
  <w:style w:type="paragraph" w:styleId="837">
    <w:name w:val="footnote text"/>
    <w:basedOn w:val="656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656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656"/>
    <w:next w:val="656"/>
    <w:uiPriority w:val="39"/>
    <w:unhideWhenUsed/>
    <w:pPr>
      <w:spacing w:after="57"/>
    </w:pPr>
  </w:style>
  <w:style w:type="paragraph" w:styleId="844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5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6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7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8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49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50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1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  <w:rPr>
      <w:lang w:eastAsia="zh-CN"/>
    </w:rPr>
  </w:style>
  <w:style w:type="paragraph" w:styleId="853">
    <w:name w:val="table of figures"/>
    <w:basedOn w:val="656"/>
    <w:next w:val="656"/>
    <w:uiPriority w:val="99"/>
    <w:unhideWhenUsed/>
    <w:pPr>
      <w:spacing w:after="0"/>
    </w:pPr>
  </w:style>
  <w:style w:type="paragraph" w:styleId="854" w:customStyle="1">
    <w:name w:val="ConsPlusNormal"/>
    <w:pPr>
      <w:widowControl w:val="off"/>
    </w:pPr>
    <w:rPr>
      <w:rFonts w:eastAsia="Times New Roman"/>
      <w:sz w:val="24"/>
    </w:rPr>
  </w:style>
  <w:style w:type="paragraph" w:styleId="855" w:customStyle="1">
    <w:name w:val="ConsPlusTitle"/>
    <w:uiPriority w:val="99"/>
    <w:pPr>
      <w:widowControl w:val="off"/>
    </w:pPr>
    <w:rPr>
      <w:rFonts w:ascii="Calibri" w:hAnsi="Calibri" w:eastAsia="Times New Roman" w:cs="Calibri"/>
      <w:b/>
      <w:sz w:val="22"/>
    </w:rPr>
  </w:style>
  <w:style w:type="character" w:styleId="856" w:customStyle="1">
    <w:name w:val="Верхний колонтитул Знак"/>
    <w:link w:val="704"/>
    <w:uiPriority w:val="99"/>
    <w:rPr>
      <w:rFonts w:ascii="Calibri" w:hAnsi="Calibri" w:eastAsia="Times New Roman"/>
      <w:sz w:val="22"/>
      <w:szCs w:val="22"/>
      <w:lang w:eastAsia="en-US"/>
    </w:rPr>
  </w:style>
  <w:style w:type="paragraph" w:styleId="857">
    <w:name w:val="Balloon Text"/>
    <w:basedOn w:val="656"/>
    <w:link w:val="8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link w:val="85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9">
    <w:name w:val="annotation reference"/>
    <w:uiPriority w:val="99"/>
    <w:semiHidden/>
    <w:unhideWhenUsed/>
    <w:rPr>
      <w:sz w:val="16"/>
      <w:szCs w:val="16"/>
    </w:rPr>
  </w:style>
  <w:style w:type="paragraph" w:styleId="860">
    <w:name w:val="annotation text"/>
    <w:basedOn w:val="656"/>
    <w:link w:val="861"/>
    <w:uiPriority w:val="99"/>
    <w:semiHidden/>
    <w:unhideWhenUsed/>
    <w:rPr>
      <w:sz w:val="20"/>
      <w:szCs w:val="20"/>
    </w:rPr>
  </w:style>
  <w:style w:type="character" w:styleId="861" w:customStyle="1">
    <w:name w:val="Текст примечания Знак"/>
    <w:link w:val="860"/>
    <w:uiPriority w:val="99"/>
    <w:semiHidden/>
    <w:rPr>
      <w:rFonts w:ascii="Calibri" w:hAnsi="Calibri"/>
      <w:lang w:eastAsia="en-US"/>
    </w:rPr>
  </w:style>
  <w:style w:type="paragraph" w:styleId="862">
    <w:name w:val="annotation subject"/>
    <w:basedOn w:val="860"/>
    <w:next w:val="860"/>
    <w:link w:val="863"/>
    <w:uiPriority w:val="99"/>
    <w:semiHidden/>
    <w:unhideWhenUsed/>
    <w:rPr>
      <w:b/>
      <w:bCs/>
    </w:rPr>
  </w:style>
  <w:style w:type="character" w:styleId="863" w:customStyle="1">
    <w:name w:val="Тема примечания Знак"/>
    <w:link w:val="862"/>
    <w:uiPriority w:val="99"/>
    <w:semiHidden/>
    <w:rPr>
      <w:rFonts w:ascii="Calibri" w:hAnsi="Calibri"/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revision>41</cp:revision>
  <dcterms:created xsi:type="dcterms:W3CDTF">2022-08-12T09:38:00Z</dcterms:created>
  <dcterms:modified xsi:type="dcterms:W3CDTF">2024-06-27T10:02:18Z</dcterms:modified>
  <cp:version>1048576</cp:version>
</cp:coreProperties>
</file>