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90" w:rsidRDefault="00A81E90">
      <w:pPr>
        <w:pStyle w:val="ConsPlusNormal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81E90" w:rsidRPr="00BD2F14" w:rsidRDefault="00A41EC0">
      <w:pPr>
        <w:pStyle w:val="ConsPlusNormal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A81E90" w:rsidRPr="00BD2F14" w:rsidRDefault="00A41EC0">
      <w:pPr>
        <w:pStyle w:val="ConsPlusNormal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81E90" w:rsidRPr="00BD2F14" w:rsidRDefault="00A41EC0">
      <w:pPr>
        <w:jc w:val="right"/>
        <w:rPr>
          <w:sz w:val="28"/>
          <w:szCs w:val="28"/>
        </w:rPr>
      </w:pPr>
      <w:r w:rsidRPr="00BD2F14">
        <w:rPr>
          <w:sz w:val="28"/>
          <w:szCs w:val="28"/>
        </w:rPr>
        <w:t>Новосибирской области</w:t>
      </w:r>
    </w:p>
    <w:p w:rsidR="00A81E90" w:rsidRPr="00BD2F14" w:rsidRDefault="00A81E90">
      <w:pPr>
        <w:widowControl w:val="0"/>
        <w:jc w:val="center"/>
        <w:rPr>
          <w:sz w:val="28"/>
          <w:szCs w:val="28"/>
        </w:rPr>
      </w:pPr>
    </w:p>
    <w:p w:rsidR="00A81E90" w:rsidRPr="00BD2F14" w:rsidRDefault="00A81E90">
      <w:pPr>
        <w:widowControl w:val="0"/>
        <w:jc w:val="center"/>
        <w:rPr>
          <w:sz w:val="28"/>
          <w:szCs w:val="28"/>
        </w:rPr>
      </w:pPr>
    </w:p>
    <w:p w:rsidR="00A81E90" w:rsidRPr="00BD2F14" w:rsidRDefault="00A41EC0">
      <w:pPr>
        <w:widowControl w:val="0"/>
        <w:jc w:val="center"/>
      </w:pPr>
      <w:r w:rsidRPr="00BD2F14">
        <w:rPr>
          <w:sz w:val="28"/>
          <w:szCs w:val="28"/>
        </w:rPr>
        <w:t>О внесении изменений в постановление Правительства Новосибирской области от</w:t>
      </w:r>
      <w:r w:rsidRPr="00BD2F14">
        <w:rPr>
          <w:sz w:val="28"/>
          <w:szCs w:val="28"/>
          <w:lang w:val="en-US"/>
        </w:rPr>
        <w:t> </w:t>
      </w:r>
      <w:r w:rsidRPr="00BD2F14">
        <w:rPr>
          <w:sz w:val="28"/>
          <w:szCs w:val="28"/>
        </w:rPr>
        <w:t>20.02.2015 № 68-п</w:t>
      </w:r>
    </w:p>
    <w:p w:rsidR="00A81E90" w:rsidRPr="00BD2F14" w:rsidRDefault="00A81E90">
      <w:pPr>
        <w:widowControl w:val="0"/>
        <w:jc w:val="center"/>
        <w:rPr>
          <w:sz w:val="28"/>
          <w:szCs w:val="28"/>
        </w:rPr>
      </w:pPr>
    </w:p>
    <w:p w:rsidR="00B93DA7" w:rsidRPr="00BD2F14" w:rsidRDefault="00B93DA7">
      <w:pPr>
        <w:widowControl w:val="0"/>
        <w:jc w:val="center"/>
        <w:rPr>
          <w:sz w:val="28"/>
          <w:szCs w:val="28"/>
        </w:rPr>
      </w:pPr>
    </w:p>
    <w:p w:rsidR="00A81E90" w:rsidRPr="00BD2F14" w:rsidRDefault="00A41EC0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Правит</w:t>
      </w:r>
      <w:r w:rsidR="00740DB8" w:rsidRPr="00BD2F14">
        <w:rPr>
          <w:sz w:val="28"/>
          <w:szCs w:val="28"/>
        </w:rPr>
        <w:t xml:space="preserve">ельство Новосибирской области </w:t>
      </w:r>
      <w:r w:rsidR="00740DB8" w:rsidRPr="00BD2F14">
        <w:rPr>
          <w:b/>
          <w:sz w:val="28"/>
          <w:szCs w:val="28"/>
        </w:rPr>
        <w:t>п </w:t>
      </w:r>
      <w:r w:rsidRPr="00BD2F14">
        <w:rPr>
          <w:b/>
          <w:sz w:val="28"/>
          <w:szCs w:val="28"/>
        </w:rPr>
        <w:t>о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с</w:t>
      </w:r>
      <w:r w:rsidR="00740DB8" w:rsidRPr="00BD2F14">
        <w:rPr>
          <w:b/>
          <w:sz w:val="28"/>
          <w:szCs w:val="28"/>
        </w:rPr>
        <w:t> </w:t>
      </w:r>
      <w:proofErr w:type="gramStart"/>
      <w:r w:rsidRPr="00BD2F14">
        <w:rPr>
          <w:b/>
          <w:sz w:val="28"/>
          <w:szCs w:val="28"/>
        </w:rPr>
        <w:t>т</w:t>
      </w:r>
      <w:proofErr w:type="gramEnd"/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а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н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о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в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л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я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е</w:t>
      </w:r>
      <w:r w:rsidR="00740DB8" w:rsidRPr="00BD2F14">
        <w:rPr>
          <w:b/>
          <w:sz w:val="28"/>
          <w:szCs w:val="28"/>
        </w:rPr>
        <w:t> </w:t>
      </w:r>
      <w:r w:rsidRPr="00BD2F14">
        <w:rPr>
          <w:b/>
          <w:sz w:val="28"/>
          <w:szCs w:val="28"/>
        </w:rPr>
        <w:t>т</w:t>
      </w:r>
      <w:r w:rsidRPr="00BD2F14">
        <w:rPr>
          <w:sz w:val="28"/>
          <w:szCs w:val="28"/>
        </w:rPr>
        <w:t>:</w:t>
      </w:r>
    </w:p>
    <w:p w:rsidR="00A81E90" w:rsidRPr="00BD2F14" w:rsidRDefault="00A41EC0">
      <w:pPr>
        <w:ind w:firstLine="709"/>
        <w:jc w:val="both"/>
        <w:rPr>
          <w:sz w:val="28"/>
          <w:szCs w:val="28"/>
        </w:rPr>
      </w:pPr>
      <w:r w:rsidRPr="00BD2F14">
        <w:rPr>
          <w:sz w:val="28"/>
          <w:szCs w:val="28"/>
        </w:rPr>
        <w:t>Внести в постановление Правительства Новосибирской области от 20.02.2015 № 68-п «Об утверждении государственной программы Новосибирской области «Стимулирование развития жилищного строительства в Новосибирской области»</w:t>
      </w:r>
      <w:r w:rsidR="000825D8">
        <w:rPr>
          <w:sz w:val="28"/>
          <w:szCs w:val="28"/>
        </w:rPr>
        <w:t xml:space="preserve"> (далее – постановление)</w:t>
      </w:r>
      <w:r w:rsidRPr="00BD2F14">
        <w:rPr>
          <w:sz w:val="28"/>
          <w:szCs w:val="28"/>
        </w:rPr>
        <w:t xml:space="preserve"> следующие изменения:</w:t>
      </w:r>
    </w:p>
    <w:p w:rsidR="00826DFB" w:rsidRPr="00BD2F14" w:rsidRDefault="00A41EC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sz w:val="28"/>
          <w:szCs w:val="28"/>
        </w:rPr>
        <w:t>1. В государственной программе Новосибирской области «Стимулирование развития жилищного строительства в Новосибирской области» (далее – государственная программа)</w:t>
      </w:r>
      <w:r w:rsidR="00826DFB" w:rsidRPr="00BD2F14">
        <w:rPr>
          <w:rFonts w:eastAsia="Calibri"/>
          <w:sz w:val="28"/>
          <w:szCs w:val="28"/>
          <w:lang w:eastAsia="en-US"/>
        </w:rPr>
        <w:t>:</w:t>
      </w:r>
    </w:p>
    <w:p w:rsidR="008955E6" w:rsidRPr="00BD2F14" w:rsidRDefault="00623BC8" w:rsidP="008955E6">
      <w:pPr>
        <w:ind w:firstLine="709"/>
        <w:jc w:val="both"/>
      </w:pPr>
      <w:r w:rsidRPr="00A6490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3C4097" wp14:editId="3D86CEA0">
                <wp:simplePos x="0" y="0"/>
                <wp:positionH relativeFrom="column">
                  <wp:posOffset>0</wp:posOffset>
                </wp:positionH>
                <wp:positionV relativeFrom="paragraph">
                  <wp:posOffset>595630</wp:posOffset>
                </wp:positionV>
                <wp:extent cx="160655" cy="244475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23BC8" w:rsidRDefault="00623BC8" w:rsidP="00623BC8">
                            <w:pPr>
                              <w:overflowPunct w:val="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C4097" id="_x0000_t202" coordsize="21600,21600" o:spt="202" path="m,l,21600r21600,l21600,xe">
                <v:stroke joinstyle="miter"/>
                <v:path gradientshapeok="t" o:connecttype="rect"/>
              </v:shapetype>
              <v:shape id="Фигура1" o:spid="_x0000_s1026" type="#_x0000_t202" style="position:absolute;left:0;text-align:left;margin-left:0;margin-top:46.9pt;width:12.65pt;height:19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" filled="f" stroked="f">
                <v:textbox style="mso-fit-shape-to-text:t" inset="0,0,0,0">
                  <w:txbxContent>
                    <w:p w:rsidR="00623BC8" w:rsidRDefault="00623BC8" w:rsidP="00623BC8">
                      <w:pPr>
                        <w:overflowPunct w:val="0"/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DC68E5" w:rsidRPr="00BD2F14">
        <w:rPr>
          <w:sz w:val="28"/>
          <w:szCs w:val="28"/>
        </w:rPr>
        <w:t>1) </w:t>
      </w:r>
      <w:r w:rsidR="007253A3" w:rsidRPr="00BD2F14">
        <w:rPr>
          <w:sz w:val="28"/>
          <w:szCs w:val="28"/>
        </w:rPr>
        <w:t xml:space="preserve">в разделе I «Паспорт государственной программы Новосибирской области» </w:t>
      </w:r>
      <w:r w:rsidR="008955E6" w:rsidRPr="00BD2F14">
        <w:rPr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9355" w:type="dxa"/>
        <w:tblInd w:w="27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7090"/>
      </w:tblGrid>
      <w:tr w:rsidR="008955E6" w:rsidRPr="00BD2F14" w:rsidTr="007253A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Общий объем ассигнований на реализацию государственной программы составляет 14 </w:t>
            </w:r>
            <w:r w:rsidR="005B1B48">
              <w:rPr>
                <w:sz w:val="28"/>
                <w:szCs w:val="28"/>
              </w:rPr>
              <w:t>4</w:t>
            </w:r>
            <w:r w:rsidR="00FB210C">
              <w:rPr>
                <w:sz w:val="28"/>
                <w:szCs w:val="28"/>
              </w:rPr>
              <w:t>8</w:t>
            </w:r>
            <w:r w:rsidR="00FD301C">
              <w:rPr>
                <w:sz w:val="28"/>
                <w:szCs w:val="28"/>
              </w:rPr>
              <w:t>4 836,0</w:t>
            </w:r>
            <w:r w:rsidRPr="00BD2F1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2015 год - 3 135 534,3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- 1 014 990,4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- 354 734,2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- 298 776,7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- 590 558,7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- 189 046,2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- 386 466,1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- 2 </w:t>
            </w:r>
            <w:r w:rsidR="00FB210C">
              <w:rPr>
                <w:sz w:val="28"/>
                <w:szCs w:val="28"/>
              </w:rPr>
              <w:t>168</w:t>
            </w:r>
            <w:r w:rsidRPr="00BD2F14">
              <w:rPr>
                <w:sz w:val="28"/>
                <w:szCs w:val="28"/>
              </w:rPr>
              <w:t> </w:t>
            </w:r>
            <w:r w:rsidR="00FB210C">
              <w:rPr>
                <w:sz w:val="28"/>
                <w:szCs w:val="28"/>
              </w:rPr>
              <w:t>465</w:t>
            </w:r>
            <w:r w:rsidRPr="00BD2F14">
              <w:rPr>
                <w:sz w:val="28"/>
                <w:szCs w:val="28"/>
              </w:rPr>
              <w:t>,2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- 3 154</w:t>
            </w:r>
            <w:r w:rsidR="00FD301C">
              <w:rPr>
                <w:sz w:val="28"/>
                <w:szCs w:val="28"/>
              </w:rPr>
              <w:t> 030,2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- 3 192 234,1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по источникам финансирования: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федеральный бюджет - 1 030 552,8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2015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lastRenderedPageBreak/>
              <w:t>2022 год - 96 644,0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- 487 508,8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- 446 400,0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 xml:space="preserve">областной бюджет Новосибирской области - 11 </w:t>
            </w:r>
            <w:r w:rsidR="00FB210C">
              <w:rPr>
                <w:sz w:val="28"/>
                <w:szCs w:val="28"/>
              </w:rPr>
              <w:t>289</w:t>
            </w:r>
            <w:r w:rsidRPr="00BD2F14">
              <w:rPr>
                <w:sz w:val="28"/>
                <w:szCs w:val="28"/>
              </w:rPr>
              <w:t> </w:t>
            </w:r>
            <w:r w:rsidR="00FB210C">
              <w:rPr>
                <w:sz w:val="28"/>
                <w:szCs w:val="28"/>
              </w:rPr>
              <w:t>115</w:t>
            </w:r>
            <w:r w:rsidRPr="00BD2F14">
              <w:rPr>
                <w:sz w:val="28"/>
                <w:szCs w:val="28"/>
              </w:rPr>
              <w:t>,</w:t>
            </w:r>
            <w:r w:rsidR="00FB210C">
              <w:rPr>
                <w:sz w:val="28"/>
                <w:szCs w:val="28"/>
              </w:rPr>
              <w:t>3</w:t>
            </w:r>
            <w:r w:rsidRPr="00BD2F14">
              <w:rPr>
                <w:sz w:val="28"/>
                <w:szCs w:val="28"/>
              </w:rPr>
              <w:t xml:space="preserve"> тыс. рублей,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2015 год - 1 175 821,8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- 1 008 598,6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- 344 283,6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- 288 721,7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- 568 902,2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- 186 384,7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- 372 088,3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</w:t>
            </w:r>
            <w:r w:rsidR="00FB210C">
              <w:rPr>
                <w:sz w:val="28"/>
                <w:szCs w:val="28"/>
              </w:rPr>
              <w:t xml:space="preserve"> 2</w:t>
            </w:r>
            <w:r w:rsidRPr="00BD2F14">
              <w:rPr>
                <w:sz w:val="28"/>
                <w:szCs w:val="28"/>
              </w:rPr>
              <w:t xml:space="preserve"> </w:t>
            </w:r>
            <w:r w:rsidR="00FB210C">
              <w:rPr>
                <w:sz w:val="28"/>
                <w:szCs w:val="28"/>
              </w:rPr>
              <w:t>021</w:t>
            </w:r>
            <w:r w:rsidRPr="00BD2F14">
              <w:rPr>
                <w:sz w:val="28"/>
                <w:szCs w:val="28"/>
              </w:rPr>
              <w:t> </w:t>
            </w:r>
            <w:r w:rsidR="00FB210C">
              <w:rPr>
                <w:sz w:val="28"/>
                <w:szCs w:val="28"/>
              </w:rPr>
              <w:t>006</w:t>
            </w:r>
            <w:r w:rsidRPr="00BD2F14">
              <w:rPr>
                <w:sz w:val="28"/>
                <w:szCs w:val="28"/>
              </w:rPr>
              <w:t>,</w:t>
            </w:r>
            <w:r w:rsidR="00FB210C">
              <w:rPr>
                <w:sz w:val="28"/>
                <w:szCs w:val="28"/>
              </w:rPr>
              <w:t>4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- 2 618 556,5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- 2 704 751,5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средства местных бюджетов -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</w:t>
            </w:r>
            <w:r w:rsidR="00FB210C">
              <w:rPr>
                <w:sz w:val="28"/>
                <w:szCs w:val="28"/>
              </w:rPr>
              <w:t>1</w:t>
            </w:r>
            <w:r w:rsidR="00FD301C">
              <w:rPr>
                <w:sz w:val="28"/>
                <w:szCs w:val="28"/>
              </w:rPr>
              <w:t>7 567,9</w:t>
            </w:r>
            <w:r w:rsidRPr="00BD2F1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2015 год - 12 112,5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- 6 391,8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- 10 450,6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- 10 055,0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- 21 656,5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- 2 661,5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- 14 377,8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- 5</w:t>
            </w:r>
            <w:r w:rsidR="00FB210C">
              <w:rPr>
                <w:sz w:val="28"/>
                <w:szCs w:val="28"/>
              </w:rPr>
              <w:t>0 814,8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- 4</w:t>
            </w:r>
            <w:r w:rsidR="003064F1">
              <w:rPr>
                <w:sz w:val="28"/>
                <w:szCs w:val="28"/>
              </w:rPr>
              <w:t>7 964,9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- 41 082,6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внебюджетные источники -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1 947 600,0 тыс. рублей,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2015 год - 1 947 600,0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- 0,0 тыс. рублей.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по главным распорядителям бюджетных средств: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министерство строительства Новосибирской области –13 </w:t>
            </w:r>
            <w:r w:rsidR="00FB210C">
              <w:rPr>
                <w:sz w:val="28"/>
                <w:szCs w:val="28"/>
              </w:rPr>
              <w:t>41</w:t>
            </w:r>
            <w:r w:rsidR="003064F1">
              <w:rPr>
                <w:sz w:val="28"/>
                <w:szCs w:val="28"/>
              </w:rPr>
              <w:t>1 333,5</w:t>
            </w:r>
            <w:r w:rsidRPr="00BD2F1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lastRenderedPageBreak/>
              <w:t>2015 год - 3 135 534,3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- 1 014 990,4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- 354 734,2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- 298 776,7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- 590 558,7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- 189 046,2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- 386 466,1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- 2 0</w:t>
            </w:r>
            <w:r w:rsidR="00FB210C">
              <w:rPr>
                <w:sz w:val="28"/>
                <w:szCs w:val="28"/>
              </w:rPr>
              <w:t>67 794,3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- 2 64</w:t>
            </w:r>
            <w:r w:rsidR="003064F1">
              <w:rPr>
                <w:sz w:val="28"/>
                <w:szCs w:val="28"/>
              </w:rPr>
              <w:t>6 208,5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- 2 727</w:t>
            </w:r>
            <w:r w:rsidR="00FD301C">
              <w:rPr>
                <w:sz w:val="28"/>
                <w:szCs w:val="28"/>
              </w:rPr>
              <w:t> 224,1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по источникам финансирования: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 xml:space="preserve">федеральный бюджет – 0,0 тыс. рублей, 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областной бюджет Новосибирской области - 11 2</w:t>
            </w:r>
            <w:r w:rsidR="00FB210C">
              <w:rPr>
                <w:sz w:val="28"/>
                <w:szCs w:val="28"/>
              </w:rPr>
              <w:t>89 115,3</w:t>
            </w:r>
            <w:r w:rsidRPr="00BD2F14">
              <w:rPr>
                <w:sz w:val="28"/>
                <w:szCs w:val="28"/>
              </w:rPr>
              <w:t xml:space="preserve"> тыс. рублей,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2015 год - 1 175 821,8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- 1 008 598,6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- 344 283,6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- 288 721,7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- 568 902,2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- 186 384,7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- 372 088,3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 xml:space="preserve">2022 год - </w:t>
            </w:r>
            <w:r w:rsidR="00FB210C">
              <w:rPr>
                <w:sz w:val="28"/>
                <w:szCs w:val="28"/>
              </w:rPr>
              <w:t>2</w:t>
            </w:r>
            <w:r w:rsidRPr="00BD2F14">
              <w:rPr>
                <w:sz w:val="28"/>
                <w:szCs w:val="28"/>
              </w:rPr>
              <w:t xml:space="preserve"> </w:t>
            </w:r>
            <w:r w:rsidR="00FB210C">
              <w:rPr>
                <w:sz w:val="28"/>
                <w:szCs w:val="28"/>
              </w:rPr>
              <w:t>021 006,4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- 2 618 556,5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- 2 704 751,5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средства местных бюджетов -</w:t>
            </w:r>
          </w:p>
          <w:p w:rsidR="008955E6" w:rsidRPr="00BD2F14" w:rsidRDefault="005B1B48" w:rsidP="007253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301C">
              <w:rPr>
                <w:sz w:val="28"/>
                <w:szCs w:val="28"/>
              </w:rPr>
              <w:t>7</w:t>
            </w:r>
            <w:r w:rsidR="003064F1">
              <w:rPr>
                <w:sz w:val="28"/>
                <w:szCs w:val="28"/>
              </w:rPr>
              <w:t>4 618,2</w:t>
            </w:r>
            <w:r w:rsidR="008955E6" w:rsidRPr="00BD2F14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2015 год - 12 112,5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2016 год - 6 391,8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2017 год - 10 450,6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2018 год - 10 055,0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2019 год - 21 656,5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2020 год - 2 661,5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2021 год - 14 377,8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 xml:space="preserve">2022 год - </w:t>
            </w:r>
            <w:r w:rsidR="00FB210C">
              <w:rPr>
                <w:sz w:val="28"/>
                <w:szCs w:val="28"/>
              </w:rPr>
              <w:t>46 787,9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- 2</w:t>
            </w:r>
            <w:r w:rsidR="003064F1">
              <w:rPr>
                <w:sz w:val="28"/>
                <w:szCs w:val="28"/>
              </w:rPr>
              <w:t>7 652,0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- 2</w:t>
            </w:r>
            <w:r w:rsidR="00FD301C">
              <w:rPr>
                <w:sz w:val="28"/>
                <w:szCs w:val="28"/>
              </w:rPr>
              <w:t>2 472,6</w:t>
            </w:r>
            <w:r w:rsidRPr="00BD2F14">
              <w:rPr>
                <w:sz w:val="28"/>
                <w:szCs w:val="28"/>
              </w:rPr>
              <w:t xml:space="preserve">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министерство жилищно-коммунального хозяйства и энергетики Новосибирской области – 1 073 502,6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- 100 670,9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- 507 821,7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- 465 010,0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по источникам финансирования: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lastRenderedPageBreak/>
              <w:t>федеральный бюджет – 1 030 552,8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- 96 644,0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- 487 508,8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- 446 400,0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областной бюджет Новосибирской области – 0,0 тыс. рублей,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средства местных бюджетов - 42 949,8 тыс. рублей, в том числе по годам: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2022 год - 4 026,9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2023 год - 20 312,9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2024 год - 18 610,0 тыс. рублей;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Суммы средств, выделяемые из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:rsidR="008955E6" w:rsidRPr="00BD2F14" w:rsidRDefault="008955E6" w:rsidP="007253A3">
            <w:pPr>
              <w:jc w:val="both"/>
              <w:rPr>
                <w:sz w:val="28"/>
                <w:szCs w:val="28"/>
              </w:rPr>
            </w:pPr>
            <w:r w:rsidRPr="00BD2F14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бюджетов, а также внебюджетных источников</w:t>
            </w:r>
          </w:p>
        </w:tc>
      </w:tr>
    </w:tbl>
    <w:p w:rsidR="00B81836" w:rsidRPr="00BD2F14" w:rsidRDefault="00623BC8" w:rsidP="008955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90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0F3FC6B3" wp14:editId="1CB68703">
                <wp:simplePos x="0" y="0"/>
                <wp:positionH relativeFrom="column">
                  <wp:posOffset>6090920</wp:posOffset>
                </wp:positionH>
                <wp:positionV relativeFrom="paragraph">
                  <wp:posOffset>-308610</wp:posOffset>
                </wp:positionV>
                <wp:extent cx="344805" cy="325755"/>
                <wp:effectExtent l="0" t="0" r="0" b="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2575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23BC8" w:rsidRDefault="00623BC8" w:rsidP="00623BC8">
                            <w:pPr>
                              <w:pStyle w:val="aff6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FC6B3" id="Надпись 3" o:spid="_x0000_s1027" style="position:absolute;left:0;text-align:left;margin-left:479.6pt;margin-top:-24.3pt;width:27.15pt;height:25.65pt;z-index:25166131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" filled="f" stroked="f" strokeweight=".18mm">
                <v:textbox>
                  <w:txbxContent>
                    <w:p w:rsidR="00623BC8" w:rsidRDefault="00623BC8" w:rsidP="00623BC8">
                      <w:pPr>
                        <w:pStyle w:val="aff6"/>
                      </w:pPr>
                      <w:r>
                        <w:rPr>
                          <w:color w:val="000000"/>
                          <w:sz w:val="28"/>
                        </w:rPr>
                        <w:t>»;</w:t>
                      </w:r>
                    </w:p>
                  </w:txbxContent>
                </v:textbox>
              </v:rect>
            </w:pict>
          </mc:Fallback>
        </mc:AlternateContent>
      </w:r>
      <w:r w:rsidR="00B81836" w:rsidRPr="00BD2F14">
        <w:rPr>
          <w:rFonts w:ascii="Times New Roman" w:hAnsi="Times New Roman" w:cs="Times New Roman"/>
          <w:sz w:val="28"/>
          <w:szCs w:val="28"/>
        </w:rPr>
        <w:t>2) в приложении 2.1</w:t>
      </w:r>
      <w:r w:rsidR="00EE373A" w:rsidRPr="00BD2F14">
        <w:rPr>
          <w:rFonts w:ascii="Times New Roman" w:hAnsi="Times New Roman" w:cs="Times New Roman"/>
          <w:sz w:val="28"/>
          <w:szCs w:val="28"/>
        </w:rPr>
        <w:t xml:space="preserve"> </w:t>
      </w:r>
      <w:r w:rsidR="007253A3" w:rsidRPr="00BD2F14">
        <w:rPr>
          <w:rFonts w:ascii="Times New Roman" w:hAnsi="Times New Roman" w:cs="Times New Roman"/>
          <w:sz w:val="28"/>
          <w:szCs w:val="28"/>
        </w:rPr>
        <w:t>к государственной программе «Основные мероприятия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7253A3" w:rsidRPr="00BD2F14" w:rsidRDefault="007253A3" w:rsidP="008955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а) в графе «2022» позиции «1.3.3.1.1.1. Содействие бюджетам муниципальных районов и городских округов Новосибирской области на 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области»:</w:t>
      </w:r>
    </w:p>
    <w:p w:rsidR="007253A3" w:rsidRPr="00BD2F14" w:rsidRDefault="007253A3" w:rsidP="008955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«областной бюджет» цифры «344 280,6» заменить цифрами «4</w:t>
      </w:r>
      <w:r w:rsidR="00EE69BE">
        <w:rPr>
          <w:rFonts w:ascii="Times New Roman" w:hAnsi="Times New Roman" w:cs="Times New Roman"/>
          <w:sz w:val="28"/>
          <w:szCs w:val="28"/>
        </w:rPr>
        <w:t>71 333,6</w:t>
      </w:r>
      <w:r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7253A3" w:rsidRPr="00BD2F14" w:rsidRDefault="007253A3" w:rsidP="008955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«местные бюджеты» цифры «18 120,0» заменить цифрами «2</w:t>
      </w:r>
      <w:r w:rsidR="00182E18">
        <w:rPr>
          <w:rFonts w:ascii="Times New Roman" w:hAnsi="Times New Roman" w:cs="Times New Roman"/>
          <w:sz w:val="28"/>
          <w:szCs w:val="28"/>
        </w:rPr>
        <w:t>4 807,0</w:t>
      </w:r>
      <w:r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7253A3" w:rsidRPr="00BD2F14" w:rsidRDefault="007253A3" w:rsidP="008955E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б) в графе «2022» позиции «Итого по подпрограмме государственной программы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области»:</w:t>
      </w:r>
    </w:p>
    <w:p w:rsidR="007253A3" w:rsidRPr="00BD2F14" w:rsidRDefault="007253A3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«областной бюджет» цифры «344 280,6» заменить цифрами «</w:t>
      </w:r>
      <w:r w:rsidR="00182E18">
        <w:rPr>
          <w:rFonts w:ascii="Times New Roman" w:hAnsi="Times New Roman" w:cs="Times New Roman"/>
          <w:sz w:val="28"/>
          <w:szCs w:val="28"/>
        </w:rPr>
        <w:t>471 333,6</w:t>
      </w:r>
      <w:r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7253A3" w:rsidRPr="00BD2F14" w:rsidRDefault="007253A3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«местные бюджеты» цифры «18 120,0» заменить цифрами «2</w:t>
      </w:r>
      <w:r w:rsidR="00182E18">
        <w:rPr>
          <w:rFonts w:ascii="Times New Roman" w:hAnsi="Times New Roman" w:cs="Times New Roman"/>
          <w:sz w:val="28"/>
          <w:szCs w:val="28"/>
        </w:rPr>
        <w:t>4 807,0</w:t>
      </w:r>
      <w:r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7253A3" w:rsidRPr="00BD2F14" w:rsidRDefault="007253A3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 xml:space="preserve">в) в позиции «1.3.4.1.1.1 Содействие муниципальным районам и городским округам Новосибирской области в оплате расходов, связанных со строительством специализированного жилищного фонда для предоставления отдельным категориям граждан»: </w:t>
      </w:r>
    </w:p>
    <w:p w:rsidR="007253A3" w:rsidRPr="00BD2F14" w:rsidRDefault="007253A3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«областной бюджет»:</w:t>
      </w:r>
    </w:p>
    <w:p w:rsidR="007253A3" w:rsidRPr="00BD2F14" w:rsidRDefault="007253A3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«2022</w:t>
      </w:r>
      <w:r w:rsidR="00A45518" w:rsidRPr="00BD2F14">
        <w:rPr>
          <w:rFonts w:ascii="Times New Roman" w:hAnsi="Times New Roman" w:cs="Times New Roman"/>
          <w:sz w:val="28"/>
          <w:szCs w:val="28"/>
        </w:rPr>
        <w:t>» цифры «73 908,2» заменить цифрами «1</w:t>
      </w:r>
      <w:r w:rsidR="00182E18">
        <w:rPr>
          <w:rFonts w:ascii="Times New Roman" w:hAnsi="Times New Roman" w:cs="Times New Roman"/>
          <w:sz w:val="28"/>
          <w:szCs w:val="28"/>
        </w:rPr>
        <w:t>52 703,8</w:t>
      </w:r>
      <w:r w:rsidR="00A45518"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A45518" w:rsidRPr="00BD2F14" w:rsidRDefault="00A45518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«2023» цифры «101 973,1» заменить цифрами «108 112,4»;</w:t>
      </w:r>
    </w:p>
    <w:p w:rsidR="00A45518" w:rsidRPr="00BD2F14" w:rsidRDefault="00A45518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«местные бюджеты»:</w:t>
      </w:r>
    </w:p>
    <w:p w:rsidR="00A45518" w:rsidRPr="00BD2F14" w:rsidRDefault="00A45518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lastRenderedPageBreak/>
        <w:t>в графе «2022» цифры «3 889,9» заменить цифрами «</w:t>
      </w:r>
      <w:r w:rsidR="00182E18">
        <w:rPr>
          <w:rFonts w:ascii="Times New Roman" w:hAnsi="Times New Roman" w:cs="Times New Roman"/>
          <w:sz w:val="28"/>
          <w:szCs w:val="28"/>
        </w:rPr>
        <w:t>8</w:t>
      </w:r>
      <w:r w:rsidRPr="00BD2F14">
        <w:rPr>
          <w:rFonts w:ascii="Times New Roman" w:hAnsi="Times New Roman" w:cs="Times New Roman"/>
          <w:sz w:val="28"/>
          <w:szCs w:val="28"/>
        </w:rPr>
        <w:t> </w:t>
      </w:r>
      <w:r w:rsidR="00182E18">
        <w:rPr>
          <w:rFonts w:ascii="Times New Roman" w:hAnsi="Times New Roman" w:cs="Times New Roman"/>
          <w:sz w:val="28"/>
          <w:szCs w:val="28"/>
        </w:rPr>
        <w:t>037</w:t>
      </w:r>
      <w:r w:rsidRPr="00BD2F14">
        <w:rPr>
          <w:rFonts w:ascii="Times New Roman" w:hAnsi="Times New Roman" w:cs="Times New Roman"/>
          <w:sz w:val="28"/>
          <w:szCs w:val="28"/>
        </w:rPr>
        <w:t>,0»;</w:t>
      </w:r>
    </w:p>
    <w:p w:rsidR="00A45518" w:rsidRPr="00BD2F14" w:rsidRDefault="00A45518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«2023» цифры «5 367,0» заменить цифрами «5 690,1»;</w:t>
      </w:r>
    </w:p>
    <w:p w:rsidR="00A45518" w:rsidRPr="00BD2F14" w:rsidRDefault="00A45518" w:rsidP="007253A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г) в позиции «Итого по подпрограмме государственной программы «Государственная поддержка муниципальных образований Новосибирской области при строительстве специализированного жилищного фонда»: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«областной бюджет»: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«2022» цифры «73 908,2» заменить цифрами «1</w:t>
      </w:r>
      <w:r w:rsidR="00182E18">
        <w:rPr>
          <w:rFonts w:ascii="Times New Roman" w:hAnsi="Times New Roman" w:cs="Times New Roman"/>
          <w:sz w:val="28"/>
          <w:szCs w:val="28"/>
        </w:rPr>
        <w:t>52 703,8</w:t>
      </w:r>
      <w:r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«2023» цифры «101 973,1» заменить цифрами «108 112,4»;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«местные бюджеты»: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«2022» циф</w:t>
      </w:r>
      <w:r w:rsidR="00182E18">
        <w:rPr>
          <w:rFonts w:ascii="Times New Roman" w:hAnsi="Times New Roman" w:cs="Times New Roman"/>
          <w:sz w:val="28"/>
          <w:szCs w:val="28"/>
        </w:rPr>
        <w:t>ры «3 889,9» заменить цифрами «8</w:t>
      </w:r>
      <w:r w:rsidRPr="00BD2F14">
        <w:rPr>
          <w:rFonts w:ascii="Times New Roman" w:hAnsi="Times New Roman" w:cs="Times New Roman"/>
          <w:sz w:val="28"/>
          <w:szCs w:val="28"/>
        </w:rPr>
        <w:t> </w:t>
      </w:r>
      <w:r w:rsidR="00182E18">
        <w:rPr>
          <w:rFonts w:ascii="Times New Roman" w:hAnsi="Times New Roman" w:cs="Times New Roman"/>
          <w:sz w:val="28"/>
          <w:szCs w:val="28"/>
        </w:rPr>
        <w:t>037</w:t>
      </w:r>
      <w:r w:rsidRPr="00BD2F14">
        <w:rPr>
          <w:rFonts w:ascii="Times New Roman" w:hAnsi="Times New Roman" w:cs="Times New Roman"/>
          <w:sz w:val="28"/>
          <w:szCs w:val="28"/>
        </w:rPr>
        <w:t>,0»;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«2023» цифры «5 367,0» заменить цифрами «5 690,1»;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д) в позиции «Итого по государственной программе»: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«областной бюджет»: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«2022» цифры «1 815 157,8» заменить цифрами «</w:t>
      </w:r>
      <w:r w:rsidR="003451F3">
        <w:rPr>
          <w:rFonts w:ascii="Times New Roman" w:hAnsi="Times New Roman" w:cs="Times New Roman"/>
          <w:sz w:val="28"/>
          <w:szCs w:val="28"/>
        </w:rPr>
        <w:t>2</w:t>
      </w:r>
      <w:r w:rsidRPr="00BD2F14">
        <w:rPr>
          <w:rFonts w:ascii="Times New Roman" w:hAnsi="Times New Roman" w:cs="Times New Roman"/>
          <w:sz w:val="28"/>
          <w:szCs w:val="28"/>
        </w:rPr>
        <w:t> </w:t>
      </w:r>
      <w:r w:rsidR="003451F3">
        <w:rPr>
          <w:rFonts w:ascii="Times New Roman" w:hAnsi="Times New Roman" w:cs="Times New Roman"/>
          <w:sz w:val="28"/>
          <w:szCs w:val="28"/>
        </w:rPr>
        <w:t>021 006,4</w:t>
      </w:r>
      <w:r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«2023» цифры «2 612 417,2» заменить цифрами «2 618 556,5»;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строке «местные бюджеты»:</w:t>
      </w:r>
    </w:p>
    <w:p w:rsidR="00A45518" w:rsidRPr="00BD2F14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«2022» цифры «39 980,7» заменить цифрами «5</w:t>
      </w:r>
      <w:r w:rsidR="003451F3">
        <w:rPr>
          <w:rFonts w:ascii="Times New Roman" w:hAnsi="Times New Roman" w:cs="Times New Roman"/>
          <w:sz w:val="28"/>
          <w:szCs w:val="28"/>
        </w:rPr>
        <w:t>0 814,8</w:t>
      </w:r>
      <w:r w:rsidRPr="00BD2F14">
        <w:rPr>
          <w:rFonts w:ascii="Times New Roman" w:hAnsi="Times New Roman" w:cs="Times New Roman"/>
          <w:sz w:val="28"/>
          <w:szCs w:val="28"/>
        </w:rPr>
        <w:t>»;</w:t>
      </w:r>
    </w:p>
    <w:p w:rsidR="00A45518" w:rsidRDefault="00A45518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графе «2023» цифры «47 641,8» заменить цифрами «47 964,9»;</w:t>
      </w:r>
    </w:p>
    <w:p w:rsidR="00D34384" w:rsidRPr="00BD2F14" w:rsidRDefault="00D34384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34384">
        <w:rPr>
          <w:rFonts w:ascii="Times New Roman" w:hAnsi="Times New Roman" w:cs="Times New Roman"/>
          <w:sz w:val="28"/>
          <w:szCs w:val="28"/>
        </w:rPr>
        <w:t xml:space="preserve">приложение № 3 к государственной программе «Сводные финансовые затраты и налоговые расходы государственной программы Новосибирской области «Стимулирование развития жилищного строительства в Новосибирской области» изложить в редакции согласно приложению № </w:t>
      </w:r>
      <w:r w:rsidR="00CF29ED">
        <w:rPr>
          <w:rFonts w:ascii="Times New Roman" w:hAnsi="Times New Roman" w:cs="Times New Roman"/>
          <w:sz w:val="28"/>
          <w:szCs w:val="28"/>
        </w:rPr>
        <w:t>1</w:t>
      </w:r>
      <w:r w:rsidRPr="00D34384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DC68E5" w:rsidRPr="00BD2F14" w:rsidRDefault="00D34384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1836" w:rsidRPr="00BD2F14">
        <w:rPr>
          <w:rFonts w:ascii="Times New Roman" w:hAnsi="Times New Roman" w:cs="Times New Roman"/>
          <w:sz w:val="28"/>
          <w:szCs w:val="28"/>
        </w:rPr>
        <w:t>) </w:t>
      </w:r>
      <w:r w:rsidR="00DC68E5" w:rsidRPr="00BD2F14">
        <w:rPr>
          <w:rFonts w:ascii="Times New Roman" w:hAnsi="Times New Roman" w:cs="Times New Roman"/>
          <w:sz w:val="28"/>
          <w:szCs w:val="28"/>
        </w:rPr>
        <w:t>в приложении № 8 к государственной программе «Подпрограмма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49502C" w:rsidRDefault="001809B3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908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B45369B" wp14:editId="494C9347">
                <wp:simplePos x="0" y="0"/>
                <wp:positionH relativeFrom="column">
                  <wp:posOffset>66675</wp:posOffset>
                </wp:positionH>
                <wp:positionV relativeFrom="paragraph">
                  <wp:posOffset>622935</wp:posOffset>
                </wp:positionV>
                <wp:extent cx="160655" cy="244475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09B3" w:rsidRDefault="001809B3" w:rsidP="001809B3">
                            <w:pPr>
                              <w:overflowPunct w:val="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5369B" id="_x0000_s1028" type="#_x0000_t202" style="position:absolute;left:0;text-align:left;margin-left:5.25pt;margin-top:49.05pt;width:12.65pt;height:19.2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" filled="f" stroked="f">
                <v:textbox style="mso-fit-shape-to-text:t" inset="0,0,0,0">
                  <w:txbxContent>
                    <w:p w:rsidR="001809B3" w:rsidRDefault="001809B3" w:rsidP="001809B3">
                      <w:pPr>
                        <w:overflowPunct w:val="0"/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DC68E5" w:rsidRPr="00BD2F14">
        <w:rPr>
          <w:rFonts w:ascii="Times New Roman" w:hAnsi="Times New Roman" w:cs="Times New Roman"/>
          <w:sz w:val="28"/>
          <w:szCs w:val="28"/>
        </w:rPr>
        <w:t>а) </w:t>
      </w:r>
      <w:r w:rsidR="0049502C" w:rsidRPr="00BD2F14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9502C" w:rsidRPr="00BD2F14">
        <w:rPr>
          <w:rFonts w:ascii="Times New Roman" w:hAnsi="Times New Roman" w:cs="Times New Roman"/>
          <w:sz w:val="28"/>
          <w:szCs w:val="28"/>
        </w:rPr>
        <w:t xml:space="preserve"> «Объемы финансирования государственной программы» раздела I «Паспорт государственной программы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9502C" w:rsidRPr="00BD2F14">
        <w:rPr>
          <w:rFonts w:ascii="Times New Roman" w:hAnsi="Times New Roman" w:cs="Times New Roman"/>
          <w:sz w:val="28"/>
          <w:szCs w:val="28"/>
        </w:rPr>
        <w:t>:</w:t>
      </w:r>
      <w:r w:rsidRPr="001809B3">
        <w:rPr>
          <w:noProof/>
        </w:rPr>
        <w:t xml:space="preserve"> </w:t>
      </w:r>
    </w:p>
    <w:tbl>
      <w:tblPr>
        <w:tblW w:w="9355" w:type="dxa"/>
        <w:tblInd w:w="4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7090"/>
      </w:tblGrid>
      <w:tr w:rsidR="001809B3" w:rsidRPr="00A64908" w:rsidTr="001809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Общий объем ассигнований на реализацию подпрограммы составляет 1 </w:t>
            </w:r>
            <w:r w:rsidR="009B3918">
              <w:rPr>
                <w:sz w:val="28"/>
                <w:szCs w:val="28"/>
              </w:rPr>
              <w:t>512 419,5</w:t>
            </w:r>
            <w:r w:rsidRPr="00A6490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2015 год - 3 915,2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2016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2017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2018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2019 год - 217 482,5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2020 год - 2 978,4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2021 год - 160 323,8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2022 год - </w:t>
            </w:r>
            <w:r>
              <w:rPr>
                <w:sz w:val="28"/>
                <w:szCs w:val="28"/>
              </w:rPr>
              <w:t>4</w:t>
            </w:r>
            <w:r w:rsidR="009B3918">
              <w:rPr>
                <w:sz w:val="28"/>
                <w:szCs w:val="28"/>
              </w:rPr>
              <w:t>96 140,6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2023 год - 315 789,5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2024 год - 315 789,5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по источникам финансирования: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средства областного бюджета - 1 </w:t>
            </w:r>
            <w:r>
              <w:rPr>
                <w:sz w:val="28"/>
                <w:szCs w:val="28"/>
              </w:rPr>
              <w:t>4</w:t>
            </w:r>
            <w:r w:rsidR="009B3918">
              <w:rPr>
                <w:sz w:val="28"/>
                <w:szCs w:val="28"/>
              </w:rPr>
              <w:t>36 915,3</w:t>
            </w:r>
            <w:r w:rsidRPr="00A64908">
              <w:rPr>
                <w:sz w:val="28"/>
                <w:szCs w:val="28"/>
              </w:rPr>
              <w:t xml:space="preserve"> тыс. рублей,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2015 год - 3 719,4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2016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2017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2018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2019 год - 206 608,4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2020 год - 2 946,3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2021 год - 152 307,6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2022 год - </w:t>
            </w:r>
            <w:r>
              <w:rPr>
                <w:sz w:val="28"/>
                <w:szCs w:val="28"/>
              </w:rPr>
              <w:t>4</w:t>
            </w:r>
            <w:r w:rsidR="00F77318">
              <w:rPr>
                <w:sz w:val="28"/>
                <w:szCs w:val="28"/>
              </w:rPr>
              <w:t>71 333,6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2023 год - 300 000,0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2024 год - 300 000,0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средства местных бюджетов -</w:t>
            </w:r>
          </w:p>
          <w:p w:rsidR="001809B3" w:rsidRPr="00A64908" w:rsidRDefault="00F77318" w:rsidP="000237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75 504,2</w:t>
            </w:r>
            <w:r w:rsidR="001809B3" w:rsidRPr="00A6490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2015 год - 195,8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2016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2017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2018 год - 0,0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2019 год - 10 874,1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2020 год - 32,1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2021 год - 8 016,2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2022 год - </w:t>
            </w:r>
            <w:r w:rsidR="00F77318">
              <w:rPr>
                <w:sz w:val="28"/>
                <w:szCs w:val="28"/>
              </w:rPr>
              <w:t>24 807,0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2023 год - 15 789,5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2024 год - 15 789,5 тыс. рублей.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Суммы средств, выделяемые из областного и местных бюджетов, подлежат ежегодному уточнению исходя из возможностей бюджетов всех уровней.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В подпрограмме приведена прогнозная (справочная) информация об объемах средств местных бюджетов</w:t>
            </w:r>
          </w:p>
        </w:tc>
      </w:tr>
    </w:tbl>
    <w:p w:rsidR="001809B3" w:rsidRPr="00BD2F14" w:rsidRDefault="001809B3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908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79DD5A43" wp14:editId="3BDCA2D8">
                <wp:simplePos x="0" y="0"/>
                <wp:positionH relativeFrom="column">
                  <wp:posOffset>6144260</wp:posOffset>
                </wp:positionH>
                <wp:positionV relativeFrom="paragraph">
                  <wp:posOffset>-231140</wp:posOffset>
                </wp:positionV>
                <wp:extent cx="344805" cy="32575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2575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809B3" w:rsidRDefault="001809B3" w:rsidP="001809B3">
                            <w:pPr>
                              <w:pStyle w:val="aff6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D5A43" id="_x0000_s1029" style="position:absolute;left:0;text-align:left;margin-left:483.8pt;margin-top:-18.2pt;width:27.15pt;height:25.65pt;z-index:25166336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" filled="f" stroked="f" strokeweight=".18mm">
                <v:textbox>
                  <w:txbxContent>
                    <w:p w:rsidR="001809B3" w:rsidRDefault="001809B3" w:rsidP="001809B3">
                      <w:pPr>
                        <w:pStyle w:val="aff6"/>
                      </w:pPr>
                      <w:r>
                        <w:rPr>
                          <w:color w:val="000000"/>
                          <w:sz w:val="28"/>
                        </w:rPr>
                        <w:t>»;</w:t>
                      </w:r>
                    </w:p>
                  </w:txbxContent>
                </v:textbox>
              </v:rect>
            </w:pict>
          </mc:Fallback>
        </mc:AlternateContent>
      </w:r>
    </w:p>
    <w:p w:rsidR="00DC68E5" w:rsidRPr="00BD2F14" w:rsidRDefault="0049502C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б) </w:t>
      </w:r>
      <w:r w:rsidR="00DC68E5" w:rsidRPr="00BD2F14">
        <w:rPr>
          <w:rFonts w:ascii="Times New Roman" w:hAnsi="Times New Roman" w:cs="Times New Roman"/>
          <w:sz w:val="28"/>
          <w:szCs w:val="28"/>
        </w:rPr>
        <w:t>в разделе IV «Характеристика мероприятий подпрограммы»:</w:t>
      </w:r>
    </w:p>
    <w:p w:rsidR="00DC68E5" w:rsidRPr="00BD2F14" w:rsidRDefault="00DC68E5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абзаце седьмом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«приказом министерства строительства Новосибирской области от 11.11.2021 № 711 «Об утверждении Методики определения стоимости одного квадратного метра общей площади жилого помещения по муниципальным образованиям Новосибирской области» для приобретения жилых помещений»;</w:t>
      </w:r>
    </w:p>
    <w:p w:rsidR="00DC68E5" w:rsidRPr="00BD2F14" w:rsidRDefault="00DC68E5" w:rsidP="00DC68E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в абзаце восьмом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«приказом министерства строительства Новосибирской области от 11.11.2021 № 711 «Об утверждении Методики определения стоимости одного квадратного метра общей площади жилого помещения по муниципальным образованиям Новосибирской области» для осуществления строительства жилых помещений»;</w:t>
      </w:r>
    </w:p>
    <w:p w:rsidR="00DC68E5" w:rsidRPr="00BD2F14" w:rsidRDefault="00DC68E5" w:rsidP="00DC68E5">
      <w:pPr>
        <w:ind w:firstLine="540"/>
        <w:jc w:val="both"/>
        <w:rPr>
          <w:sz w:val="28"/>
          <w:szCs w:val="28"/>
        </w:rPr>
      </w:pPr>
      <w:r w:rsidRPr="00BD2F14">
        <w:rPr>
          <w:sz w:val="28"/>
          <w:szCs w:val="28"/>
        </w:rPr>
        <w:lastRenderedPageBreak/>
        <w:t>абзац десятый признать утратившим силу;</w:t>
      </w:r>
    </w:p>
    <w:p w:rsidR="00A45518" w:rsidRPr="00BD2F14" w:rsidRDefault="00D34384" w:rsidP="00DC68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68E5" w:rsidRPr="00BD2F14">
        <w:rPr>
          <w:sz w:val="28"/>
          <w:szCs w:val="28"/>
        </w:rPr>
        <w:t>) в приложении № 8.1 к государственной программе Новосибирской области «Стимулирование развития жилищного строительства в Новосибирской области» Подпрограмма «Государственная поддержка муниципальных образований Новосибирской области при строительстве специализированного жилищного фонда» государственной программы Новосибирской области «Стимулирование развития жилищного строительства в Новосибирской области»</w:t>
      </w:r>
      <w:r w:rsidR="00A45518" w:rsidRPr="00BD2F14">
        <w:rPr>
          <w:sz w:val="28"/>
          <w:szCs w:val="28"/>
        </w:rPr>
        <w:t>:</w:t>
      </w:r>
    </w:p>
    <w:p w:rsidR="00A45518" w:rsidRPr="00BD2F14" w:rsidRDefault="001809B3" w:rsidP="00A4551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908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67D9A92" wp14:editId="0B9FB4D3">
                <wp:simplePos x="0" y="0"/>
                <wp:positionH relativeFrom="column">
                  <wp:posOffset>6172200</wp:posOffset>
                </wp:positionH>
                <wp:positionV relativeFrom="paragraph">
                  <wp:posOffset>5406390</wp:posOffset>
                </wp:positionV>
                <wp:extent cx="344805" cy="325755"/>
                <wp:effectExtent l="0" t="0" r="0" b="0"/>
                <wp:wrapNone/>
                <wp:docPr id="16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32575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809B3" w:rsidRDefault="001809B3" w:rsidP="001809B3">
                            <w:pPr>
                              <w:pStyle w:val="aff6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»;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D9A92" id="Надпись 12" o:spid="_x0000_s1030" style="position:absolute;left:0;text-align:left;margin-left:486pt;margin-top:425.7pt;width:27.15pt;height:25.6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" filled="f" stroked="f" strokeweight=".18mm">
                <v:textbox>
                  <w:txbxContent>
                    <w:p w:rsidR="001809B3" w:rsidRDefault="001809B3" w:rsidP="001809B3">
                      <w:pPr>
                        <w:pStyle w:val="aff6"/>
                      </w:pPr>
                      <w:r>
                        <w:rPr>
                          <w:color w:val="000000"/>
                          <w:sz w:val="28"/>
                        </w:rPr>
                        <w:t>»;</w:t>
                      </w:r>
                    </w:p>
                  </w:txbxContent>
                </v:textbox>
              </v:rect>
            </w:pict>
          </mc:Fallback>
        </mc:AlternateContent>
      </w:r>
      <w:r w:rsidRPr="00A64908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D78FCE3" wp14:editId="758A49EF">
                <wp:simplePos x="0" y="0"/>
                <wp:positionH relativeFrom="column">
                  <wp:posOffset>4445</wp:posOffset>
                </wp:positionH>
                <wp:positionV relativeFrom="paragraph">
                  <wp:posOffset>561975</wp:posOffset>
                </wp:positionV>
                <wp:extent cx="278130" cy="325755"/>
                <wp:effectExtent l="0" t="0" r="0" b="0"/>
                <wp:wrapNone/>
                <wp:docPr id="18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32575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809B3" w:rsidRDefault="001809B3" w:rsidP="001809B3">
                            <w:pPr>
                              <w:pStyle w:val="aff6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«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8FCE3" id="Надпись 11" o:spid="_x0000_s1031" style="position:absolute;left:0;text-align:left;margin-left:.35pt;margin-top:44.25pt;width:21.9pt;height:25.6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" filled="f" stroked="f" strokeweight=".18mm">
                <v:textbox>
                  <w:txbxContent>
                    <w:p w:rsidR="001809B3" w:rsidRDefault="001809B3" w:rsidP="001809B3">
                      <w:pPr>
                        <w:pStyle w:val="aff6"/>
                      </w:pPr>
                      <w:r>
                        <w:rPr>
                          <w:color w:val="000000"/>
                          <w:sz w:val="28"/>
                        </w:rPr>
                        <w:t>«</w:t>
                      </w:r>
                    </w:p>
                  </w:txbxContent>
                </v:textbox>
              </v:rect>
            </w:pict>
          </mc:Fallback>
        </mc:AlternateContent>
      </w:r>
      <w:r w:rsidR="00A45518" w:rsidRPr="00BD2F14">
        <w:rPr>
          <w:rFonts w:ascii="Times New Roman" w:hAnsi="Times New Roman" w:cs="Times New Roman"/>
          <w:sz w:val="28"/>
          <w:szCs w:val="28"/>
        </w:rPr>
        <w:t>а) позици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45518" w:rsidRPr="00BD2F14">
        <w:rPr>
          <w:rFonts w:ascii="Times New Roman" w:hAnsi="Times New Roman" w:cs="Times New Roman"/>
          <w:sz w:val="28"/>
          <w:szCs w:val="28"/>
        </w:rPr>
        <w:t xml:space="preserve"> «Объемы финансирования государственной программы» раздела I «Паспорт государственной программы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45518" w:rsidRPr="00BD2F14">
        <w:rPr>
          <w:rFonts w:ascii="Times New Roman" w:hAnsi="Times New Roman" w:cs="Times New Roman"/>
          <w:sz w:val="28"/>
          <w:szCs w:val="28"/>
        </w:rPr>
        <w:t>:</w:t>
      </w:r>
      <w:r w:rsidRPr="001809B3">
        <w:rPr>
          <w:noProof/>
        </w:rPr>
        <w:t xml:space="preserve"> </w:t>
      </w:r>
    </w:p>
    <w:tbl>
      <w:tblPr>
        <w:tblW w:w="9355" w:type="dxa"/>
        <w:tblInd w:w="4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5"/>
        <w:gridCol w:w="7090"/>
      </w:tblGrid>
      <w:tr w:rsidR="001809B3" w:rsidRPr="00A64908" w:rsidTr="00023700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Общий объем ассигнований на реализацию подпрограммы составляет </w:t>
            </w:r>
            <w:r w:rsidR="00F77318">
              <w:rPr>
                <w:sz w:val="28"/>
                <w:szCs w:val="28"/>
              </w:rPr>
              <w:t>405 849,9</w:t>
            </w:r>
            <w:r w:rsidRPr="00A6490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2021 год - 29 223,1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2022 год - </w:t>
            </w:r>
            <w:r w:rsidR="00F77318">
              <w:rPr>
                <w:sz w:val="28"/>
                <w:szCs w:val="28"/>
              </w:rPr>
              <w:t>160 740,8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2023 год - 1</w:t>
            </w:r>
            <w:r>
              <w:rPr>
                <w:sz w:val="28"/>
                <w:szCs w:val="28"/>
              </w:rPr>
              <w:t>13 802,5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2024 год - 102 083,5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по источникам финансирования: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средства областного бюджета - 3</w:t>
            </w:r>
            <w:r w:rsidR="00F77318">
              <w:rPr>
                <w:sz w:val="28"/>
                <w:szCs w:val="28"/>
              </w:rPr>
              <w:t>85 557,4</w:t>
            </w:r>
            <w:r w:rsidRPr="00A6490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2021 год - 27 761,9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2022 год - </w:t>
            </w:r>
            <w:r>
              <w:rPr>
                <w:sz w:val="28"/>
                <w:szCs w:val="28"/>
              </w:rPr>
              <w:t>1</w:t>
            </w:r>
            <w:r w:rsidR="00F77318">
              <w:rPr>
                <w:sz w:val="28"/>
                <w:szCs w:val="28"/>
              </w:rPr>
              <w:t>52 703,8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2023 год - 10</w:t>
            </w:r>
            <w:r>
              <w:rPr>
                <w:sz w:val="28"/>
                <w:szCs w:val="28"/>
              </w:rPr>
              <w:t>8 112,4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2024 год - 96 979,3 тыс. рублей;</w:t>
            </w:r>
          </w:p>
          <w:p w:rsidR="001809B3" w:rsidRPr="00A64908" w:rsidRDefault="001809B3" w:rsidP="00023700">
            <w:pPr>
              <w:jc w:val="both"/>
            </w:pPr>
            <w:r w:rsidRPr="00A64908">
              <w:rPr>
                <w:sz w:val="28"/>
                <w:szCs w:val="28"/>
              </w:rPr>
              <w:t xml:space="preserve">средства местных бюджетов - </w:t>
            </w:r>
            <w:r w:rsidR="00F77318">
              <w:rPr>
                <w:sz w:val="28"/>
                <w:szCs w:val="28"/>
              </w:rPr>
              <w:t>20 292,5</w:t>
            </w:r>
            <w:r w:rsidRPr="00A64908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2021 год - 1 461,2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2022 год - </w:t>
            </w:r>
            <w:r w:rsidR="00F77318">
              <w:rPr>
                <w:sz w:val="28"/>
                <w:szCs w:val="28"/>
              </w:rPr>
              <w:t>8 037,0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2023 год - </w:t>
            </w:r>
            <w:r w:rsidR="00F77318">
              <w:rPr>
                <w:sz w:val="28"/>
                <w:szCs w:val="28"/>
              </w:rPr>
              <w:t>5 690,1</w:t>
            </w:r>
            <w:r w:rsidRPr="00A64908">
              <w:rPr>
                <w:sz w:val="28"/>
                <w:szCs w:val="28"/>
              </w:rPr>
              <w:t xml:space="preserve"> тыс. рублей;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2024 год - 5</w:t>
            </w:r>
            <w:r w:rsidR="00F77318">
              <w:rPr>
                <w:sz w:val="28"/>
                <w:szCs w:val="28"/>
              </w:rPr>
              <w:t> 104,2</w:t>
            </w:r>
            <w:r w:rsidRPr="00A64908">
              <w:rPr>
                <w:sz w:val="28"/>
                <w:szCs w:val="28"/>
              </w:rPr>
              <w:t xml:space="preserve"> тыс. рублей.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Суммы средств, выделяемые из областного и местных бюджетов, подлежат ежегодному уточнению исходя из возможностей бюджетов всех уровней.</w:t>
            </w:r>
          </w:p>
          <w:p w:rsidR="001809B3" w:rsidRPr="00A64908" w:rsidRDefault="001809B3" w:rsidP="00023700">
            <w:pPr>
              <w:jc w:val="both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В подпрограмме приведена прогнозная (справочная) информация об объемах средств местных бюджетов</w:t>
            </w:r>
          </w:p>
        </w:tc>
      </w:tr>
    </w:tbl>
    <w:p w:rsidR="00DC68E5" w:rsidRPr="00BD2F14" w:rsidRDefault="00BD2F14" w:rsidP="00DC68E5">
      <w:pPr>
        <w:ind w:firstLine="540"/>
        <w:jc w:val="both"/>
        <w:rPr>
          <w:sz w:val="28"/>
          <w:szCs w:val="28"/>
        </w:rPr>
      </w:pPr>
      <w:r w:rsidRPr="00BD2F14">
        <w:rPr>
          <w:sz w:val="28"/>
          <w:szCs w:val="28"/>
        </w:rPr>
        <w:t xml:space="preserve">б) в разделе IV «Характеристика мероприятий подпрограммы» в </w:t>
      </w:r>
      <w:r w:rsidR="00DC68E5" w:rsidRPr="00BD2F14">
        <w:rPr>
          <w:sz w:val="28"/>
          <w:szCs w:val="28"/>
        </w:rPr>
        <w:t>абзац</w:t>
      </w:r>
      <w:r w:rsidRPr="00BD2F14">
        <w:rPr>
          <w:sz w:val="28"/>
          <w:szCs w:val="28"/>
        </w:rPr>
        <w:t>е</w:t>
      </w:r>
      <w:r w:rsidR="00DC68E5" w:rsidRPr="00BD2F14">
        <w:rPr>
          <w:sz w:val="28"/>
          <w:szCs w:val="28"/>
        </w:rPr>
        <w:t xml:space="preserve"> шесто</w:t>
      </w:r>
      <w:r w:rsidRPr="00BD2F14">
        <w:rPr>
          <w:sz w:val="28"/>
          <w:szCs w:val="28"/>
        </w:rPr>
        <w:t xml:space="preserve">м после слов </w:t>
      </w:r>
      <w:r w:rsidR="00DC68E5" w:rsidRPr="00BD2F14">
        <w:rPr>
          <w:sz w:val="28"/>
          <w:szCs w:val="28"/>
        </w:rPr>
        <w:t>«инженерно-геодезические</w:t>
      </w:r>
      <w:r w:rsidRPr="00BD2F14">
        <w:rPr>
          <w:sz w:val="28"/>
          <w:szCs w:val="28"/>
        </w:rPr>
        <w:t>» дополнить словами</w:t>
      </w:r>
      <w:r w:rsidR="00DC68E5" w:rsidRPr="00BD2F14">
        <w:rPr>
          <w:sz w:val="28"/>
          <w:szCs w:val="28"/>
        </w:rPr>
        <w:t xml:space="preserve"> </w:t>
      </w:r>
      <w:r w:rsidRPr="00BD2F14">
        <w:rPr>
          <w:sz w:val="28"/>
          <w:szCs w:val="28"/>
        </w:rPr>
        <w:t>«</w:t>
      </w:r>
      <w:r w:rsidR="00DC68E5" w:rsidRPr="00BD2F14">
        <w:rPr>
          <w:sz w:val="28"/>
          <w:szCs w:val="28"/>
        </w:rPr>
        <w:t>инженерно-геологические, инженерно-экологические»;</w:t>
      </w:r>
    </w:p>
    <w:p w:rsidR="00DC68E5" w:rsidRPr="00BD2F14" w:rsidRDefault="00D34384" w:rsidP="00DC68E5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DC68E5" w:rsidRPr="00BD2F14">
        <w:rPr>
          <w:sz w:val="28"/>
          <w:szCs w:val="28"/>
        </w:rPr>
        <w:t xml:space="preserve">) в </w:t>
      </w:r>
      <w:r w:rsidR="00DC68E5" w:rsidRPr="00BD2F14">
        <w:rPr>
          <w:rFonts w:eastAsia="Calibri"/>
          <w:sz w:val="28"/>
          <w:szCs w:val="28"/>
          <w:lang w:eastAsia="en-US"/>
        </w:rPr>
        <w:t>приложении № 14 к государственной программе «Порядок предоставления и распределения субсидий из областного бюджета Новосибирской области местным бюджетам на реализацию государственной программы Новосибирской области «Стимулирование развития жилищного строительства в Новосибирской области»: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а) пункт 2 изложить в следующей редакции: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lastRenderedPageBreak/>
        <w:t>«Финансирование мероприятий государственной программы по подпрограммам, указанным в пункте 1 настоящего Порядка, осуществляется главными распорядителями бюджетных средств в пределах бюджетных ассигнований и лимитов бюджетных обязательств, утвержденных на эти цели законом Новосибирской области об областном бюджете Новосибирской области на текущий финансовый год и плановый период.»;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б) слово «министерство» заменить словами «адрес главных распорядителей бюджетных средств»;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в) в подпункте 1 пункта 29 слова «федеральным органом исполнительной власти, уполномоченным Правительством Российской Федерации, на 3 квартал года, предшествующего планируемому» заменить словами «приказом министерства строительства Новосибирской области от 11.11.2021 № 711 «Об утверждении Методики определения стоимости одного квадратного метра общей площади жилого помещения по муниципальным образованиям Новосибирской области»»;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г) в подпункте 1 пункта 42 раздела VII «Порядок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мероприятий в рамках подпрограммы «Государственная поддержка муниципальных образований Новосибирской области при строительстве специализированного жилищного фонда» цифры «10» заменить цифрами «15»;</w:t>
      </w:r>
    </w:p>
    <w:p w:rsidR="00DC68E5" w:rsidRPr="00BD2F14" w:rsidRDefault="00DC68E5" w:rsidP="00DC68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2F14">
        <w:rPr>
          <w:rFonts w:eastAsia="Calibri"/>
          <w:sz w:val="28"/>
          <w:szCs w:val="28"/>
          <w:lang w:eastAsia="en-US"/>
        </w:rPr>
        <w:t>д) дополнить разделом следующего содержания:</w:t>
      </w:r>
    </w:p>
    <w:p w:rsidR="00826DFB" w:rsidRPr="00BD2F14" w:rsidRDefault="00DC68E5" w:rsidP="00DC68E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2F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6DFB" w:rsidRPr="00BD2F14">
        <w:rPr>
          <w:rFonts w:ascii="Times New Roman" w:hAnsi="Times New Roman" w:cs="Times New Roman"/>
          <w:b w:val="0"/>
          <w:sz w:val="28"/>
          <w:szCs w:val="28"/>
        </w:rPr>
        <w:t>«VII</w:t>
      </w:r>
      <w:r w:rsidR="00826DFB" w:rsidRPr="00BD2F14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826DFB" w:rsidRPr="00BD2F14">
        <w:rPr>
          <w:rFonts w:ascii="Times New Roman" w:hAnsi="Times New Roman" w:cs="Times New Roman"/>
          <w:b w:val="0"/>
          <w:sz w:val="28"/>
          <w:szCs w:val="28"/>
        </w:rPr>
        <w:t>. Порядок предоставления и распределения субсидий из областного бюджета Новосибирской области местным бюджетам Новосибирской области на реализацию мероприятия «Региональный проект «Жилье» в рамках подпрограммы «Земельные ресурсы и инфраструктура»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45. Субсидии предоставляются в целях софинансирования строительства объектов капитального строительства транспортной инфраструктуры, объектов водоснабжения, водоотведения и теплоснабжения, в том числе магистральных сетей, в целях реализации проектов по развитию территорий, определенных по итогам проведения конкурсного отбора на участие в федеральном проекте «Жилье»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 от 30.12.2017 № 1710.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 xml:space="preserve">46. Предоставление субсидий местным бюджетам осуществляют главные распорядители средств областного бюджета на основании заключенного соглашения о предоставлении субсидии из бюджета Новосибирской области местному бюджету (далее – Соглашение), соответствующего требованиям подпункта л(1) пункта 10 Правил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Федерации». 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 xml:space="preserve">47. Соглашение заключается в форме электронного документа в </w:t>
      </w:r>
      <w:r w:rsidRPr="00BD2F14">
        <w:rPr>
          <w:rFonts w:ascii="Times New Roman" w:hAnsi="Times New Roman" w:cs="Times New Roman"/>
          <w:sz w:val="28"/>
          <w:szCs w:val="28"/>
        </w:rPr>
        <w:lastRenderedPageBreak/>
        <w:t>государственной интегрированной информационной системе управления общественными финансами «Электронный бюджет».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48. Общий размер субсидии, предоставляемой из областного бюджета Новосибирской области местному бюджету, определяется исходя из уровня софинансирования, установленного в Соглашении.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 xml:space="preserve">49. Объем бюджетных ассигнований бюджета муниципального образования на финансовое обеспечение расходного обязательства муниципального образования, софинансируемого за счет субсидии, утверждается </w:t>
      </w:r>
      <w:r w:rsidR="000825D8">
        <w:rPr>
          <w:rFonts w:ascii="Times New Roman" w:hAnsi="Times New Roman" w:cs="Times New Roman"/>
          <w:sz w:val="28"/>
          <w:szCs w:val="28"/>
        </w:rPr>
        <w:t>муниципальным правовым актом представительного органа муниципального образования</w:t>
      </w:r>
      <w:r w:rsidRPr="00BD2F14">
        <w:rPr>
          <w:rFonts w:ascii="Times New Roman" w:hAnsi="Times New Roman" w:cs="Times New Roman"/>
          <w:sz w:val="28"/>
          <w:szCs w:val="28"/>
        </w:rPr>
        <w:t xml:space="preserve"> (определяется сводной бюджетной росписью местного бюджета) исходя из необходимости достижения установленных соглашением значений результатов использования субсидии.»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2. В</w:t>
      </w:r>
      <w:r w:rsidR="000825D8">
        <w:rPr>
          <w:rFonts w:ascii="Times New Roman" w:hAnsi="Times New Roman" w:cs="Times New Roman"/>
          <w:sz w:val="28"/>
          <w:szCs w:val="28"/>
        </w:rPr>
        <w:t xml:space="preserve"> приложении № 1 к постановлению </w:t>
      </w:r>
      <w:r w:rsidRPr="00BD2F14">
        <w:rPr>
          <w:rFonts w:ascii="Times New Roman" w:hAnsi="Times New Roman" w:cs="Times New Roman"/>
          <w:sz w:val="28"/>
          <w:szCs w:val="28"/>
        </w:rPr>
        <w:t>«Порядок финансирования мероприятий, предусмотренных государственной программой Новосибирской области «Стимулирование развития жилищного строительства в Новосибирской области»: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1) в пункте 2 слова «главному распорядителю бюджетных средств - министерству строительства Новосибирской области (далее - министерство строительства)» заменить словами «главным распорядителям бюджетных средств»;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2) в пункте 3 слова «министерства строительства» заменить словами «главного распорядителя бюджетных средств»;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3) в пункте 4 слова «министерства строительства» исключить;</w:t>
      </w:r>
    </w:p>
    <w:p w:rsidR="00826DFB" w:rsidRPr="00BD2F14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4) в пункте 5 слова «Министерство строительства» заменить словами «Главный распорядитель бюджетных средств»;</w:t>
      </w:r>
    </w:p>
    <w:p w:rsidR="00826DFB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14">
        <w:rPr>
          <w:rFonts w:ascii="Times New Roman" w:hAnsi="Times New Roman" w:cs="Times New Roman"/>
          <w:sz w:val="28"/>
          <w:szCs w:val="28"/>
        </w:rPr>
        <w:t>5) в пункте 6 слова «министерство строительства» заменить словами «адрес</w:t>
      </w:r>
      <w:r w:rsidRPr="00826DFB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26DFB" w:rsidRDefault="00826DFB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пункте 7 слова «</w:t>
      </w:r>
      <w:r w:rsidRPr="00826DFB">
        <w:rPr>
          <w:rFonts w:ascii="Times New Roman" w:hAnsi="Times New Roman" w:cs="Times New Roman"/>
          <w:sz w:val="28"/>
          <w:szCs w:val="28"/>
        </w:rPr>
        <w:t>министерство строительства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Pr="00826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DFB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03DE" w:rsidRPr="00826DFB" w:rsidRDefault="008503DE" w:rsidP="00826DF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в пункте 8 слова «</w:t>
      </w:r>
      <w:r w:rsidRPr="008503DE">
        <w:rPr>
          <w:rFonts w:ascii="Times New Roman" w:hAnsi="Times New Roman" w:cs="Times New Roman"/>
          <w:sz w:val="28"/>
          <w:szCs w:val="28"/>
        </w:rPr>
        <w:t>министерство строительства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Pr="0085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03DE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26DFB" w:rsidRPr="00A64908" w:rsidRDefault="00826DFB" w:rsidP="00826DF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1E90" w:rsidRPr="00A64908" w:rsidRDefault="00A81E90">
      <w:pPr>
        <w:widowControl w:val="0"/>
        <w:ind w:firstLine="709"/>
        <w:jc w:val="both"/>
        <w:rPr>
          <w:sz w:val="28"/>
          <w:szCs w:val="28"/>
        </w:rPr>
      </w:pPr>
    </w:p>
    <w:p w:rsidR="00A81E90" w:rsidRPr="00A64908" w:rsidRDefault="00A81E90">
      <w:pPr>
        <w:widowControl w:val="0"/>
        <w:ind w:firstLine="709"/>
        <w:jc w:val="both"/>
        <w:rPr>
          <w:sz w:val="28"/>
          <w:szCs w:val="28"/>
        </w:rPr>
      </w:pPr>
    </w:p>
    <w:p w:rsidR="00A81E90" w:rsidRPr="00A64908" w:rsidRDefault="00A41EC0">
      <w:pPr>
        <w:widowControl w:val="0"/>
        <w:jc w:val="both"/>
        <w:rPr>
          <w:sz w:val="28"/>
          <w:szCs w:val="28"/>
        </w:rPr>
      </w:pPr>
      <w:r w:rsidRPr="00A64908"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4D2987" w:rsidRPr="00A64908" w:rsidRDefault="004D2987">
      <w:pPr>
        <w:widowControl w:val="0"/>
        <w:tabs>
          <w:tab w:val="left" w:pos="3240"/>
        </w:tabs>
        <w:outlineLvl w:val="0"/>
        <w:rPr>
          <w:szCs w:val="28"/>
        </w:rPr>
      </w:pPr>
    </w:p>
    <w:p w:rsidR="004D2987" w:rsidRPr="00A64908" w:rsidRDefault="004D2987">
      <w:pPr>
        <w:widowControl w:val="0"/>
        <w:tabs>
          <w:tab w:val="left" w:pos="3240"/>
        </w:tabs>
        <w:outlineLvl w:val="0"/>
        <w:rPr>
          <w:szCs w:val="28"/>
        </w:rPr>
      </w:pPr>
    </w:p>
    <w:p w:rsidR="004D2987" w:rsidRPr="00A64908" w:rsidRDefault="004D2987">
      <w:pPr>
        <w:widowControl w:val="0"/>
        <w:tabs>
          <w:tab w:val="left" w:pos="3240"/>
        </w:tabs>
        <w:outlineLvl w:val="0"/>
        <w:rPr>
          <w:szCs w:val="28"/>
        </w:rPr>
      </w:pPr>
    </w:p>
    <w:p w:rsidR="004D2987" w:rsidRPr="00A64908" w:rsidRDefault="004D2987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  <w:bookmarkStart w:id="0" w:name="_GoBack"/>
      <w:bookmarkEnd w:id="0"/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81E90">
      <w:pPr>
        <w:widowControl w:val="0"/>
        <w:tabs>
          <w:tab w:val="left" w:pos="3240"/>
        </w:tabs>
        <w:outlineLvl w:val="0"/>
        <w:rPr>
          <w:szCs w:val="28"/>
        </w:rPr>
      </w:pPr>
    </w:p>
    <w:p w:rsidR="00A81E90" w:rsidRPr="00A64908" w:rsidRDefault="00A41EC0">
      <w:pPr>
        <w:widowControl w:val="0"/>
        <w:tabs>
          <w:tab w:val="left" w:pos="3240"/>
        </w:tabs>
        <w:outlineLvl w:val="0"/>
        <w:rPr>
          <w:szCs w:val="28"/>
        </w:rPr>
      </w:pPr>
      <w:r w:rsidRPr="00A64908">
        <w:rPr>
          <w:szCs w:val="28"/>
        </w:rPr>
        <w:t xml:space="preserve">А.В. Колмаков </w:t>
      </w:r>
    </w:p>
    <w:p w:rsidR="00A81E90" w:rsidRPr="00A64908" w:rsidRDefault="00A41EC0">
      <w:pPr>
        <w:widowControl w:val="0"/>
        <w:rPr>
          <w:szCs w:val="28"/>
        </w:rPr>
      </w:pPr>
      <w:r w:rsidRPr="00A64908">
        <w:rPr>
          <w:szCs w:val="28"/>
        </w:rPr>
        <w:t>319 64 78</w:t>
      </w:r>
      <w:r w:rsidRPr="00A64908">
        <w:br w:type="page"/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6378"/>
        <w:gridCol w:w="3545"/>
      </w:tblGrid>
      <w:tr w:rsidR="00A81E90" w:rsidRPr="00A64908">
        <w:trPr>
          <w:trHeight w:val="584"/>
        </w:trPr>
        <w:tc>
          <w:tcPr>
            <w:tcW w:w="6377" w:type="dxa"/>
            <w:shd w:val="clear" w:color="auto" w:fill="auto"/>
          </w:tcPr>
          <w:p w:rsidR="00A81E90" w:rsidRPr="00A64908" w:rsidRDefault="00A41EC0">
            <w:pPr>
              <w:pageBreakBefore/>
              <w:textAlignment w:val="baseline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ind w:left="34"/>
              <w:rPr>
                <w:sz w:val="28"/>
                <w:szCs w:val="28"/>
              </w:rPr>
            </w:pPr>
          </w:p>
        </w:tc>
      </w:tr>
      <w:tr w:rsidR="00A81E90" w:rsidRPr="00A64908">
        <w:trPr>
          <w:trHeight w:val="584"/>
        </w:trPr>
        <w:tc>
          <w:tcPr>
            <w:tcW w:w="6377" w:type="dxa"/>
            <w:shd w:val="clear" w:color="auto" w:fill="auto"/>
          </w:tcPr>
          <w:p w:rsidR="00A81E90" w:rsidRPr="00A64908" w:rsidRDefault="00A81E90">
            <w:pPr>
              <w:pStyle w:val="af5"/>
              <w:rPr>
                <w:rFonts w:eastAsia="Calibri"/>
              </w:rPr>
            </w:pPr>
          </w:p>
          <w:p w:rsidR="00A81E90" w:rsidRPr="00A64908" w:rsidRDefault="00A41EC0">
            <w:pPr>
              <w:pStyle w:val="af5"/>
              <w:rPr>
                <w:rFonts w:eastAsia="Calibri"/>
              </w:rPr>
            </w:pPr>
            <w:r w:rsidRPr="00A64908">
              <w:rPr>
                <w:rFonts w:eastAsia="Calibri"/>
              </w:rPr>
              <w:t>Исполняющий обязанности министра</w:t>
            </w:r>
          </w:p>
          <w:p w:rsidR="00A81E90" w:rsidRPr="00A64908" w:rsidRDefault="00A41EC0">
            <w:pPr>
              <w:pStyle w:val="af5"/>
              <w:rPr>
                <w:rFonts w:eastAsia="Calibri"/>
              </w:rPr>
            </w:pPr>
            <w:r w:rsidRPr="00A64908">
              <w:rPr>
                <w:rFonts w:eastAsia="Calibri"/>
              </w:rPr>
              <w:t>строительства Новосибирской области</w:t>
            </w: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ind w:left="34"/>
              <w:rPr>
                <w:sz w:val="28"/>
                <w:szCs w:val="28"/>
              </w:rPr>
            </w:pPr>
          </w:p>
          <w:p w:rsidR="00A81E90" w:rsidRPr="00A64908" w:rsidRDefault="00A41EC0">
            <w:pPr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А.В. Колмаков 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Заместитель министра – начальник управления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экономики министерства строительства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Новосибирской области</w:t>
            </w: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Е.А. Бондаренко</w:t>
            </w: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026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41EC0" w:rsidRPr="00A64908">
              <w:rPr>
                <w:sz w:val="28"/>
                <w:szCs w:val="28"/>
              </w:rPr>
              <w:t xml:space="preserve">ачальник отдела правового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 xml:space="preserve">обеспечения министерства 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строительства</w:t>
            </w:r>
          </w:p>
          <w:p w:rsidR="00A81E90" w:rsidRPr="00A64908" w:rsidRDefault="00A41EC0">
            <w:pPr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Новосибирской области</w:t>
            </w:r>
          </w:p>
          <w:p w:rsidR="00A81E90" w:rsidRPr="00A64908" w:rsidRDefault="00A81E90">
            <w:pPr>
              <w:spacing w:line="276" w:lineRule="auto"/>
              <w:rPr>
                <w:sz w:val="28"/>
                <w:szCs w:val="28"/>
              </w:rPr>
            </w:pPr>
          </w:p>
          <w:p w:rsidR="00A81E90" w:rsidRPr="00A64908" w:rsidRDefault="00A81E9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  <w:p w:rsidR="00A81E90" w:rsidRPr="00A64908" w:rsidRDefault="000262D3">
            <w:pPr>
              <w:spacing w:line="276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41EC0" w:rsidRPr="00A6490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A41EC0" w:rsidRPr="00A6490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  <w:p w:rsidR="00A81E90" w:rsidRPr="00A64908" w:rsidRDefault="00A41EC0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A64908">
              <w:rPr>
                <w:sz w:val="28"/>
                <w:szCs w:val="28"/>
              </w:rPr>
              <w:t>«___»____________2022г.</w:t>
            </w:r>
          </w:p>
        </w:tc>
      </w:tr>
      <w:tr w:rsidR="00A81E90" w:rsidRPr="00A64908">
        <w:trPr>
          <w:trHeight w:val="960"/>
        </w:trPr>
        <w:tc>
          <w:tcPr>
            <w:tcW w:w="6377" w:type="dxa"/>
            <w:shd w:val="clear" w:color="auto" w:fill="auto"/>
          </w:tcPr>
          <w:p w:rsidR="00A81E90" w:rsidRPr="00A64908" w:rsidRDefault="00A81E90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auto"/>
          </w:tcPr>
          <w:p w:rsidR="00A81E90" w:rsidRPr="00A64908" w:rsidRDefault="00A81E90">
            <w:pPr>
              <w:spacing w:line="276" w:lineRule="auto"/>
              <w:ind w:left="34"/>
              <w:rPr>
                <w:sz w:val="28"/>
                <w:szCs w:val="28"/>
              </w:rPr>
            </w:pPr>
          </w:p>
        </w:tc>
      </w:tr>
    </w:tbl>
    <w:p w:rsidR="00A81E90" w:rsidRPr="00A64908" w:rsidRDefault="008E29DF">
      <w:pPr>
        <w:rPr>
          <w:sz w:val="28"/>
          <w:szCs w:val="28"/>
        </w:rPr>
      </w:pPr>
      <w:r w:rsidRPr="00A64908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-4603750</wp:posOffset>
                </wp:positionV>
                <wp:extent cx="127635" cy="159385"/>
                <wp:effectExtent l="0" t="0" r="0" b="0"/>
                <wp:wrapNone/>
                <wp:docPr id="2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E7D36B" id="Прямоугольник 1" o:spid="_x0000_s1026" style="position:absolute;margin-left:241.25pt;margin-top:-362.5pt;width:10.05pt;height:12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" strokecolor="white" strokeweight=".71mm">
                <v:stroke joinstyle="round"/>
              </v:rect>
            </w:pict>
          </mc:Fallback>
        </mc:AlternateContent>
      </w:r>
    </w:p>
    <w:p w:rsidR="00A81E90" w:rsidRPr="00A64908" w:rsidRDefault="00A81E90">
      <w:pPr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81E90">
      <w:pPr>
        <w:widowControl w:val="0"/>
        <w:rPr>
          <w:sz w:val="28"/>
          <w:szCs w:val="28"/>
        </w:rPr>
      </w:pPr>
    </w:p>
    <w:p w:rsidR="00A81E90" w:rsidRPr="00A64908" w:rsidRDefault="00A41EC0">
      <w:pPr>
        <w:widowControl w:val="0"/>
        <w:rPr>
          <w:szCs w:val="28"/>
        </w:rPr>
      </w:pPr>
      <w:r w:rsidRPr="00A64908">
        <w:rPr>
          <w:szCs w:val="28"/>
        </w:rPr>
        <w:t>Ходосова К.А.</w:t>
      </w:r>
    </w:p>
    <w:p w:rsidR="00A81E90" w:rsidRDefault="00A41EC0">
      <w:pPr>
        <w:widowControl w:val="0"/>
      </w:pPr>
      <w:r w:rsidRPr="00A64908">
        <w:rPr>
          <w:szCs w:val="28"/>
        </w:rPr>
        <w:t>319-64-78</w:t>
      </w:r>
    </w:p>
    <w:sectPr w:rsidR="00A81E90">
      <w:headerReference w:type="default" r:id="rId7"/>
      <w:pgSz w:w="11906" w:h="16838"/>
      <w:pgMar w:top="1134" w:right="567" w:bottom="1134" w:left="1418" w:header="680" w:footer="0" w:gutter="0"/>
      <w:pgNumType w:start="1"/>
      <w:cols w:space="720"/>
      <w:formProt w:val="0"/>
      <w:titlePg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C7" w:rsidRDefault="00B75BC7">
      <w:r>
        <w:separator/>
      </w:r>
    </w:p>
  </w:endnote>
  <w:endnote w:type="continuationSeparator" w:id="0">
    <w:p w:rsidR="00B75BC7" w:rsidRDefault="00B7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C7" w:rsidRDefault="00B75BC7">
      <w:r>
        <w:separator/>
      </w:r>
    </w:p>
  </w:footnote>
  <w:footnote w:type="continuationSeparator" w:id="0">
    <w:p w:rsidR="00B75BC7" w:rsidRDefault="00B7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18" w:rsidRDefault="00A45518">
    <w:pPr>
      <w:pStyle w:val="af9"/>
      <w:jc w:val="center"/>
    </w:pPr>
    <w:r>
      <w:fldChar w:fldCharType="begin"/>
    </w:r>
    <w:r>
      <w:instrText>PAGE</w:instrText>
    </w:r>
    <w:r>
      <w:fldChar w:fldCharType="separate"/>
    </w:r>
    <w:r w:rsidR="000825D8"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90"/>
    <w:rsid w:val="000262D3"/>
    <w:rsid w:val="000375EF"/>
    <w:rsid w:val="000676A8"/>
    <w:rsid w:val="0007222E"/>
    <w:rsid w:val="000825D8"/>
    <w:rsid w:val="000C1BB9"/>
    <w:rsid w:val="000E5629"/>
    <w:rsid w:val="001809B3"/>
    <w:rsid w:val="00182E18"/>
    <w:rsid w:val="001B6E01"/>
    <w:rsid w:val="001D7258"/>
    <w:rsid w:val="00237F50"/>
    <w:rsid w:val="002B4D88"/>
    <w:rsid w:val="003064F1"/>
    <w:rsid w:val="003451F3"/>
    <w:rsid w:val="00347CB6"/>
    <w:rsid w:val="00357F03"/>
    <w:rsid w:val="00422DBC"/>
    <w:rsid w:val="0049502C"/>
    <w:rsid w:val="004D2987"/>
    <w:rsid w:val="00580D92"/>
    <w:rsid w:val="005A3DEB"/>
    <w:rsid w:val="005B1B48"/>
    <w:rsid w:val="005B464B"/>
    <w:rsid w:val="005E7D3F"/>
    <w:rsid w:val="00616165"/>
    <w:rsid w:val="00623BC8"/>
    <w:rsid w:val="006922DD"/>
    <w:rsid w:val="006C2755"/>
    <w:rsid w:val="006D44A9"/>
    <w:rsid w:val="006F2B69"/>
    <w:rsid w:val="007253A3"/>
    <w:rsid w:val="007310C3"/>
    <w:rsid w:val="00740DB8"/>
    <w:rsid w:val="00826DFB"/>
    <w:rsid w:val="00846A58"/>
    <w:rsid w:val="008503DE"/>
    <w:rsid w:val="008955E6"/>
    <w:rsid w:val="008C641C"/>
    <w:rsid w:val="008D1858"/>
    <w:rsid w:val="008E29DF"/>
    <w:rsid w:val="00975212"/>
    <w:rsid w:val="009B3918"/>
    <w:rsid w:val="00A265A9"/>
    <w:rsid w:val="00A41EC0"/>
    <w:rsid w:val="00A45518"/>
    <w:rsid w:val="00A64908"/>
    <w:rsid w:val="00A81E90"/>
    <w:rsid w:val="00B75BC7"/>
    <w:rsid w:val="00B81836"/>
    <w:rsid w:val="00B8528E"/>
    <w:rsid w:val="00B93DA7"/>
    <w:rsid w:val="00BB081F"/>
    <w:rsid w:val="00BD2F14"/>
    <w:rsid w:val="00BF0B4F"/>
    <w:rsid w:val="00C11051"/>
    <w:rsid w:val="00C743FC"/>
    <w:rsid w:val="00CF29ED"/>
    <w:rsid w:val="00D34384"/>
    <w:rsid w:val="00D41D95"/>
    <w:rsid w:val="00D451CF"/>
    <w:rsid w:val="00DC68E5"/>
    <w:rsid w:val="00E378EC"/>
    <w:rsid w:val="00EC642E"/>
    <w:rsid w:val="00EE373A"/>
    <w:rsid w:val="00EE69BE"/>
    <w:rsid w:val="00F245AD"/>
    <w:rsid w:val="00F77318"/>
    <w:rsid w:val="00FB0031"/>
    <w:rsid w:val="00FB210C"/>
    <w:rsid w:val="00FC14CE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BB40"/>
  <w15:docId w15:val="{ADA4366E-E558-491F-83F0-AB85251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Основной текст с отступом 3 Знак1"/>
    <w:basedOn w:val="a0"/>
    <w:qFormat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qFormat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qFormat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qFormat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qFormat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qFormat/>
    <w:rPr>
      <w:rFonts w:ascii="Cambria" w:hAnsi="Cambria" w:cs="Times New Roman"/>
    </w:rPr>
  </w:style>
  <w:style w:type="character" w:customStyle="1" w:styleId="a3">
    <w:name w:val="Основной шрифт"/>
    <w:qFormat/>
  </w:style>
  <w:style w:type="character" w:customStyle="1" w:styleId="a4">
    <w:name w:val="Верхний колонтитул Знак"/>
    <w:basedOn w:val="a0"/>
    <w:qFormat/>
    <w:rPr>
      <w:rFonts w:cs="Times New Roman"/>
      <w:sz w:val="20"/>
      <w:szCs w:val="20"/>
    </w:rPr>
  </w:style>
  <w:style w:type="character" w:customStyle="1" w:styleId="a5">
    <w:name w:val="номер страницы"/>
    <w:basedOn w:val="a3"/>
    <w:qFormat/>
    <w:rPr>
      <w:rFonts w:cs="Times New Roman"/>
    </w:rPr>
  </w:style>
  <w:style w:type="character" w:customStyle="1" w:styleId="a6">
    <w:name w:val="Основной текст Знак"/>
    <w:basedOn w:val="a0"/>
    <w:qFormat/>
    <w:rPr>
      <w:rFonts w:cs="Times New Roman"/>
      <w:sz w:val="20"/>
      <w:szCs w:val="20"/>
    </w:rPr>
  </w:style>
  <w:style w:type="character" w:customStyle="1" w:styleId="21">
    <w:name w:val="Основной текст 2 Знак"/>
    <w:basedOn w:val="a0"/>
    <w:qFormat/>
    <w:rPr>
      <w:rFonts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qFormat/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qFormat/>
    <w:rPr>
      <w:rFonts w:cs="Times New Roman"/>
      <w:sz w:val="20"/>
      <w:szCs w:val="20"/>
    </w:rPr>
  </w:style>
  <w:style w:type="character" w:customStyle="1" w:styleId="30">
    <w:name w:val="Основной текст с отступом 3 Знак"/>
    <w:basedOn w:val="a0"/>
    <w:qFormat/>
    <w:rPr>
      <w:rFonts w:cs="Times New Roman"/>
      <w:sz w:val="16"/>
      <w:szCs w:val="16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0"/>
      <w:szCs w:val="20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styleId="aa">
    <w:name w:val="page number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character" w:customStyle="1" w:styleId="ab">
    <w:name w:val="Основной текст_"/>
    <w:qFormat/>
    <w:rPr>
      <w:sz w:val="28"/>
      <w:szCs w:val="28"/>
      <w:highlight w:val="white"/>
    </w:rPr>
  </w:style>
  <w:style w:type="character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0"/>
      <w:szCs w:val="20"/>
      <w:u w:val="none"/>
      <w:lang w:val="ru-RU" w:eastAsia="ru-RU" w:bidi="ru-RU"/>
    </w:rPr>
  </w:style>
  <w:style w:type="character" w:customStyle="1" w:styleId="ac">
    <w:name w:val="Без интервала Знак"/>
    <w:qFormat/>
    <w:rPr>
      <w:rFonts w:ascii="Calibri" w:hAnsi="Calibri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Название Знак"/>
    <w:basedOn w:val="a0"/>
    <w:qFormat/>
    <w:rPr>
      <w:rFonts w:ascii="Cambria" w:hAnsi="Cambria"/>
      <w:color w:val="17365D"/>
      <w:spacing w:val="5"/>
      <w:kern w:val="2"/>
      <w:sz w:val="52"/>
      <w:szCs w:val="52"/>
    </w:rPr>
  </w:style>
  <w:style w:type="character" w:styleId="af">
    <w:name w:val="Strong"/>
    <w:qFormat/>
    <w:rPr>
      <w:b/>
      <w:bCs/>
    </w:rPr>
  </w:style>
  <w:style w:type="character" w:styleId="af0">
    <w:name w:val="annotation reference"/>
    <w:qFormat/>
    <w:rPr>
      <w:sz w:val="16"/>
      <w:szCs w:val="16"/>
    </w:rPr>
  </w:style>
  <w:style w:type="character" w:customStyle="1" w:styleId="af1">
    <w:name w:val="Текст примечания Знак"/>
    <w:basedOn w:val="a0"/>
    <w:qFormat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ма примечания Знак"/>
    <w:basedOn w:val="af1"/>
    <w:qFormat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3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rFonts w:cs="Times New Roman"/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paragraph" w:styleId="af4">
    <w:name w:val="Title"/>
    <w:basedOn w:val="a"/>
    <w:next w:val="af5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5">
    <w:name w:val="Body Text"/>
    <w:basedOn w:val="a"/>
    <w:pPr>
      <w:jc w:val="both"/>
    </w:pPr>
    <w:rPr>
      <w:sz w:val="28"/>
      <w:szCs w:val="28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заголовок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3">
    <w:name w:val="заголовок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af9">
    <w:name w:val="header"/>
    <w:basedOn w:val="a"/>
    <w:pPr>
      <w:tabs>
        <w:tab w:val="center" w:pos="4153"/>
        <w:tab w:val="right" w:pos="8306"/>
      </w:tabs>
    </w:pPr>
  </w:style>
  <w:style w:type="paragraph" w:styleId="24">
    <w:name w:val="Body Text 2"/>
    <w:basedOn w:val="a"/>
    <w:qFormat/>
    <w:pPr>
      <w:jc w:val="both"/>
    </w:pPr>
    <w:rPr>
      <w:w w:val="105"/>
      <w:sz w:val="28"/>
      <w:szCs w:val="28"/>
    </w:rPr>
  </w:style>
  <w:style w:type="paragraph" w:styleId="25">
    <w:name w:val="Body Text Indent 2"/>
    <w:basedOn w:val="a"/>
    <w:qFormat/>
    <w:pPr>
      <w:ind w:firstLine="709"/>
      <w:jc w:val="both"/>
    </w:pPr>
    <w:rPr>
      <w:sz w:val="28"/>
      <w:szCs w:val="28"/>
    </w:rPr>
  </w:style>
  <w:style w:type="paragraph" w:styleId="afa">
    <w:name w:val="footer"/>
    <w:basedOn w:val="a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qFormat/>
    <w:pPr>
      <w:ind w:firstLine="720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Courier" w:hAnsi="Courier" w:cs="Courier"/>
      <w:szCs w:val="20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b">
    <w:name w:val="Body Text Indent"/>
    <w:basedOn w:val="a"/>
    <w:pPr>
      <w:spacing w:after="120"/>
      <w:ind w:left="283"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szCs w:val="20"/>
    </w:rPr>
  </w:style>
  <w:style w:type="paragraph" w:customStyle="1" w:styleId="ConsPlusCell">
    <w:name w:val="ConsPlusCell"/>
    <w:qFormat/>
    <w:rPr>
      <w:sz w:val="28"/>
      <w:szCs w:val="28"/>
    </w:rPr>
  </w:style>
  <w:style w:type="paragraph" w:customStyle="1" w:styleId="afd">
    <w:name w:val="Алексей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10">
    <w:name w:val="Основной текст с отступом 2 Знак1"/>
    <w:basedOn w:val="a"/>
    <w:qFormat/>
    <w:pPr>
      <w:widowControl w:val="0"/>
      <w:shd w:val="clear" w:color="auto" w:fill="FFFFFF"/>
      <w:spacing w:before="360" w:after="360"/>
      <w:ind w:hanging="1580"/>
      <w:jc w:val="center"/>
    </w:pPr>
    <w:rPr>
      <w:sz w:val="28"/>
      <w:szCs w:val="28"/>
    </w:rPr>
  </w:style>
  <w:style w:type="paragraph" w:customStyle="1" w:styleId="BodyText211">
    <w:name w:val="Body Text 2.Мой Заголовок 1.Основной текст 1"/>
    <w:basedOn w:val="a"/>
    <w:qFormat/>
    <w:pPr>
      <w:ind w:firstLine="709"/>
      <w:jc w:val="both"/>
    </w:pPr>
    <w:rPr>
      <w:sz w:val="28"/>
      <w:szCs w:val="28"/>
    </w:rPr>
  </w:style>
  <w:style w:type="paragraph" w:styleId="afe">
    <w:name w:val="No Spacing"/>
    <w:qFormat/>
    <w:rPr>
      <w:rFonts w:ascii="Calibri" w:hAnsi="Calibri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1">
    <w:name w:val="Нормальный (таблица)"/>
    <w:basedOn w:val="a"/>
    <w:next w:val="a"/>
    <w:qFormat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f2">
    <w:name w:val="annotation text"/>
    <w:basedOn w:val="a"/>
    <w:qFormat/>
    <w:pPr>
      <w:spacing w:after="200"/>
    </w:pPr>
    <w:rPr>
      <w:rFonts w:ascii="Calibri" w:eastAsia="Calibri" w:hAnsi="Calibri"/>
      <w:lang w:eastAsia="en-US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aff4">
    <w:name w:val="Revision"/>
    <w:qFormat/>
    <w:rPr>
      <w:sz w:val="24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  <w:szCs w:val="20"/>
    </w:rPr>
  </w:style>
  <w:style w:type="paragraph" w:customStyle="1" w:styleId="14">
    <w:name w:val="Абзац списка1"/>
    <w:basedOn w:val="a"/>
    <w:qFormat/>
    <w:pPr>
      <w:ind w:left="720"/>
      <w:contextualSpacing/>
    </w:pPr>
  </w:style>
  <w:style w:type="paragraph" w:customStyle="1" w:styleId="Default">
    <w:name w:val="Default"/>
    <w:basedOn w:val="a"/>
    <w:qFormat/>
    <w:rPr>
      <w:rFonts w:ascii="Liberation Serif" w:eastAsia="Calibri" w:hAnsi="Liberation Serif"/>
      <w:color w:val="000000"/>
      <w:sz w:val="24"/>
      <w:szCs w:val="24"/>
      <w:lang w:eastAsia="en-US"/>
    </w:rPr>
  </w:style>
  <w:style w:type="paragraph" w:styleId="aff5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Cs w:val="20"/>
    </w:r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numbering" w:customStyle="1" w:styleId="15">
    <w:name w:val="Нет списк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5C60-EC22-4F0E-9ABA-5C6A3777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10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Ходосова Ксения Александровна</dc:creator>
  <dc:description/>
  <cp:lastModifiedBy>Ходосова Ксения Александровна</cp:lastModifiedBy>
  <cp:revision>32</cp:revision>
  <cp:lastPrinted>2022-03-01T07:48:00Z</cp:lastPrinted>
  <dcterms:created xsi:type="dcterms:W3CDTF">2022-02-01T08:08:00Z</dcterms:created>
  <dcterms:modified xsi:type="dcterms:W3CDTF">2022-03-04T03:23:00Z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АГНОиПНО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