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81" w:rsidRPr="00250AAB" w:rsidRDefault="007A21E9" w:rsidP="000618B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0AAB">
        <w:rPr>
          <w:rFonts w:ascii="Times New Roman" w:hAnsi="Times New Roman" w:cs="Times New Roman"/>
          <w:sz w:val="28"/>
          <w:szCs w:val="28"/>
        </w:rPr>
        <w:t>П</w:t>
      </w:r>
      <w:r w:rsidR="00AA22B5" w:rsidRPr="00250AAB">
        <w:rPr>
          <w:rFonts w:ascii="Times New Roman" w:hAnsi="Times New Roman" w:cs="Times New Roman"/>
          <w:sz w:val="28"/>
          <w:szCs w:val="28"/>
        </w:rPr>
        <w:t>РИЛОЖЕНИЕ № </w:t>
      </w:r>
      <w:r w:rsidR="00C20E7A" w:rsidRPr="00250AAB">
        <w:rPr>
          <w:rFonts w:ascii="Times New Roman" w:hAnsi="Times New Roman" w:cs="Times New Roman"/>
          <w:sz w:val="28"/>
          <w:szCs w:val="28"/>
        </w:rPr>
        <w:t>2</w:t>
      </w:r>
    </w:p>
    <w:p w:rsidR="00864754" w:rsidRPr="00250AAB" w:rsidRDefault="00864754" w:rsidP="000618B2">
      <w:pPr>
        <w:ind w:left="10490"/>
        <w:jc w:val="center"/>
        <w:rPr>
          <w:sz w:val="28"/>
          <w:szCs w:val="28"/>
        </w:rPr>
      </w:pPr>
      <w:r w:rsidRPr="00250AAB">
        <w:rPr>
          <w:sz w:val="28"/>
          <w:szCs w:val="28"/>
        </w:rPr>
        <w:t>к постановлению Правительства</w:t>
      </w:r>
    </w:p>
    <w:p w:rsidR="00864754" w:rsidRPr="00250AAB" w:rsidRDefault="00864754" w:rsidP="000618B2">
      <w:pPr>
        <w:ind w:left="10490"/>
        <w:jc w:val="center"/>
        <w:rPr>
          <w:sz w:val="28"/>
          <w:szCs w:val="28"/>
        </w:rPr>
      </w:pPr>
      <w:r w:rsidRPr="00250AAB">
        <w:rPr>
          <w:sz w:val="28"/>
          <w:szCs w:val="28"/>
        </w:rPr>
        <w:t>Новосибирской области</w:t>
      </w:r>
    </w:p>
    <w:p w:rsidR="00864754" w:rsidRPr="00250AAB" w:rsidRDefault="00864754" w:rsidP="000618B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F070D" w:rsidRPr="00250AAB" w:rsidRDefault="00CF070D" w:rsidP="000618B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A55FA9" w:rsidRPr="00250AAB" w:rsidRDefault="00A55FA9" w:rsidP="000618B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0618B2" w:rsidRPr="00250AAB" w:rsidRDefault="000618B2" w:rsidP="000618B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D16296" w:rsidRPr="00250AAB" w:rsidRDefault="00864754" w:rsidP="000618B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0AAB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«ПРИЛОЖЕНИЕ №</w:t>
      </w:r>
      <w:r w:rsidR="00AA22B5" w:rsidRPr="00250AAB">
        <w:rPr>
          <w:rFonts w:ascii="Times New Roman" w:hAnsi="Times New Roman" w:cs="Times New Roman"/>
          <w:sz w:val="28"/>
          <w:szCs w:val="28"/>
        </w:rPr>
        <w:t> </w:t>
      </w:r>
      <w:r w:rsidR="00D16296" w:rsidRPr="00250AAB">
        <w:rPr>
          <w:rFonts w:ascii="Times New Roman" w:hAnsi="Times New Roman" w:cs="Times New Roman"/>
          <w:sz w:val="28"/>
          <w:szCs w:val="28"/>
        </w:rPr>
        <w:t>2.1</w:t>
      </w:r>
    </w:p>
    <w:p w:rsidR="00D16296" w:rsidRPr="00250AAB" w:rsidRDefault="00D16296" w:rsidP="000618B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50AAB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16296" w:rsidRPr="00250AAB" w:rsidRDefault="00D16296" w:rsidP="000618B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50AA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A6D10" w:rsidRPr="00250AAB">
        <w:rPr>
          <w:rFonts w:ascii="Times New Roman" w:hAnsi="Times New Roman" w:cs="Times New Roman"/>
          <w:sz w:val="28"/>
          <w:szCs w:val="28"/>
        </w:rPr>
        <w:t xml:space="preserve"> </w:t>
      </w:r>
      <w:r w:rsidR="0097544C" w:rsidRPr="00250AAB">
        <w:rPr>
          <w:rFonts w:ascii="Times New Roman" w:hAnsi="Times New Roman" w:cs="Times New Roman"/>
          <w:sz w:val="28"/>
          <w:szCs w:val="28"/>
        </w:rPr>
        <w:t>«</w:t>
      </w:r>
      <w:r w:rsidRPr="00250AAB">
        <w:rPr>
          <w:rFonts w:ascii="Times New Roman" w:hAnsi="Times New Roman" w:cs="Times New Roman"/>
          <w:sz w:val="28"/>
          <w:szCs w:val="28"/>
        </w:rPr>
        <w:t>Развитие лесного хозяйства</w:t>
      </w:r>
      <w:r w:rsidR="00DA6D10" w:rsidRPr="00250AAB">
        <w:rPr>
          <w:rFonts w:ascii="Times New Roman" w:hAnsi="Times New Roman" w:cs="Times New Roman"/>
          <w:sz w:val="28"/>
          <w:szCs w:val="28"/>
        </w:rPr>
        <w:t xml:space="preserve"> </w:t>
      </w:r>
      <w:r w:rsidRPr="00250AA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7544C" w:rsidRPr="00250AAB">
        <w:rPr>
          <w:rFonts w:ascii="Times New Roman" w:hAnsi="Times New Roman" w:cs="Times New Roman"/>
          <w:sz w:val="28"/>
          <w:szCs w:val="28"/>
        </w:rPr>
        <w:t>»</w:t>
      </w:r>
    </w:p>
    <w:p w:rsidR="00E21EC9" w:rsidRPr="00250AAB" w:rsidRDefault="00E21EC9" w:rsidP="000618B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0618B2" w:rsidRPr="00250AAB" w:rsidRDefault="000618B2" w:rsidP="000618B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64754" w:rsidRPr="00250AAB" w:rsidRDefault="00864754" w:rsidP="000618B2">
      <w:pPr>
        <w:jc w:val="center"/>
        <w:rPr>
          <w:b/>
          <w:sz w:val="28"/>
          <w:szCs w:val="28"/>
        </w:rPr>
      </w:pPr>
      <w:bookmarkStart w:id="0" w:name="P952"/>
      <w:bookmarkEnd w:id="0"/>
      <w:r w:rsidRPr="00250AAB">
        <w:rPr>
          <w:b/>
          <w:sz w:val="28"/>
          <w:szCs w:val="28"/>
        </w:rPr>
        <w:t>ОСНОВНЫЕ МЕРОПРИЯТИЯ</w:t>
      </w:r>
    </w:p>
    <w:p w:rsidR="00864754" w:rsidRPr="00250AAB" w:rsidRDefault="00864754" w:rsidP="000618B2">
      <w:pPr>
        <w:jc w:val="center"/>
        <w:rPr>
          <w:b/>
          <w:sz w:val="28"/>
          <w:szCs w:val="28"/>
        </w:rPr>
      </w:pPr>
      <w:r w:rsidRPr="00250AAB">
        <w:rPr>
          <w:b/>
          <w:sz w:val="28"/>
          <w:szCs w:val="28"/>
        </w:rPr>
        <w:t>государственной программы Новосибирской области</w:t>
      </w:r>
    </w:p>
    <w:p w:rsidR="00864754" w:rsidRPr="00250AAB" w:rsidRDefault="00864754" w:rsidP="000618B2">
      <w:pPr>
        <w:jc w:val="center"/>
        <w:rPr>
          <w:b/>
          <w:sz w:val="28"/>
          <w:szCs w:val="28"/>
        </w:rPr>
      </w:pPr>
      <w:r w:rsidRPr="00250AAB">
        <w:rPr>
          <w:b/>
          <w:sz w:val="28"/>
          <w:szCs w:val="28"/>
        </w:rPr>
        <w:t>«Развитие лесного хозяйства Новосибирской области» с 2019 года</w:t>
      </w:r>
    </w:p>
    <w:p w:rsidR="00D16296" w:rsidRPr="00250AAB" w:rsidRDefault="00D16296" w:rsidP="000618B2">
      <w:pPr>
        <w:spacing w:after="1"/>
        <w:jc w:val="center"/>
        <w:rPr>
          <w:sz w:val="28"/>
          <w:szCs w:val="28"/>
        </w:rPr>
      </w:pPr>
    </w:p>
    <w:p w:rsidR="000618B2" w:rsidRPr="00250AAB" w:rsidRDefault="000618B2" w:rsidP="000618B2">
      <w:pPr>
        <w:spacing w:after="1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1272"/>
        <w:gridCol w:w="509"/>
        <w:gridCol w:w="304"/>
        <w:gridCol w:w="405"/>
        <w:gridCol w:w="370"/>
        <w:gridCol w:w="659"/>
        <w:gridCol w:w="659"/>
        <w:gridCol w:w="659"/>
        <w:gridCol w:w="659"/>
        <w:gridCol w:w="6"/>
        <w:gridCol w:w="656"/>
        <w:gridCol w:w="659"/>
        <w:gridCol w:w="659"/>
        <w:gridCol w:w="659"/>
        <w:gridCol w:w="659"/>
        <w:gridCol w:w="659"/>
        <w:gridCol w:w="659"/>
        <w:gridCol w:w="662"/>
        <w:gridCol w:w="1478"/>
        <w:gridCol w:w="1755"/>
      </w:tblGrid>
      <w:tr w:rsidR="00FB3FE0" w:rsidRPr="00250AAB" w:rsidTr="007219B1">
        <w:trPr>
          <w:trHeight w:val="20"/>
        </w:trPr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433" w:type="pct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Ресурсное обеспечение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Ожидаемый результат</w:t>
            </w:r>
          </w:p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(краткое описание)</w:t>
            </w:r>
          </w:p>
        </w:tc>
      </w:tr>
      <w:tr w:rsidR="00FB3FE0" w:rsidRPr="00250AAB" w:rsidTr="00E6090D">
        <w:trPr>
          <w:trHeight w:val="20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источники</w:t>
            </w:r>
          </w:p>
        </w:tc>
        <w:tc>
          <w:tcPr>
            <w:tcW w:w="506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21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годам реализации, тыс. руб.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FB3FE0" w:rsidRPr="00250AAB" w:rsidTr="007219B1">
        <w:trPr>
          <w:trHeight w:val="20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ГП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ОМ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2019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2021</w:t>
            </w:r>
          </w:p>
        </w:tc>
        <w:tc>
          <w:tcPr>
            <w:tcW w:w="2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2022</w:t>
            </w:r>
          </w:p>
        </w:tc>
        <w:tc>
          <w:tcPr>
            <w:tcW w:w="20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</w:tc>
        <w:tc>
          <w:tcPr>
            <w:tcW w:w="210" w:type="pct"/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</w:tc>
        <w:tc>
          <w:tcPr>
            <w:tcW w:w="210" w:type="pct"/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</w:tc>
        <w:tc>
          <w:tcPr>
            <w:tcW w:w="210" w:type="pct"/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2027</w:t>
            </w:r>
          </w:p>
        </w:tc>
        <w:tc>
          <w:tcPr>
            <w:tcW w:w="210" w:type="pct"/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2028</w:t>
            </w:r>
          </w:p>
        </w:tc>
        <w:tc>
          <w:tcPr>
            <w:tcW w:w="210" w:type="pct"/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2029</w:t>
            </w:r>
          </w:p>
        </w:tc>
        <w:tc>
          <w:tcPr>
            <w:tcW w:w="211" w:type="pct"/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2030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FB3FE0" w:rsidRPr="00250AAB" w:rsidTr="007219B1">
        <w:trPr>
          <w:trHeight w:val="20"/>
        </w:trPr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2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20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</w:t>
            </w:r>
          </w:p>
        </w:tc>
        <w:tc>
          <w:tcPr>
            <w:tcW w:w="210" w:type="pct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210" w:type="pct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</w:t>
            </w:r>
          </w:p>
        </w:tc>
        <w:tc>
          <w:tcPr>
            <w:tcW w:w="210" w:type="pct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15</w:t>
            </w:r>
          </w:p>
        </w:tc>
        <w:tc>
          <w:tcPr>
            <w:tcW w:w="210" w:type="pct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210" w:type="pct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17</w:t>
            </w:r>
          </w:p>
        </w:tc>
        <w:tc>
          <w:tcPr>
            <w:tcW w:w="211" w:type="pct"/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18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19</w:t>
            </w:r>
          </w:p>
        </w:tc>
        <w:tc>
          <w:tcPr>
            <w:tcW w:w="5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DA6D10">
            <w:pPr>
              <w:pStyle w:val="ConsPlusCel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</w:t>
            </w:r>
          </w:p>
        </w:tc>
      </w:tr>
      <w:tr w:rsidR="00FB3FE0" w:rsidRPr="00250AAB" w:rsidTr="00FB3FE0">
        <w:tc>
          <w:tcPr>
            <w:tcW w:w="5000" w:type="pct"/>
            <w:gridSpan w:val="21"/>
          </w:tcPr>
          <w:p w:rsidR="00FB3FE0" w:rsidRPr="00250AAB" w:rsidRDefault="00FB3FE0">
            <w:pPr>
              <w:pStyle w:val="ConsPlusNormal"/>
              <w:outlineLvl w:val="2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 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</w:p>
        </w:tc>
      </w:tr>
      <w:tr w:rsidR="00FB3FE0" w:rsidRPr="00250AAB" w:rsidTr="007219B1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О1. </w:t>
            </w:r>
            <w:proofErr w:type="spellStart"/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Общепрограммное</w:t>
            </w:r>
            <w:proofErr w:type="spellEnd"/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мероприятие Региональный проект «Сохранение лесов»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GA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FB3FE0" w:rsidRPr="00250AAB" w:rsidRDefault="00FB3FE0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FB3FE0" w:rsidRPr="00250AAB" w:rsidRDefault="00FB3FE0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FB3FE0" w:rsidRPr="00250AAB" w:rsidRDefault="00FB3FE0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FB3FE0" w:rsidRPr="00250AAB" w:rsidRDefault="00FB3FE0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FB3FE0" w:rsidRPr="00250AAB" w:rsidRDefault="00FB3FE0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FB3FE0" w:rsidRPr="00250AAB" w:rsidRDefault="00FB3FE0" w:rsidP="00FB3FE0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МПР НСО,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Позволит на всех участках вырубленных и погибших лесных насаждений обеспечить проведение лесовосстановления и тем самым обеспечить в течение 2019–</w:t>
            </w:r>
            <w:r w:rsidRPr="00250AAB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20</w:t>
            </w:r>
            <w:r w:rsidR="007219B1" w:rsidRPr="00250AAB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30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гг. отношение площади лесовосстановления к площади вырубленных 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и погибших лесных насаждений на уровне не менее 100% за счет проведения мероприятий по лесовосстановлению, закупке лесопожарной и лесохозяйственной техники для государственных автономных учреждений Новосибирской области, выполняющих комплекс мероприятий по охране, защите и воспроизводству лесов</w:t>
            </w:r>
          </w:p>
        </w:tc>
      </w:tr>
      <w:tr w:rsidR="00FB3FE0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GA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117 676,5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77 489,4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214 622,4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177</w:t>
            </w:r>
          </w:p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787,8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717,8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101</w:t>
            </w:r>
          </w:p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0" w:type="pct"/>
            <w:vAlign w:val="center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101</w:t>
            </w:r>
          </w:p>
          <w:p w:rsidR="00FB3FE0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0" w:type="pct"/>
            <w:vAlign w:val="center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101</w:t>
            </w:r>
          </w:p>
          <w:p w:rsidR="00FB3FE0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0" w:type="pct"/>
            <w:vAlign w:val="center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101</w:t>
            </w:r>
          </w:p>
          <w:p w:rsidR="00FB3FE0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0" w:type="pct"/>
            <w:vAlign w:val="center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101</w:t>
            </w:r>
          </w:p>
          <w:p w:rsidR="00FB3FE0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0" w:type="pct"/>
            <w:vAlign w:val="center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101</w:t>
            </w:r>
          </w:p>
          <w:p w:rsidR="00FB3FE0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1" w:type="pct"/>
            <w:vAlign w:val="center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101</w:t>
            </w:r>
          </w:p>
          <w:p w:rsidR="00FB3FE0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</w:tr>
      <w:tr w:rsidR="00FB3FE0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:rsidR="00FB3FE0" w:rsidRPr="00250AAB" w:rsidRDefault="00FB3FE0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:rsidR="00FB3FE0" w:rsidRPr="00250AAB" w:rsidRDefault="00FB3FE0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:rsidR="00FB3FE0" w:rsidRPr="00250AAB" w:rsidRDefault="00FB3FE0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:rsidR="00FB3FE0" w:rsidRPr="00250AAB" w:rsidRDefault="00FB3FE0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:rsidR="00FB3FE0" w:rsidRPr="00250AAB" w:rsidRDefault="00FB3FE0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vAlign w:val="center"/>
          </w:tcPr>
          <w:p w:rsidR="00FB3FE0" w:rsidRPr="00250AAB" w:rsidRDefault="00FB3FE0" w:rsidP="00FB3FE0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</w:tr>
      <w:tr w:rsidR="00FB3FE0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24 164,3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58 084,9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43 688,0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  <w:vAlign w:val="center"/>
          </w:tcPr>
          <w:p w:rsidR="00FB3FE0" w:rsidRPr="00250AAB" w:rsidRDefault="007219B1" w:rsidP="00FB3FE0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  <w:vAlign w:val="center"/>
          </w:tcPr>
          <w:p w:rsidR="00FB3FE0" w:rsidRPr="00250AAB" w:rsidRDefault="007219B1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  <w:vAlign w:val="center"/>
          </w:tcPr>
          <w:p w:rsidR="00FB3FE0" w:rsidRPr="00250AAB" w:rsidRDefault="007219B1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  <w:vAlign w:val="center"/>
          </w:tcPr>
          <w:p w:rsidR="00FB3FE0" w:rsidRPr="00250AAB" w:rsidRDefault="007219B1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  <w:vAlign w:val="center"/>
          </w:tcPr>
          <w:p w:rsidR="00FB3FE0" w:rsidRPr="00250AAB" w:rsidRDefault="007219B1" w:rsidP="00FB3FE0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1" w:type="pct"/>
            <w:tcMar>
              <w:top w:w="28" w:type="dxa"/>
              <w:left w:w="28" w:type="dxa"/>
              <w:right w:w="28" w:type="dxa"/>
            </w:tcMar>
            <w:vAlign w:val="center"/>
          </w:tcPr>
          <w:p w:rsidR="00FB3FE0" w:rsidRPr="00250AAB" w:rsidRDefault="007219B1" w:rsidP="00FB3FE0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налоговые 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FB3FE0" w:rsidRPr="00250AAB" w:rsidRDefault="00FB3FE0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FB3FE0" w:rsidRPr="00250AAB" w:rsidRDefault="00FB3FE0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FB3FE0" w:rsidRPr="00250AAB" w:rsidRDefault="00FB3FE0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FB3FE0" w:rsidRPr="00250AAB" w:rsidRDefault="00FB3FE0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FB3FE0" w:rsidRPr="00250AAB" w:rsidRDefault="00FB3FE0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FB3FE0" w:rsidRPr="00250AAB" w:rsidRDefault="00FB3FE0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FE0" w:rsidRPr="00250AAB" w:rsidRDefault="00FB3FE0" w:rsidP="00FB3FE0">
            <w:pPr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000" w:type="pct"/>
            <w:gridSpan w:val="21"/>
          </w:tcPr>
          <w:p w:rsidR="007219B1" w:rsidRPr="00250AAB" w:rsidRDefault="007219B1" w:rsidP="009747E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1.1. Задача 1 цели государственной программы: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7219B1" w:rsidRPr="00250AAB" w:rsidTr="007219B1">
        <w:tc>
          <w:tcPr>
            <w:tcW w:w="5000" w:type="pct"/>
            <w:gridSpan w:val="21"/>
          </w:tcPr>
          <w:p w:rsidR="007219B1" w:rsidRPr="00250AAB" w:rsidRDefault="007219B1" w:rsidP="004A1AE0">
            <w:pPr>
              <w:pStyle w:val="ConsPlusNormal"/>
              <w:outlineLvl w:val="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1.1.1. Подпрограмма 1 государственной программы «Обеспечение использования, охраны, защиты и воспроизводства лесов»</w:t>
            </w:r>
          </w:p>
        </w:tc>
      </w:tr>
      <w:tr w:rsidR="007219B1" w:rsidRPr="00250AAB" w:rsidTr="007219B1">
        <w:tc>
          <w:tcPr>
            <w:tcW w:w="5000" w:type="pct"/>
            <w:gridSpan w:val="21"/>
          </w:tcPr>
          <w:p w:rsidR="007219B1" w:rsidRPr="00250AAB" w:rsidRDefault="007219B1" w:rsidP="009747E0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1.1.1.1. Цель подпрограммы 1: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7219B1" w:rsidRPr="00250AAB" w:rsidTr="007219B1">
        <w:tc>
          <w:tcPr>
            <w:tcW w:w="5000" w:type="pct"/>
            <w:gridSpan w:val="21"/>
          </w:tcPr>
          <w:p w:rsidR="007219B1" w:rsidRPr="00250AAB" w:rsidRDefault="007219B1" w:rsidP="009747E0">
            <w:pPr>
              <w:pStyle w:val="ConsPlusNormal"/>
              <w:jc w:val="both"/>
              <w:outlineLvl w:val="6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1.1.1.1.1. Задача 1 цели подпрограммы 1 государственной программы: повышение эффективности предупреждения и сокращения потерь лесного хозяйства от пожаров и вредных организмов</w:t>
            </w:r>
          </w:p>
        </w:tc>
      </w:tr>
      <w:tr w:rsidR="007219B1" w:rsidRPr="00250AAB" w:rsidTr="007219B1">
        <w:trPr>
          <w:trHeight w:val="529"/>
        </w:trPr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1.1.1.1.1.1. Осуществление мер пожарной безопасности в лесах и защиты лесов от вредных организмов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58 640,0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31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545,4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31 602,9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61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145,6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410,9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35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35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35</w:t>
            </w:r>
          </w:p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35</w:t>
            </w:r>
          </w:p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35</w:t>
            </w:r>
          </w:p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35</w:t>
            </w:r>
          </w:p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35</w:t>
            </w:r>
          </w:p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Позволит обеспечить в период 2019–2030 гг. долю лесных пожаров, ликвидированных в течение первых суток с момента обнаружения, в общем количестве лесных пожаров на уровне не менее 99,95% (среднемноголетнее значение за 2010–2014 гг. – 88,16%, за 2012–2016 гг. – 95,67%, за 2014–2018 гг. – 99,94%, за 2015–2019 гг. – 100%, за 2016–2020 гг. – 99,94%, за 2017–2021 гг. – 98,26).</w:t>
            </w:r>
          </w:p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Обеспечит предотвращение распространения огня на территории земель лесного фонда.</w:t>
            </w:r>
          </w:p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Позволит улучшить санитарное состояние лесов, уменьшить угрозу распространения вредных организмов и тем самым снизить к концу 2030 года долю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до уровня 0,115%</w:t>
            </w:r>
          </w:p>
        </w:tc>
      </w:tr>
      <w:tr w:rsidR="007219B1" w:rsidRPr="00250AAB" w:rsidTr="007219B1">
        <w:trPr>
          <w:trHeight w:val="1117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66 829,0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64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336,1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57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452,3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147 488,5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rPr>
          <w:trHeight w:val="1116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rPr>
          <w:trHeight w:val="1117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127 566,70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128 531,8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120 728,4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108 531,2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rPr>
          <w:trHeight w:val="1117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jc w:val="center"/>
              <w:rPr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000" w:type="pct"/>
            <w:gridSpan w:val="21"/>
          </w:tcPr>
          <w:p w:rsidR="007219B1" w:rsidRPr="00250AAB" w:rsidRDefault="007219B1" w:rsidP="009747E0">
            <w:pPr>
              <w:pStyle w:val="ConsPlusNormal"/>
              <w:jc w:val="both"/>
              <w:outlineLvl w:val="6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1.1.1.1.2. Задача 2 цели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</w:p>
        </w:tc>
      </w:tr>
      <w:tr w:rsidR="007219B1" w:rsidRPr="00250AAB" w:rsidTr="007219B1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1.1.1.1.2.1. Лесоустройство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9 500,0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913,2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МПР НСО, организации по результатам размещения государственного заказа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Получение актуальных материалов лесоустройства позволит осуществлять рациональное и </w:t>
            </w:r>
            <w:proofErr w:type="spellStart"/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неистощительное</w:t>
            </w:r>
            <w:proofErr w:type="spellEnd"/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использование лесных ресурсов, развитие лесохозяйственной деятельности.</w:t>
            </w:r>
          </w:p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Планируется за счет федерального бюджета произвести таксацию лесов, включая подготовительные работы по таксации лесов</w:t>
            </w: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02</w:t>
            </w:r>
          </w:p>
        </w:tc>
        <w:tc>
          <w:tcPr>
            <w:tcW w:w="21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2 200,0</w:t>
            </w:r>
          </w:p>
        </w:tc>
        <w:tc>
          <w:tcPr>
            <w:tcW w:w="21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7 103,4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4 374,9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1.1.1.1.2.2. Осуществление мероприятий по обеспечению использования лесов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МПР НСО, организации по результатам размещения государственного 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55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 xml:space="preserve">обеспечение подготовки лесосечного фонда для использования в целях заготовки древесины 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при реализации договоров аренды, договоров купли-продажи лесных насаждений, а именно: проведение отвода лесосек позволит осуществлять лесозаготовительную деятельность в пределах расчетной лесосеки.</w:t>
            </w:r>
          </w:p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Позволит увеличить к концу 2030 года долю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 до 78,5%, увеличить площадь лесов, находящихся в составе земель лесного фонда, на которой проведены мероприятия лесоустройства, на 428,795 тыс. га.</w:t>
            </w:r>
          </w:p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Позволит увеличить к концу 2030 года долю объема заготовки древесины выборочными рубками в общем объеме заготовки древесины до уровня 76,83% (среднемноголетнее значение:</w:t>
            </w:r>
          </w:p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за 2010–2014 гг. – 65%,</w:t>
            </w:r>
          </w:p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 2012–2016 гг. – 70,6%,</w:t>
            </w:r>
          </w:p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 2014–2018 гг. – 70,4%,</w:t>
            </w:r>
          </w:p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 2015–2019 гг. – 70,6%,</w:t>
            </w:r>
          </w:p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 2016–2020 гг. – 70,94%,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за 2017–2021 гг. – 72,87%).</w:t>
            </w:r>
          </w:p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Планируется обеспечить долю площади земель лесного фонда, переданных в пользование, в общей площади земель лесного фонда на территории Новосибирской области на уровне не менее 28,9% ежегодно.</w:t>
            </w:r>
          </w:p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Позволит определить доступность к лесным насаждениям и тем самым увеличить к концу 2030 года отношение фактического объема заготовки древесины к установленному объему изъятия древесины до уровня 28,7% (среднемноголетнее значение:</w:t>
            </w:r>
          </w:p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 2014–2018 гг. – 20,1%,</w:t>
            </w:r>
          </w:p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 2015 – 2019 гг. – 20,3%,</w:t>
            </w:r>
          </w:p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 2016 – 2020 гг. – 20,0%,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за 2017–2021 гг. – 20,7%).</w:t>
            </w:r>
          </w:p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Позволит обеспечить проведение отводов 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лесосек на общей площади 413,9 тыс. га</w:t>
            </w: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408,3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13 393,0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11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0,0</w:t>
            </w:r>
          </w:p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местные 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136 794,4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17 747,9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27 857,5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31</w:t>
            </w:r>
          </w:p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776,3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1.1.1.1.2.3. Выполнение мероприятий по охране, организации и функционированию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5 612,1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5 766,1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6 093,6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6 411,1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6 505,1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МПР НСО, организации, выполняющие работы в рамках государственного задания</w:t>
            </w:r>
          </w:p>
        </w:tc>
        <w:tc>
          <w:tcPr>
            <w:tcW w:w="55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Позволит сохранить целостность уникального ландшафтного комплекса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</w:t>
            </w: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1.1.1.1.2.4. Разработка проектной документации по проектированию (изменению) границ лесопарковых и зеленых зон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05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1 563,7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278,0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759,7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МПР НСО, организации по результатам размещения государственного заказа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Позволит создать условия для создания оптимальной, максимально комфортной для проживания структуры территории города Новосибирска и территорий, прилегающих к городу Новосибирску районов Новосибирской области, сохранить лесопарковые и зеленые зоны в существующих объемах</w:t>
            </w: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000" w:type="pct"/>
            <w:gridSpan w:val="21"/>
          </w:tcPr>
          <w:p w:rsidR="007219B1" w:rsidRPr="00250AAB" w:rsidRDefault="007219B1" w:rsidP="00B24BFF">
            <w:pPr>
              <w:pStyle w:val="ConsPlusNormal"/>
              <w:outlineLvl w:val="6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1.1.1.1.3. Задача 3 цели подпрограммы 1 государственной программы: повышение качества семян, улучшение селекционных и генетических свойств посадочного материала, восстановление погибших и вырубленных лесов</w:t>
            </w:r>
          </w:p>
        </w:tc>
      </w:tr>
      <w:tr w:rsidR="007219B1" w:rsidRPr="00250AAB" w:rsidTr="007219B1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1.1.1.1.3.1. Осуществление мероприятий по воспроизводству лесов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МПР НСО, организации по результатам размещения государственного заказа, организации, выполняющие 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работы в рамках государственного задания, арендаторы лесных участков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 xml:space="preserve">Обеспечение воспроизводства лесов семенами с улучшенными наследственными свойствами, повышающими продуктивность, 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качество и устойчивость насаждений, что позволит обеспечить к концу 2030 года долю семян с улучшенными наследственными свойствами в общем объеме заготовленных семян на уровне 13% (среднемноголетнее значение за 2010–2014 гг. – 26,7%, за 2012–2016 гг. – 20,4%, за 2014–2018 гг. – 19,7%, за 2015–2019 гг. – 12,8%, за 2016–2020 гг. – 12,5%, за 2017–2021 гг. – 8,96%).</w:t>
            </w:r>
          </w:p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Позволит обеспечить своевременное восстановление вырубок, гарей, повысить продуктивность лесов, улучшить их породный состав и тем самым сохранить к концу 2030 года лесистость территории Новосибирской области на уровне 27,4%</w:t>
            </w: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13 568,5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269 185,6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233 849,7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237 529,3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7219B1" w:rsidRPr="00250AAB" w:rsidTr="007219B1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7219B1" w:rsidRPr="00250AAB" w:rsidRDefault="007219B1" w:rsidP="007219B1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7219B1" w:rsidRPr="00250AAB" w:rsidRDefault="007219B1" w:rsidP="007219B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9B1" w:rsidRPr="00250AAB" w:rsidRDefault="007219B1" w:rsidP="007219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Итого по подпрограмме 1 государственной программы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65 815,8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37 311,5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47</w:t>
            </w:r>
          </w:p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474,5</w:t>
            </w:r>
          </w:p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69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229,6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51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175,7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83 005,8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84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832,5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61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827,2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147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488,5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143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448,3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143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448,3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143</w:t>
            </w:r>
          </w:p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448,3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143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448,3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143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448,3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143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448,3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143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448,3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143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448,3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533 546,7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380 129,4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386 115,2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379 147,0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000" w:type="pct"/>
            <w:gridSpan w:val="21"/>
          </w:tcPr>
          <w:p w:rsidR="00E6090D" w:rsidRPr="00250AAB" w:rsidRDefault="00E6090D" w:rsidP="00B24BFF">
            <w:pPr>
              <w:pStyle w:val="ConsPlusNormal"/>
              <w:outlineLvl w:val="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1.2. Задача 2 цели государственной программы: повышение эффективности управления лесами</w:t>
            </w:r>
          </w:p>
        </w:tc>
      </w:tr>
      <w:tr w:rsidR="00E6090D" w:rsidRPr="00250AAB" w:rsidTr="00E6090D">
        <w:tc>
          <w:tcPr>
            <w:tcW w:w="5000" w:type="pct"/>
            <w:gridSpan w:val="21"/>
          </w:tcPr>
          <w:p w:rsidR="00E6090D" w:rsidRPr="00250AAB" w:rsidRDefault="00E6090D" w:rsidP="004A1AE0">
            <w:pPr>
              <w:pStyle w:val="ConsPlusNormal"/>
              <w:outlineLvl w:val="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1.2.2. Подпрограмма 2 государственной программы «Обеспечение реализации государственной программы Новосибирской области «Развитие лесного хозяйства Новосибирской области»</w:t>
            </w:r>
          </w:p>
        </w:tc>
      </w:tr>
      <w:tr w:rsidR="00E6090D" w:rsidRPr="00250AAB" w:rsidTr="00E6090D">
        <w:tc>
          <w:tcPr>
            <w:tcW w:w="5000" w:type="pct"/>
            <w:gridSpan w:val="21"/>
          </w:tcPr>
          <w:p w:rsidR="00E6090D" w:rsidRPr="00250AAB" w:rsidRDefault="00E6090D" w:rsidP="00B24BFF">
            <w:pPr>
              <w:pStyle w:val="ConsPlusNormal"/>
              <w:outlineLvl w:val="5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1.2.2.1. Цель подпрограммы 2 государственной программы: повышение эффективности управления лесами</w:t>
            </w:r>
          </w:p>
        </w:tc>
      </w:tr>
      <w:tr w:rsidR="00E6090D" w:rsidRPr="00250AAB" w:rsidTr="00E6090D">
        <w:tc>
          <w:tcPr>
            <w:tcW w:w="5000" w:type="pct"/>
            <w:gridSpan w:val="21"/>
          </w:tcPr>
          <w:p w:rsidR="00E6090D" w:rsidRPr="00250AAB" w:rsidRDefault="00E6090D" w:rsidP="00B24BFF">
            <w:pPr>
              <w:pStyle w:val="ConsPlusNormal"/>
              <w:outlineLvl w:val="6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1.2.2.1.1. Задача 1 цели подпрограммы 2 государственной программы: обеспечение соблюдения требований законодательства в сфере лесных отношений</w:t>
            </w:r>
          </w:p>
        </w:tc>
      </w:tr>
      <w:tr w:rsidR="00E6090D" w:rsidRPr="00250AAB" w:rsidTr="00E6090D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1.2.2.1.1.1. Обеспечение исполнения переданных полномочий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Мероприятие осуществляется в рамках текущей деятельности МПР НСО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МПР НСО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9A5F4B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Позволит увеличить к концу 2030 года объем платежей в бюджетную систему Российской Федерации от использования лесов, расположенных на землях лесного фонда, до уровня 71,4 руб. на 1 га земель лесного фонда Новосибирской области (среднемноголетнее значение 2010–2014 гг. – 21 руб./га, среднемноголетнее значение за 2014–2018 гг. – 28,4 руб./га,  среднемноголетнее значение за 2015–2019 гг. – 33,5 руб./га, среднемноголетнее значение за 2016–2020 гг. – 38,8 руб./га, среднемноголетнее значение за 2017–2021 гг. – 44,4 руб./га ); обеспечить в период 2020–2030 гг. динамику предотвращения возникновения нарушений лесного законодательства, причиняющих вред лесам, относительно уровня нарушений предыдущего года на уровне 5,1% ежегодно, обеспечить в период 2019–2030 гг. среднюю численность должностных лиц, осуществляющих 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федеральный государственный лесной надзор (лесную охрану) на 50 тыс. га земель лесного фонда, на уровне не менее 1,69 чел., обеспечить в период 2020–2030 гг. долю выписок, предоставленных гражданам и юридическим лицам, обратившимся в министерство природных ресурсов и экологии Новосибирской области за 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такой услуги на уровне 100% ежегодно</w:t>
            </w: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B24BFF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1.2.2.1.1.2. </w:t>
            </w:r>
          </w:p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Осуществление мер по выявлению нарушений лесного законодательства, незаконной заготовки и оборота древесины на территории Новосибирской области</w:t>
            </w: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40 365,0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26 890,0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МПР НСО,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ГУ МВД России по Новосибирской области</w:t>
            </w:r>
          </w:p>
        </w:tc>
        <w:tc>
          <w:tcPr>
            <w:tcW w:w="55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Формирование резерва автомобильной техники и последующая передача ее в безвозмездное пользование ГУ МВД России по Новосибирской области, позволит осуществлять:</w:t>
            </w:r>
          </w:p>
          <w:p w:rsidR="00E6090D" w:rsidRPr="00250AAB" w:rsidRDefault="00E6090D" w:rsidP="00E6090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совместные проверки соблюдения лесного законодательства;</w:t>
            </w:r>
          </w:p>
          <w:p w:rsidR="00E6090D" w:rsidRPr="00250AAB" w:rsidRDefault="00E6090D" w:rsidP="00E6090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совместные мероприятия при осуществлении </w:t>
            </w:r>
            <w:proofErr w:type="spellStart"/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доследственных</w:t>
            </w:r>
            <w:proofErr w:type="spellEnd"/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проверок при 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производстве по уголовным делам и по делам об административных правонарушениях</w:t>
            </w:r>
          </w:p>
        </w:tc>
      </w:tr>
      <w:tr w:rsidR="00E6090D" w:rsidRPr="00250AAB" w:rsidTr="00E6090D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000" w:type="pct"/>
            <w:gridSpan w:val="21"/>
          </w:tcPr>
          <w:p w:rsidR="00E6090D" w:rsidRPr="00250AAB" w:rsidRDefault="00E6090D" w:rsidP="00B24BFF">
            <w:pPr>
              <w:pStyle w:val="ConsPlusNormal"/>
              <w:outlineLvl w:val="6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1.2.2.1.2. Задача 2 цели подпрограммы 2 государственной программы: создание условий для повышения уровня кадрового потенциала, производительности труда в лесном секторе Новосибирской области</w:t>
            </w:r>
          </w:p>
        </w:tc>
      </w:tr>
      <w:tr w:rsidR="00E6090D" w:rsidRPr="00250AAB" w:rsidTr="00E6090D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1.2.2.1.2.1. 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основного общего образования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37 965,0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МПР НСО, ГБПОУ НСО «ТЛТ»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Предоставление среднего профессионального образования ГБПОУ НСО «ТЛТ» позволит сохранить в 2019 году долю обучающихся, успешно прошедших государственную (итоговую) аттестацию, на уровне 99% (от общего количества обучающихся); сохранить в 2019 году отношение средней заработной платы преподавателей и мастеров производственного обучения в ГБПОУ НСО «ТЛТ» к средней заработной плате по Новосибирской области на уровне 100%</w:t>
            </w: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1.2.2.1.2.2. Подготовка, переподготовка и повышение квалификации кадров лесного хозяйства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МПР НСО, 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ГУП НСО – лесхозы, ГАУ НСО – лесхозы, АО – лесхозы, 100% акций которых принадлежат Новосибирской области 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both"/>
              <w:rPr>
                <w:rFonts w:ascii="Times New Roman" w:hAnsi="Times New Roman" w:cs="Times New Roman"/>
                <w:i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Позволит обеспечить к концу 2030 года долю специалистов лесного хозяйства, прошедших повышение квалификации, в общей численности работников лесного хозяйства на уровне 11,1%; увеличить прирост производительности труда к предыдущему году в лесном секторе Новосибирской 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области на 2% ежегодно</w:t>
            </w: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850,0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1 00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1 00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1 00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1 00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1 00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1 00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1 00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Итого по подпрограмме 2 государственной программы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37 965,0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40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365,0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26 890,0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850,0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1 00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1 00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1 00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1 00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1 00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1 00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1 00</w:t>
            </w: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Итого по государственной программе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103 780,8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37 311,5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87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839,5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96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119,6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51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175,7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397,2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200 682,3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162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321,9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276 449,6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96A" w:rsidRPr="00250AAB" w:rsidRDefault="00E6090D" w:rsidP="00A6196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325</w:t>
            </w:r>
          </w:p>
          <w:p w:rsidR="00E6090D" w:rsidRPr="00250AAB" w:rsidRDefault="00E6090D" w:rsidP="00A6196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276,3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216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166,1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244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576,6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244</w:t>
            </w:r>
          </w:p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576,6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244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576,6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244</w:t>
            </w:r>
          </w:p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576,6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244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576,6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244</w:t>
            </w:r>
          </w:p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576,6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244</w:t>
            </w:r>
          </w:p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576,6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557 711,0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438 214,3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430 603,2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437 928,6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437 978,7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jc w:val="center"/>
              <w:rPr>
                <w:spacing w:val="-6"/>
                <w:sz w:val="18"/>
                <w:szCs w:val="18"/>
              </w:rPr>
            </w:pPr>
            <w:r w:rsidRPr="00250AAB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  <w:tr w:rsidR="00E6090D" w:rsidRPr="00250AAB" w:rsidTr="00E6090D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:rsidR="00E6090D" w:rsidRPr="00250AAB" w:rsidRDefault="00E6090D" w:rsidP="00E6090D">
            <w:pPr>
              <w:pStyle w:val="ConsPlusTitlePage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:rsidR="00E6090D" w:rsidRPr="00250AAB" w:rsidRDefault="00E6090D" w:rsidP="00E6090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50AA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90D" w:rsidRPr="00250AAB" w:rsidRDefault="00E6090D" w:rsidP="00E6090D">
            <w:pPr>
              <w:rPr>
                <w:spacing w:val="-6"/>
                <w:sz w:val="18"/>
                <w:szCs w:val="18"/>
              </w:rPr>
            </w:pPr>
          </w:p>
        </w:tc>
      </w:tr>
    </w:tbl>
    <w:p w:rsidR="00D16296" w:rsidRPr="00250AAB" w:rsidRDefault="00D16296" w:rsidP="00AA22B5"/>
    <w:p w:rsidR="004A1AE0" w:rsidRPr="00250AAB" w:rsidRDefault="004A1AE0" w:rsidP="004A1AE0">
      <w:pPr>
        <w:jc w:val="both"/>
        <w:rPr>
          <w:color w:val="000000"/>
          <w:sz w:val="28"/>
          <w:szCs w:val="28"/>
        </w:rPr>
      </w:pPr>
      <w:r w:rsidRPr="00250AAB">
        <w:rPr>
          <w:color w:val="000000"/>
          <w:sz w:val="28"/>
          <w:szCs w:val="28"/>
        </w:rPr>
        <w:t>Применяемые сокращения:</w:t>
      </w:r>
    </w:p>
    <w:p w:rsidR="0043462C" w:rsidRPr="00250AAB" w:rsidRDefault="0043462C" w:rsidP="0043462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AAB">
        <w:rPr>
          <w:rFonts w:ascii="Times New Roman" w:hAnsi="Times New Roman" w:cs="Times New Roman"/>
          <w:color w:val="000000"/>
          <w:sz w:val="28"/>
          <w:szCs w:val="28"/>
        </w:rPr>
        <w:t>АО</w:t>
      </w:r>
      <w:r w:rsidR="00AC00EB" w:rsidRPr="00250AA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50AAB">
        <w:rPr>
          <w:rFonts w:ascii="Times New Roman" w:hAnsi="Times New Roman" w:cs="Times New Roman"/>
          <w:color w:val="000000"/>
          <w:sz w:val="28"/>
          <w:szCs w:val="28"/>
        </w:rPr>
        <w:t>акционерные общества;</w:t>
      </w:r>
    </w:p>
    <w:p w:rsidR="0043462C" w:rsidRPr="00250AAB" w:rsidRDefault="0043462C" w:rsidP="0043462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AAB">
        <w:rPr>
          <w:rFonts w:ascii="Times New Roman" w:hAnsi="Times New Roman" w:cs="Times New Roman"/>
          <w:color w:val="000000"/>
          <w:sz w:val="28"/>
          <w:szCs w:val="28"/>
        </w:rPr>
        <w:t>ГАУ НСО</w:t>
      </w:r>
      <w:r w:rsidR="00AC00EB" w:rsidRPr="00250AA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50AAB">
        <w:rPr>
          <w:rFonts w:ascii="Times New Roman" w:hAnsi="Times New Roman" w:cs="Times New Roman"/>
          <w:color w:val="000000"/>
          <w:sz w:val="28"/>
          <w:szCs w:val="28"/>
        </w:rPr>
        <w:t>государственные автономные учреждения Новосибирской области;</w:t>
      </w:r>
    </w:p>
    <w:p w:rsidR="0043462C" w:rsidRPr="00250AAB" w:rsidRDefault="0043462C" w:rsidP="0043462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AAB">
        <w:rPr>
          <w:rFonts w:ascii="Times New Roman" w:hAnsi="Times New Roman" w:cs="Times New Roman"/>
          <w:color w:val="000000"/>
          <w:sz w:val="28"/>
          <w:szCs w:val="28"/>
        </w:rPr>
        <w:t>ГБПОУ НСО «ТЛТ»</w:t>
      </w:r>
      <w:r w:rsidR="00AC00EB" w:rsidRPr="00250AA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50AAB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 Новосибирской области «</w:t>
      </w:r>
      <w:proofErr w:type="spellStart"/>
      <w:r w:rsidRPr="00250AAB">
        <w:rPr>
          <w:rFonts w:ascii="Times New Roman" w:hAnsi="Times New Roman" w:cs="Times New Roman"/>
          <w:color w:val="000000"/>
          <w:sz w:val="28"/>
          <w:szCs w:val="28"/>
        </w:rPr>
        <w:t>Тогучинский</w:t>
      </w:r>
      <w:proofErr w:type="spellEnd"/>
      <w:r w:rsidRPr="00250AAB">
        <w:rPr>
          <w:rFonts w:ascii="Times New Roman" w:hAnsi="Times New Roman" w:cs="Times New Roman"/>
          <w:color w:val="000000"/>
          <w:sz w:val="28"/>
          <w:szCs w:val="28"/>
        </w:rPr>
        <w:t xml:space="preserve"> лесхоз-техникум»;</w:t>
      </w:r>
    </w:p>
    <w:p w:rsidR="0043462C" w:rsidRPr="00250AAB" w:rsidRDefault="0043462C" w:rsidP="0043462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AAB">
        <w:rPr>
          <w:rFonts w:ascii="Times New Roman" w:hAnsi="Times New Roman" w:cs="Times New Roman"/>
          <w:color w:val="000000"/>
          <w:sz w:val="28"/>
          <w:szCs w:val="28"/>
        </w:rPr>
        <w:t>ГУ МВД России по Новосибирской области</w:t>
      </w:r>
      <w:r w:rsidR="00AC00EB" w:rsidRPr="00250AA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50AAB">
        <w:rPr>
          <w:rFonts w:ascii="Times New Roman" w:hAnsi="Times New Roman" w:cs="Times New Roman"/>
          <w:color w:val="000000"/>
          <w:sz w:val="28"/>
          <w:szCs w:val="28"/>
        </w:rPr>
        <w:t>Главное управление Министерства внутренних дел Российской Федерации по</w:t>
      </w:r>
      <w:r w:rsidR="00AC00EB" w:rsidRPr="00250A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50AAB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области;</w:t>
      </w:r>
    </w:p>
    <w:p w:rsidR="0043462C" w:rsidRPr="00250AAB" w:rsidRDefault="0043462C" w:rsidP="0043462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AAB">
        <w:rPr>
          <w:rFonts w:ascii="Times New Roman" w:hAnsi="Times New Roman" w:cs="Times New Roman"/>
          <w:color w:val="000000"/>
          <w:sz w:val="28"/>
          <w:szCs w:val="28"/>
        </w:rPr>
        <w:t>ГУП НСО</w:t>
      </w:r>
      <w:r w:rsidR="00AC00EB" w:rsidRPr="00250AA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50AAB">
        <w:rPr>
          <w:rFonts w:ascii="Times New Roman" w:hAnsi="Times New Roman" w:cs="Times New Roman"/>
          <w:color w:val="000000"/>
          <w:sz w:val="28"/>
          <w:szCs w:val="28"/>
        </w:rPr>
        <w:t>государственные унитарные предприятия Новосибирской области;</w:t>
      </w:r>
    </w:p>
    <w:p w:rsidR="004A1AE0" w:rsidRPr="00250AAB" w:rsidRDefault="0043462C" w:rsidP="0043462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AAB">
        <w:rPr>
          <w:rFonts w:ascii="Times New Roman" w:hAnsi="Times New Roman" w:cs="Times New Roman"/>
          <w:color w:val="000000"/>
          <w:sz w:val="28"/>
          <w:szCs w:val="28"/>
        </w:rPr>
        <w:t>МПР НСО</w:t>
      </w:r>
      <w:r w:rsidR="00AC00EB" w:rsidRPr="00250AA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50AAB">
        <w:rPr>
          <w:rFonts w:ascii="Times New Roman" w:hAnsi="Times New Roman" w:cs="Times New Roman"/>
          <w:color w:val="000000"/>
          <w:sz w:val="28"/>
          <w:szCs w:val="28"/>
        </w:rPr>
        <w:t>министерство природных ресурсов и экологии Новосибирской области</w:t>
      </w:r>
      <w:r w:rsidR="004A1AE0" w:rsidRPr="00250A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1AE0" w:rsidRPr="00250AAB" w:rsidRDefault="004A1AE0" w:rsidP="004A1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1AE0" w:rsidRPr="00250AAB" w:rsidRDefault="004A1AE0" w:rsidP="004A1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1AE0" w:rsidRPr="00250AAB" w:rsidRDefault="004A1AE0" w:rsidP="004A1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638A" w:rsidRPr="00250AAB" w:rsidRDefault="004A1AE0" w:rsidP="003C37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AAB">
        <w:rPr>
          <w:rFonts w:ascii="Times New Roman" w:hAnsi="Times New Roman" w:cs="Times New Roman"/>
          <w:sz w:val="28"/>
          <w:szCs w:val="28"/>
        </w:rPr>
        <w:t>_________».</w:t>
      </w:r>
      <w:bookmarkStart w:id="1" w:name="_GoBack"/>
      <w:bookmarkEnd w:id="1"/>
    </w:p>
    <w:sectPr w:rsidR="00BF638A" w:rsidRPr="00250AAB" w:rsidSect="000618B2">
      <w:headerReference w:type="default" r:id="rId6"/>
      <w:pgSz w:w="16838" w:h="11905" w:orient="landscape" w:code="9"/>
      <w:pgMar w:top="1418" w:right="567" w:bottom="567" w:left="567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74" w:rsidRDefault="00650B74" w:rsidP="00632F35">
      <w:r>
        <w:separator/>
      </w:r>
    </w:p>
  </w:endnote>
  <w:endnote w:type="continuationSeparator" w:id="0">
    <w:p w:rsidR="00650B74" w:rsidRDefault="00650B74" w:rsidP="006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74" w:rsidRDefault="00650B74" w:rsidP="00632F35">
      <w:r>
        <w:separator/>
      </w:r>
    </w:p>
  </w:footnote>
  <w:footnote w:type="continuationSeparator" w:id="0">
    <w:p w:rsidR="00650B74" w:rsidRDefault="00650B74" w:rsidP="0063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133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19B1" w:rsidRPr="00B6266E" w:rsidRDefault="007219B1">
        <w:pPr>
          <w:pStyle w:val="a5"/>
          <w:jc w:val="center"/>
          <w:rPr>
            <w:sz w:val="20"/>
            <w:szCs w:val="20"/>
          </w:rPr>
        </w:pPr>
        <w:r w:rsidRPr="00B6266E">
          <w:rPr>
            <w:sz w:val="20"/>
            <w:szCs w:val="20"/>
          </w:rPr>
          <w:fldChar w:fldCharType="begin"/>
        </w:r>
        <w:r w:rsidRPr="00B6266E">
          <w:rPr>
            <w:sz w:val="20"/>
            <w:szCs w:val="20"/>
          </w:rPr>
          <w:instrText>PAGE   \* MERGEFORMAT</w:instrText>
        </w:r>
        <w:r w:rsidRPr="00B6266E">
          <w:rPr>
            <w:sz w:val="20"/>
            <w:szCs w:val="20"/>
          </w:rPr>
          <w:fldChar w:fldCharType="separate"/>
        </w:r>
        <w:r w:rsidR="00250AAB">
          <w:rPr>
            <w:noProof/>
            <w:sz w:val="20"/>
            <w:szCs w:val="20"/>
          </w:rPr>
          <w:t>2</w:t>
        </w:r>
        <w:r w:rsidRPr="00B6266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96"/>
    <w:rsid w:val="0001263F"/>
    <w:rsid w:val="00013D50"/>
    <w:rsid w:val="00035E88"/>
    <w:rsid w:val="000618B2"/>
    <w:rsid w:val="00064BCA"/>
    <w:rsid w:val="00090CEA"/>
    <w:rsid w:val="000B5155"/>
    <w:rsid w:val="000C6970"/>
    <w:rsid w:val="000D110E"/>
    <w:rsid w:val="000E3882"/>
    <w:rsid w:val="000F1C55"/>
    <w:rsid w:val="001279DC"/>
    <w:rsid w:val="001641B5"/>
    <w:rsid w:val="00197D1E"/>
    <w:rsid w:val="00197E64"/>
    <w:rsid w:val="001B4DD4"/>
    <w:rsid w:val="001E5B8F"/>
    <w:rsid w:val="001E7809"/>
    <w:rsid w:val="00230BFD"/>
    <w:rsid w:val="00246166"/>
    <w:rsid w:val="00250AAB"/>
    <w:rsid w:val="00250C48"/>
    <w:rsid w:val="0025547E"/>
    <w:rsid w:val="00257281"/>
    <w:rsid w:val="00280744"/>
    <w:rsid w:val="00332356"/>
    <w:rsid w:val="00357A28"/>
    <w:rsid w:val="003608F7"/>
    <w:rsid w:val="00372DD8"/>
    <w:rsid w:val="0038341D"/>
    <w:rsid w:val="003B0987"/>
    <w:rsid w:val="003C05B1"/>
    <w:rsid w:val="003C371E"/>
    <w:rsid w:val="003D387A"/>
    <w:rsid w:val="003F4190"/>
    <w:rsid w:val="004003D8"/>
    <w:rsid w:val="0043462C"/>
    <w:rsid w:val="00457966"/>
    <w:rsid w:val="00472C07"/>
    <w:rsid w:val="004900EC"/>
    <w:rsid w:val="00495981"/>
    <w:rsid w:val="004A1AE0"/>
    <w:rsid w:val="004A4C42"/>
    <w:rsid w:val="004B0EB7"/>
    <w:rsid w:val="004C6F51"/>
    <w:rsid w:val="004D1C27"/>
    <w:rsid w:val="004E6E12"/>
    <w:rsid w:val="004E7B84"/>
    <w:rsid w:val="00535540"/>
    <w:rsid w:val="005364C5"/>
    <w:rsid w:val="00546F03"/>
    <w:rsid w:val="0056003F"/>
    <w:rsid w:val="005720C1"/>
    <w:rsid w:val="005846E2"/>
    <w:rsid w:val="005A14A9"/>
    <w:rsid w:val="005B3966"/>
    <w:rsid w:val="005D619C"/>
    <w:rsid w:val="005E073D"/>
    <w:rsid w:val="005E0EDA"/>
    <w:rsid w:val="006203C3"/>
    <w:rsid w:val="00632F35"/>
    <w:rsid w:val="00645C4C"/>
    <w:rsid w:val="00650B74"/>
    <w:rsid w:val="00652022"/>
    <w:rsid w:val="00653CE6"/>
    <w:rsid w:val="0066573B"/>
    <w:rsid w:val="00674EEB"/>
    <w:rsid w:val="00676454"/>
    <w:rsid w:val="00691DE0"/>
    <w:rsid w:val="006B4CDA"/>
    <w:rsid w:val="006B4DD5"/>
    <w:rsid w:val="006D3ABC"/>
    <w:rsid w:val="006D7E7B"/>
    <w:rsid w:val="007219B1"/>
    <w:rsid w:val="00724C16"/>
    <w:rsid w:val="0076115A"/>
    <w:rsid w:val="0076584B"/>
    <w:rsid w:val="00774F58"/>
    <w:rsid w:val="00775023"/>
    <w:rsid w:val="0077727B"/>
    <w:rsid w:val="00793A0D"/>
    <w:rsid w:val="007A164E"/>
    <w:rsid w:val="007A21E9"/>
    <w:rsid w:val="007A37F9"/>
    <w:rsid w:val="008058B3"/>
    <w:rsid w:val="008533DF"/>
    <w:rsid w:val="00862F14"/>
    <w:rsid w:val="00864754"/>
    <w:rsid w:val="0089140F"/>
    <w:rsid w:val="008A125B"/>
    <w:rsid w:val="008A413C"/>
    <w:rsid w:val="008D65DC"/>
    <w:rsid w:val="008F0007"/>
    <w:rsid w:val="008F5EB5"/>
    <w:rsid w:val="008F6A30"/>
    <w:rsid w:val="009646F5"/>
    <w:rsid w:val="0097099B"/>
    <w:rsid w:val="00970D02"/>
    <w:rsid w:val="009747E0"/>
    <w:rsid w:val="0097544C"/>
    <w:rsid w:val="0099747B"/>
    <w:rsid w:val="009A2EE9"/>
    <w:rsid w:val="009A5F4B"/>
    <w:rsid w:val="009B6DFB"/>
    <w:rsid w:val="009E7981"/>
    <w:rsid w:val="00A0660A"/>
    <w:rsid w:val="00A17320"/>
    <w:rsid w:val="00A22D4A"/>
    <w:rsid w:val="00A26BE6"/>
    <w:rsid w:val="00A541F8"/>
    <w:rsid w:val="00A55FA9"/>
    <w:rsid w:val="00A6196A"/>
    <w:rsid w:val="00A81284"/>
    <w:rsid w:val="00A87D2E"/>
    <w:rsid w:val="00A92AFC"/>
    <w:rsid w:val="00A9528A"/>
    <w:rsid w:val="00AA22B5"/>
    <w:rsid w:val="00AA30C3"/>
    <w:rsid w:val="00AB60D0"/>
    <w:rsid w:val="00AC00EB"/>
    <w:rsid w:val="00AC408D"/>
    <w:rsid w:val="00AC79F7"/>
    <w:rsid w:val="00AF640B"/>
    <w:rsid w:val="00B021E7"/>
    <w:rsid w:val="00B24BFF"/>
    <w:rsid w:val="00B3036F"/>
    <w:rsid w:val="00B4526D"/>
    <w:rsid w:val="00B46537"/>
    <w:rsid w:val="00B6266E"/>
    <w:rsid w:val="00B777C6"/>
    <w:rsid w:val="00B91CEF"/>
    <w:rsid w:val="00B932A1"/>
    <w:rsid w:val="00BA3100"/>
    <w:rsid w:val="00BC45E8"/>
    <w:rsid w:val="00BD0800"/>
    <w:rsid w:val="00BE1B84"/>
    <w:rsid w:val="00BF638A"/>
    <w:rsid w:val="00C03648"/>
    <w:rsid w:val="00C20E7A"/>
    <w:rsid w:val="00C36939"/>
    <w:rsid w:val="00C42BDE"/>
    <w:rsid w:val="00C67E7F"/>
    <w:rsid w:val="00C70474"/>
    <w:rsid w:val="00C80B75"/>
    <w:rsid w:val="00CB2806"/>
    <w:rsid w:val="00CF070D"/>
    <w:rsid w:val="00D018FE"/>
    <w:rsid w:val="00D07405"/>
    <w:rsid w:val="00D16296"/>
    <w:rsid w:val="00D21628"/>
    <w:rsid w:val="00D23D96"/>
    <w:rsid w:val="00D37E10"/>
    <w:rsid w:val="00D533CC"/>
    <w:rsid w:val="00D746F0"/>
    <w:rsid w:val="00DA6D10"/>
    <w:rsid w:val="00DC6C99"/>
    <w:rsid w:val="00E21EC9"/>
    <w:rsid w:val="00E34209"/>
    <w:rsid w:val="00E6090D"/>
    <w:rsid w:val="00E61E19"/>
    <w:rsid w:val="00E64C07"/>
    <w:rsid w:val="00E725B9"/>
    <w:rsid w:val="00E74E8A"/>
    <w:rsid w:val="00E94E22"/>
    <w:rsid w:val="00E96E87"/>
    <w:rsid w:val="00EA4462"/>
    <w:rsid w:val="00EA5CFB"/>
    <w:rsid w:val="00F046DC"/>
    <w:rsid w:val="00F1745F"/>
    <w:rsid w:val="00F36EC7"/>
    <w:rsid w:val="00F71A78"/>
    <w:rsid w:val="00FA518C"/>
    <w:rsid w:val="00FA58B1"/>
    <w:rsid w:val="00FA7B49"/>
    <w:rsid w:val="00FB194C"/>
    <w:rsid w:val="00FB3FE0"/>
    <w:rsid w:val="00FB6099"/>
    <w:rsid w:val="00FB7638"/>
    <w:rsid w:val="00FF1675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6F146D-2EF3-425C-B17A-2D65ED0B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162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16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4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12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32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2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2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2F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11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 Николаевна</dc:creator>
  <cp:keywords/>
  <dc:description/>
  <cp:lastModifiedBy>Свиридова Татьяна Николаевна</cp:lastModifiedBy>
  <cp:revision>14</cp:revision>
  <cp:lastPrinted>2022-08-16T04:22:00Z</cp:lastPrinted>
  <dcterms:created xsi:type="dcterms:W3CDTF">2022-07-07T05:00:00Z</dcterms:created>
  <dcterms:modified xsi:type="dcterms:W3CDTF">2022-08-18T02:33:00Z</dcterms:modified>
</cp:coreProperties>
</file>