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67489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</w:t>
      </w:r>
      <w:r w:rsidR="00EE3EAC" w:rsidRPr="00BC6014">
        <w:rPr>
          <w:rFonts w:ascii="Times New Roman" w:hAnsi="Times New Roman" w:cs="Times New Roman"/>
          <w:noProof/>
          <w:sz w:val="28"/>
          <w:szCs w:val="28"/>
        </w:rPr>
        <w:t>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182589" w:rsidRDefault="00182589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674890" w:rsidRPr="00674890" w:rsidRDefault="00674890" w:rsidP="00674890">
      <w:pPr>
        <w:snapToGrid/>
        <w:spacing w:before="0" w:after="0"/>
        <w:jc w:val="center"/>
        <w:rPr>
          <w:sz w:val="28"/>
          <w:szCs w:val="28"/>
        </w:rPr>
      </w:pPr>
      <w:r w:rsidRPr="00674890">
        <w:rPr>
          <w:sz w:val="28"/>
          <w:szCs w:val="28"/>
        </w:rPr>
        <w:t>О внесении изменений в постановление Правительства</w:t>
      </w:r>
    </w:p>
    <w:p w:rsidR="00674890" w:rsidRPr="00674890" w:rsidRDefault="00674890" w:rsidP="00674890">
      <w:pPr>
        <w:snapToGrid/>
        <w:spacing w:before="0" w:after="0"/>
        <w:jc w:val="center"/>
        <w:rPr>
          <w:sz w:val="28"/>
          <w:szCs w:val="28"/>
        </w:rPr>
      </w:pPr>
      <w:r w:rsidRPr="00674890">
        <w:rPr>
          <w:sz w:val="28"/>
          <w:szCs w:val="28"/>
        </w:rPr>
        <w:t>Новосибирской области от 16.02.2015 № 66-п</w:t>
      </w:r>
    </w:p>
    <w:p w:rsidR="00674890" w:rsidRPr="00674890" w:rsidRDefault="00674890" w:rsidP="00674890">
      <w:pPr>
        <w:snapToGrid/>
        <w:spacing w:before="0" w:after="0"/>
        <w:jc w:val="both"/>
        <w:rPr>
          <w:sz w:val="28"/>
          <w:szCs w:val="28"/>
        </w:rPr>
      </w:pP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4890">
        <w:rPr>
          <w:sz w:val="28"/>
          <w:szCs w:val="28"/>
        </w:rPr>
        <w:t xml:space="preserve">Правительство Новосибирской области </w:t>
      </w:r>
      <w:r w:rsidRPr="00674890">
        <w:rPr>
          <w:b/>
          <w:sz w:val="28"/>
          <w:szCs w:val="28"/>
        </w:rPr>
        <w:t>п о с </w:t>
      </w:r>
      <w:proofErr w:type="gramStart"/>
      <w:r w:rsidRPr="00674890">
        <w:rPr>
          <w:b/>
          <w:sz w:val="28"/>
          <w:szCs w:val="28"/>
        </w:rPr>
        <w:t>т</w:t>
      </w:r>
      <w:proofErr w:type="gramEnd"/>
      <w:r w:rsidRPr="00674890">
        <w:rPr>
          <w:b/>
          <w:sz w:val="28"/>
          <w:szCs w:val="28"/>
        </w:rPr>
        <w:t> а н о в л я е т: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4890">
        <w:rPr>
          <w:sz w:val="28"/>
          <w:szCs w:val="28"/>
        </w:rPr>
        <w:t>Внести в постановление Правительства Новосибирской области от 16.02.2015 № 66-п «Об утверждении государственной программы Новосибирской области «Жилищно-коммунальное хозяйство Новосибирской области» следующие изменения:</w:t>
      </w:r>
    </w:p>
    <w:p w:rsidR="00674890" w:rsidRPr="00674890" w:rsidRDefault="00ED3E31" w:rsidP="00ED3E31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2 </w:t>
      </w:r>
      <w:r w:rsidR="00674890" w:rsidRPr="00674890">
        <w:rPr>
          <w:sz w:val="28"/>
          <w:szCs w:val="28"/>
        </w:rPr>
        <w:t>подпункт 15 признать утратившим си</w:t>
      </w:r>
      <w:r>
        <w:rPr>
          <w:sz w:val="28"/>
          <w:szCs w:val="28"/>
        </w:rPr>
        <w:t>лу.</w:t>
      </w:r>
    </w:p>
    <w:p w:rsidR="00674890" w:rsidRPr="00674890" w:rsidRDefault="00674890" w:rsidP="00674890">
      <w:pPr>
        <w:tabs>
          <w:tab w:val="left" w:pos="851"/>
          <w:tab w:val="left" w:pos="993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4890">
        <w:rPr>
          <w:sz w:val="28"/>
          <w:szCs w:val="28"/>
        </w:rPr>
        <w:t>2. В государственной программе Новосибирской области «Жилищно-коммунальное хозяйство Новосибирской области»: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4890">
        <w:rPr>
          <w:sz w:val="28"/>
          <w:szCs w:val="28"/>
        </w:rPr>
        <w:t xml:space="preserve">1) в </w:t>
      </w:r>
      <w:hyperlink r:id="rId8" w:history="1">
        <w:r w:rsidRPr="00674890">
          <w:rPr>
            <w:sz w:val="28"/>
            <w:szCs w:val="28"/>
          </w:rPr>
          <w:t>разделе I</w:t>
        </w:r>
      </w:hyperlink>
      <w:r w:rsidRPr="00674890">
        <w:rPr>
          <w:sz w:val="28"/>
          <w:szCs w:val="28"/>
        </w:rPr>
        <w:t xml:space="preserve"> «Паспорт государственной программы Новосибирской области «Жилищно-коммунальное хозяйство Новосибирской области» </w:t>
      </w:r>
      <w:hyperlink r:id="rId9" w:history="1">
        <w:r w:rsidRPr="00674890">
          <w:rPr>
            <w:sz w:val="28"/>
            <w:szCs w:val="28"/>
          </w:rPr>
          <w:t>позицию</w:t>
        </w:r>
      </w:hyperlink>
      <w:r w:rsidRPr="00674890">
        <w:rPr>
          <w:sz w:val="28"/>
          <w:szCs w:val="28"/>
        </w:rPr>
        <w:t xml:space="preserve"> «Исполнители подпрограмм государственной программы, отдельных мероприятий государственной программы» после абзаца девятого дополнить абзацами следующего содержания: 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4890">
        <w:rPr>
          <w:sz w:val="28"/>
          <w:szCs w:val="28"/>
        </w:rPr>
        <w:t>«товарищества собственников жилья, жилищные, жилищно-строительные кооперативы, созданные в соответствии с Жилищным кодексом Российской Федерации, управляющие организации»;</w:t>
      </w:r>
    </w:p>
    <w:p w:rsidR="00674890" w:rsidRPr="00674890" w:rsidRDefault="00674890" w:rsidP="00674890">
      <w:pPr>
        <w:tabs>
          <w:tab w:val="left" w:pos="851"/>
          <w:tab w:val="left" w:pos="993"/>
        </w:tabs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4890">
        <w:rPr>
          <w:sz w:val="28"/>
          <w:szCs w:val="28"/>
          <w:lang w:eastAsia="en-US"/>
        </w:rPr>
        <w:t>2) в разделе II «</w:t>
      </w:r>
      <w:r w:rsidRPr="00674890">
        <w:rPr>
          <w:sz w:val="28"/>
          <w:szCs w:val="28"/>
        </w:rPr>
        <w:t>Обоснование необходимости реализации государственной программы» абзац семьдесят шестой изложить в следующей редакции: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74890">
        <w:rPr>
          <w:sz w:val="28"/>
          <w:szCs w:val="28"/>
        </w:rPr>
        <w:t>«</w:t>
      </w:r>
      <w:r w:rsidRPr="00674890">
        <w:rPr>
          <w:color w:val="000000"/>
          <w:sz w:val="28"/>
          <w:szCs w:val="28"/>
        </w:rPr>
        <w:t xml:space="preserve">Для решения данной проблемы в рамках государственной программы предусмотрено мероприятие по предоставлению субсидий из областного бюджета Новосибирской области на </w:t>
      </w:r>
      <w:r w:rsidR="0093149A">
        <w:rPr>
          <w:color w:val="000000"/>
          <w:sz w:val="28"/>
          <w:szCs w:val="28"/>
        </w:rPr>
        <w:t xml:space="preserve">возмещение </w:t>
      </w:r>
      <w:r w:rsidRPr="00674890">
        <w:rPr>
          <w:color w:val="000000"/>
          <w:sz w:val="28"/>
          <w:szCs w:val="28"/>
        </w:rPr>
        <w:t>затрат на проведение капитального ремонта общего имущества в многоквартирных домах, исключенных из региональной программы капитального ремонта в связи с физическим износом, превышающим семьдесят процентов.»;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4890">
        <w:rPr>
          <w:color w:val="000000"/>
          <w:sz w:val="28"/>
          <w:szCs w:val="28"/>
        </w:rPr>
        <w:t>3) </w:t>
      </w:r>
      <w:r w:rsidRPr="00674890">
        <w:rPr>
          <w:sz w:val="28"/>
          <w:szCs w:val="28"/>
          <w:lang w:eastAsia="en-US"/>
        </w:rPr>
        <w:t xml:space="preserve">в разделе </w:t>
      </w:r>
      <w:r w:rsidRPr="00674890">
        <w:rPr>
          <w:sz w:val="28"/>
          <w:szCs w:val="28"/>
          <w:lang w:val="en-US" w:eastAsia="en-US"/>
        </w:rPr>
        <w:t>V</w:t>
      </w:r>
      <w:r w:rsidRPr="00674890">
        <w:rPr>
          <w:sz w:val="28"/>
          <w:szCs w:val="28"/>
          <w:lang w:eastAsia="en-US"/>
        </w:rPr>
        <w:t xml:space="preserve"> «</w:t>
      </w:r>
      <w:r w:rsidRPr="00674890">
        <w:rPr>
          <w:sz w:val="28"/>
          <w:szCs w:val="28"/>
        </w:rPr>
        <w:t>Механизм реализации и система управления государственной программы»: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4890">
        <w:rPr>
          <w:sz w:val="28"/>
          <w:szCs w:val="28"/>
        </w:rPr>
        <w:t>а) абзац седьмой после слов «публичное акционерное общество «Газпром»,» дополнить словами «товарищества собственников жилья, жилищные, жилищно-строительные кооперативы, созданные в соответствии с Жилищным кодексом Российской Федерации, управляющие организации, Фонд модернизации и развития жилищно-коммунального хозяйства муниципальных образований Новосибирской области,»;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pacing w:val="2"/>
          <w:sz w:val="28"/>
          <w:szCs w:val="28"/>
        </w:rPr>
      </w:pPr>
      <w:r w:rsidRPr="00674890">
        <w:rPr>
          <w:sz w:val="28"/>
          <w:szCs w:val="28"/>
        </w:rPr>
        <w:t>б)</w:t>
      </w:r>
      <w:r w:rsidRPr="00674890">
        <w:rPr>
          <w:spacing w:val="2"/>
          <w:sz w:val="28"/>
          <w:szCs w:val="28"/>
        </w:rPr>
        <w:t xml:space="preserve"> абзац двадцать </w:t>
      </w:r>
      <w:r w:rsidR="00263D5D">
        <w:rPr>
          <w:spacing w:val="2"/>
          <w:sz w:val="28"/>
          <w:szCs w:val="28"/>
        </w:rPr>
        <w:t>шестой</w:t>
      </w:r>
      <w:r w:rsidRPr="00674890">
        <w:rPr>
          <w:spacing w:val="2"/>
          <w:sz w:val="28"/>
          <w:szCs w:val="28"/>
        </w:rPr>
        <w:t xml:space="preserve"> после слов «Соглашение обязательно содержит положение о форме, сроках и порядке представления отчетности о выполненных объемах работ и об осуществлении расходов за счет средств местного бюджета.» дополнить словами «Предоставляются субсидии из областного бюджета Новосибирской области на возмещение затрат на проведение капитального ремонта общего имущества в многоквартирных домах, исключенных из региональной программы капитального ремонта в связи с физическим износом, </w:t>
      </w:r>
      <w:r w:rsidRPr="00674890">
        <w:rPr>
          <w:spacing w:val="2"/>
          <w:sz w:val="28"/>
          <w:szCs w:val="28"/>
        </w:rPr>
        <w:lastRenderedPageBreak/>
        <w:t>превышающим семьдесят процентов, в целях стимулирования восстановления эксплуатационных характеристик общего имущества данных домов. Перечисление денежных средств, источником финансового обеспечения которых являются субсидии из областного бюджета Новосибирской области, осуществляется в адрес товариществ собственников жилья, жилищных, жилищно-строительных кооперативов, созданных в соответствии с Жилищным кодексом Российской Федерации, управляющих организаций на основании заключенных с данными юридическими лицами соглашений. Соглашения оформляются в соответствии с типовыми формами, утвержденными приказами министерства финансов и налоговой политики Новосибирской области.»;</w:t>
      </w:r>
    </w:p>
    <w:p w:rsidR="00674890" w:rsidRPr="00674890" w:rsidRDefault="00ED3E31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674890" w:rsidRPr="00674890">
        <w:rPr>
          <w:spacing w:val="2"/>
          <w:sz w:val="28"/>
          <w:szCs w:val="28"/>
        </w:rPr>
        <w:t xml:space="preserve">) после абзаца </w:t>
      </w:r>
      <w:r>
        <w:rPr>
          <w:spacing w:val="2"/>
          <w:sz w:val="28"/>
          <w:szCs w:val="28"/>
        </w:rPr>
        <w:t>тридцатого</w:t>
      </w:r>
      <w:r w:rsidR="00674890" w:rsidRPr="00674890">
        <w:rPr>
          <w:spacing w:val="2"/>
          <w:sz w:val="28"/>
          <w:szCs w:val="28"/>
        </w:rPr>
        <w:t xml:space="preserve"> дополнить абзацами следующего содержания: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pacing w:val="2"/>
          <w:sz w:val="28"/>
          <w:szCs w:val="28"/>
        </w:rPr>
      </w:pPr>
      <w:r w:rsidRPr="00674890">
        <w:rPr>
          <w:spacing w:val="2"/>
          <w:sz w:val="28"/>
          <w:szCs w:val="28"/>
        </w:rPr>
        <w:t>«Поряд</w:t>
      </w:r>
      <w:r w:rsidR="0093149A">
        <w:rPr>
          <w:spacing w:val="2"/>
          <w:sz w:val="28"/>
          <w:szCs w:val="28"/>
        </w:rPr>
        <w:t>ок</w:t>
      </w:r>
      <w:r w:rsidRPr="00674890">
        <w:rPr>
          <w:spacing w:val="2"/>
          <w:sz w:val="28"/>
          <w:szCs w:val="28"/>
        </w:rPr>
        <w:t xml:space="preserve"> предоставления субсидий </w:t>
      </w:r>
      <w:r w:rsidRPr="00674890">
        <w:rPr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некоммерческим организациям, не являющимся государственными (муниципальными) учреждениями, государственными корпорациями (компаниями) и публично-правовыми компаниями,</w:t>
      </w:r>
      <w:r w:rsidRPr="00674890">
        <w:rPr>
          <w:spacing w:val="2"/>
          <w:sz w:val="28"/>
          <w:szCs w:val="28"/>
        </w:rPr>
        <w:t xml:space="preserve"> установлен в приложени</w:t>
      </w:r>
      <w:r w:rsidR="0093149A">
        <w:rPr>
          <w:spacing w:val="2"/>
          <w:sz w:val="28"/>
          <w:szCs w:val="28"/>
        </w:rPr>
        <w:t>и</w:t>
      </w:r>
      <w:r w:rsidRPr="00674890">
        <w:rPr>
          <w:spacing w:val="2"/>
          <w:sz w:val="28"/>
          <w:szCs w:val="28"/>
        </w:rPr>
        <w:t xml:space="preserve"> № </w:t>
      </w:r>
      <w:r w:rsidR="00ED3E31">
        <w:rPr>
          <w:spacing w:val="2"/>
          <w:sz w:val="28"/>
          <w:szCs w:val="28"/>
        </w:rPr>
        <w:t>25</w:t>
      </w:r>
      <w:r w:rsidR="0093149A">
        <w:rPr>
          <w:spacing w:val="2"/>
          <w:sz w:val="28"/>
          <w:szCs w:val="28"/>
        </w:rPr>
        <w:t xml:space="preserve"> </w:t>
      </w:r>
      <w:r w:rsidRPr="00674890">
        <w:rPr>
          <w:spacing w:val="2"/>
          <w:sz w:val="28"/>
          <w:szCs w:val="28"/>
        </w:rPr>
        <w:t>к государственной программе.»;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</w:rPr>
        <w:t>4) </w:t>
      </w:r>
      <w:r w:rsidRPr="00674890">
        <w:rPr>
          <w:sz w:val="28"/>
          <w:szCs w:val="28"/>
          <w:lang w:eastAsia="en-US"/>
        </w:rPr>
        <w:t>в приложении № 2.1 «Основные мероприятия государственной программы Новосибирской области «Жилищно-коммунальное хозяйство Новосибирской области»: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4890">
        <w:rPr>
          <w:sz w:val="28"/>
          <w:szCs w:val="28"/>
          <w:lang w:eastAsia="en-US"/>
        </w:rPr>
        <w:t xml:space="preserve">В позиции </w:t>
      </w:r>
      <w:r w:rsidRPr="00674890">
        <w:rPr>
          <w:sz w:val="28"/>
          <w:szCs w:val="28"/>
        </w:rPr>
        <w:t>1.2.1.1.6.1. слова «</w:t>
      </w:r>
      <w:r w:rsidR="00537AD2" w:rsidRPr="00537AD2">
        <w:rPr>
          <w:sz w:val="28"/>
          <w:szCs w:val="28"/>
        </w:rPr>
        <w:t>Предоставление мер государственной поддержки на реализацию мероприятий по проведению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в связи с физическим износом, превышающим семьдесят процентов</w:t>
      </w:r>
      <w:r w:rsidRPr="00674890">
        <w:rPr>
          <w:sz w:val="28"/>
          <w:szCs w:val="28"/>
          <w:lang w:eastAsia="en-US"/>
        </w:rPr>
        <w:t>»</w:t>
      </w:r>
      <w:r w:rsidRPr="00674890">
        <w:rPr>
          <w:sz w:val="28"/>
          <w:szCs w:val="28"/>
        </w:rPr>
        <w:t xml:space="preserve"> заменить словами «Предоставление субсидий из областного бюджета Новосибирской области на возмещение затрат на проведение капитального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в связи с физическим износом, превышающим семьдесят процентов»; 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t>5) в приложении № 6 «Подпрограмма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области»: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t xml:space="preserve">а) после таблицы в разделе </w:t>
      </w:r>
      <w:r w:rsidRPr="00674890">
        <w:rPr>
          <w:sz w:val="28"/>
          <w:szCs w:val="28"/>
          <w:lang w:val="en-US" w:eastAsia="en-US"/>
        </w:rPr>
        <w:t>II</w:t>
      </w:r>
      <w:r w:rsidRPr="00674890">
        <w:rPr>
          <w:sz w:val="28"/>
          <w:szCs w:val="28"/>
          <w:lang w:eastAsia="en-US"/>
        </w:rPr>
        <w:t xml:space="preserve"> «Характеристика сферы действия подпрограммы» абзац сорок восьмой признать утратившим силу; 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t xml:space="preserve">б) абзацы с первого </w:t>
      </w:r>
      <w:proofErr w:type="gramStart"/>
      <w:r w:rsidRPr="00674890">
        <w:rPr>
          <w:sz w:val="28"/>
          <w:szCs w:val="28"/>
          <w:lang w:eastAsia="en-US"/>
        </w:rPr>
        <w:t>по третий пункта</w:t>
      </w:r>
      <w:proofErr w:type="gramEnd"/>
      <w:r w:rsidRPr="00674890">
        <w:rPr>
          <w:sz w:val="28"/>
          <w:szCs w:val="28"/>
          <w:lang w:eastAsia="en-US"/>
        </w:rPr>
        <w:t xml:space="preserve"> 6 подраздела «Система основных мероприятий государственной программы, реализуемых до 2018 года включительно» раздела </w:t>
      </w:r>
      <w:r w:rsidRPr="00674890">
        <w:rPr>
          <w:sz w:val="28"/>
          <w:szCs w:val="28"/>
          <w:lang w:val="en-US" w:eastAsia="en-US"/>
        </w:rPr>
        <w:t>IV</w:t>
      </w:r>
      <w:r w:rsidRPr="00674890">
        <w:rPr>
          <w:sz w:val="28"/>
          <w:szCs w:val="28"/>
          <w:lang w:eastAsia="en-US"/>
        </w:rPr>
        <w:t xml:space="preserve"> «Характеристика мероприятий подпрограммы» признать утратившими силу;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t xml:space="preserve">в) в пункте четвертом подраздела «Система основных мероприятий государственной программы, реализуемых с 2019 года» раздела IV «Характеристика мероприятий подпрограммы»: 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t>абзацы с первого по четвертый признать утратившими силу;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t>после четвертого абзаца дополнить абзацами следующего содержания: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lastRenderedPageBreak/>
        <w:t>«Предоставление субсидий из областного бюджета Новосибирской области на возмещение затрат на проведение капитального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в связи с физическим износом, превышающим семьдесят процентов.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t>Субсидии предоставляются в пределах утвержденных бюджетных ассигнований.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t>Уполномоченным органом по предоставлению субсидий, главным распорядителем бюджетных средств, предоставляющим государственную поддержку, является министерство жилищно-коммунального хозяйства и энергетики Новосибирской области.</w:t>
      </w:r>
    </w:p>
    <w:p w:rsidR="00674890" w:rsidRPr="00674890" w:rsidRDefault="0023638A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="00674890" w:rsidRPr="00674890">
        <w:rPr>
          <w:sz w:val="28"/>
          <w:szCs w:val="28"/>
          <w:lang w:eastAsia="en-US"/>
        </w:rPr>
        <w:t xml:space="preserve">убсидии предоставляются 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организациям, осуществляющим управление общим имуществом в многоквартирных домах, исключенных из региональной программы капитального ремонта в связи с физическим износом, превышающим семьдесят процентов. 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t>В рамках реализации мероприятия финансируется оказание услуг и (или) выполнение работ по капитальному ремонту основных конструктивных элементов многоквартирных домов, исключенных из региональной программы капитального ремонта в связи с физическим износом, превышающим семьдесят процентов, а именно: крыш, стен, фундаментов, износ которых составляет более семидесяти процентов; оказание услуг и (или) выполнение работ по оценке технического состояния данных многоквартирных домов, разработке проектной и сметной документации на проведение капитального ремонта вышеперечисленных конструктивных элементов общего имущества многоквартирных домов, затраты на проведение государственной экспертизы проектной и сметной документации, оказание услуг по осуществлению строительного контроля над выполнением данных работ с целью восстановления эксплуатационных характеристик многоквартирных домов, исключенных из региональной программы капитального ремонта в связи с физическим износом, превышающим семьдесят процентов, и последующего включения данных домов в региональную программу капитального ремонта.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674890">
        <w:rPr>
          <w:sz w:val="28"/>
          <w:szCs w:val="28"/>
          <w:lang w:eastAsia="en-US"/>
        </w:rPr>
        <w:t>На основании стат</w:t>
      </w:r>
      <w:r w:rsidR="00537AD2">
        <w:rPr>
          <w:sz w:val="28"/>
          <w:szCs w:val="28"/>
          <w:lang w:eastAsia="en-US"/>
        </w:rPr>
        <w:t>ей</w:t>
      </w:r>
      <w:r w:rsidRPr="00674890">
        <w:rPr>
          <w:sz w:val="28"/>
          <w:szCs w:val="28"/>
          <w:lang w:eastAsia="en-US"/>
        </w:rPr>
        <w:t xml:space="preserve"> 78</w:t>
      </w:r>
      <w:r w:rsidR="00537AD2">
        <w:rPr>
          <w:sz w:val="28"/>
          <w:szCs w:val="28"/>
          <w:lang w:eastAsia="en-US"/>
        </w:rPr>
        <w:t>, 78.1</w:t>
      </w:r>
      <w:r w:rsidRPr="00674890">
        <w:rPr>
          <w:sz w:val="28"/>
          <w:szCs w:val="28"/>
          <w:lang w:eastAsia="en-US"/>
        </w:rPr>
        <w:t xml:space="preserve"> Бюджетного кодекса Российской Федерации в целях предоставления субсидий </w:t>
      </w:r>
      <w:r w:rsidR="00537AD2" w:rsidRPr="00537AD2">
        <w:rPr>
          <w:sz w:val="28"/>
          <w:szCs w:val="28"/>
          <w:lang w:eastAsia="en-US"/>
        </w:rPr>
        <w:t xml:space="preserve">товариществам собственников жилья, жилищным, жилищно-строительным кооперативам, созданным в соответствии с Жилищным кодексом Российской Федерации, управляющим организациям, осуществляющим управление общим имуществом в многоквартирных домах, исключенных из региональной программы капитального ремонта в связи с физическим износом, </w:t>
      </w:r>
      <w:r w:rsidR="00537AD2">
        <w:rPr>
          <w:sz w:val="28"/>
          <w:szCs w:val="28"/>
          <w:lang w:eastAsia="en-US"/>
        </w:rPr>
        <w:t>превышающим семьдесят процентов</w:t>
      </w:r>
      <w:r w:rsidRPr="00674890">
        <w:rPr>
          <w:sz w:val="28"/>
          <w:szCs w:val="28"/>
          <w:lang w:eastAsia="en-US"/>
        </w:rPr>
        <w:t xml:space="preserve">, в приложении № </w:t>
      </w:r>
      <w:r w:rsidR="00537AD2">
        <w:rPr>
          <w:sz w:val="28"/>
          <w:szCs w:val="28"/>
          <w:lang w:eastAsia="en-US"/>
        </w:rPr>
        <w:t>25</w:t>
      </w:r>
      <w:r w:rsidRPr="00674890">
        <w:rPr>
          <w:sz w:val="28"/>
          <w:szCs w:val="28"/>
          <w:lang w:eastAsia="en-US"/>
        </w:rPr>
        <w:t xml:space="preserve"> к постановлению Правительства Новосибирской области «Об утверждении государственной программы Новосибирской области «Жилищно-коммунальное хозяйство Новосибирской области» установлен Порядок </w:t>
      </w:r>
      <w:r w:rsidR="0093149A" w:rsidRPr="0093149A">
        <w:rPr>
          <w:sz w:val="28"/>
          <w:szCs w:val="28"/>
          <w:lang w:eastAsia="en-US"/>
        </w:rPr>
        <w:t xml:space="preserve">предоставления и расходования субсидий из областного бюджета Новосибирской области на возмещение затрат на проведение капитального ремонта общего имущества в многоквартирных домах, исключенных из региональной программы капитального ремонта общего </w:t>
      </w:r>
      <w:r w:rsidR="0093149A" w:rsidRPr="0093149A">
        <w:rPr>
          <w:sz w:val="28"/>
          <w:szCs w:val="28"/>
          <w:lang w:eastAsia="en-US"/>
        </w:rPr>
        <w:lastRenderedPageBreak/>
        <w:t>имущества в многоквартирных домах, расположенных на территории Новосибирской области, на 2014-2043 годы, утвержденной постановлением Правительства Новосибирской области от 27.11.2013 № 524-п, в связи с физическим износом, превышающим семьдесят процентов,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="0093149A">
        <w:rPr>
          <w:sz w:val="28"/>
          <w:szCs w:val="28"/>
          <w:lang w:eastAsia="en-US"/>
        </w:rPr>
        <w:t>.</w:t>
      </w:r>
      <w:r w:rsidRPr="00674890">
        <w:rPr>
          <w:sz w:val="28"/>
          <w:szCs w:val="28"/>
          <w:lang w:eastAsia="en-US"/>
        </w:rPr>
        <w:t>».</w:t>
      </w:r>
    </w:p>
    <w:p w:rsidR="00674890" w:rsidRPr="00674890" w:rsidRDefault="00674890" w:rsidP="00674890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674890">
        <w:rPr>
          <w:sz w:val="28"/>
          <w:szCs w:val="28"/>
        </w:rPr>
        <w:t>3.</w:t>
      </w:r>
      <w:r w:rsidR="00117E5F">
        <w:rPr>
          <w:sz w:val="28"/>
          <w:szCs w:val="28"/>
        </w:rPr>
        <w:t> </w:t>
      </w:r>
      <w:r w:rsidRPr="00674890">
        <w:rPr>
          <w:sz w:val="28"/>
          <w:szCs w:val="28"/>
        </w:rPr>
        <w:t>Приложение № 15 к Постановлению «</w:t>
      </w:r>
      <w:hyperlink r:id="rId10" w:history="1">
        <w:r w:rsidRPr="00674890">
          <w:rPr>
            <w:sz w:val="28"/>
            <w:szCs w:val="28"/>
          </w:rPr>
          <w:t>Условия</w:t>
        </w:r>
      </w:hyperlink>
      <w:r w:rsidRPr="00674890">
        <w:rPr>
          <w:sz w:val="28"/>
          <w:szCs w:val="28"/>
        </w:rPr>
        <w:t xml:space="preserve"> предоставления и расходования субсидий местным бюджетам на </w:t>
      </w:r>
      <w:proofErr w:type="spellStart"/>
      <w:r w:rsidRPr="00674890">
        <w:rPr>
          <w:sz w:val="28"/>
          <w:szCs w:val="28"/>
        </w:rPr>
        <w:t>софинансирование</w:t>
      </w:r>
      <w:proofErr w:type="spellEnd"/>
      <w:r w:rsidRPr="00674890">
        <w:rPr>
          <w:sz w:val="28"/>
          <w:szCs w:val="28"/>
        </w:rPr>
        <w:t xml:space="preserve"> расходных обязательств муниципальных образований Новосибирской области по оказанию муниципальной поддержки, предусмотренной статьей 191 Жилищного кодекса Российской Федерации, на реализацию мероприятий по проведению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2014-2043 годы, утвержденной постановлением Правительства Новосибирской области от 27.11.2013 № 524-п, в связи с физическим износом, превышающим семьдесят процентов,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признать утратившим силу.</w:t>
      </w:r>
    </w:p>
    <w:p w:rsidR="00674890" w:rsidRPr="00674890" w:rsidRDefault="00674890" w:rsidP="00674890">
      <w:pPr>
        <w:tabs>
          <w:tab w:val="left" w:pos="1134"/>
        </w:tabs>
        <w:snapToGrid/>
        <w:spacing w:before="0"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74890">
        <w:rPr>
          <w:sz w:val="28"/>
          <w:szCs w:val="28"/>
        </w:rPr>
        <w:t>4. Дополнить приложением № </w:t>
      </w:r>
      <w:r w:rsidR="00117E5F">
        <w:rPr>
          <w:sz w:val="28"/>
          <w:szCs w:val="28"/>
        </w:rPr>
        <w:t>25</w:t>
      </w:r>
      <w:r w:rsidRPr="00674890">
        <w:rPr>
          <w:sz w:val="28"/>
          <w:szCs w:val="28"/>
        </w:rPr>
        <w:t xml:space="preserve"> </w:t>
      </w:r>
      <w:r w:rsidRPr="00674890">
        <w:rPr>
          <w:bCs/>
          <w:sz w:val="28"/>
          <w:szCs w:val="28"/>
          <w:lang w:eastAsia="en-US"/>
        </w:rPr>
        <w:t>«</w:t>
      </w:r>
      <w:r w:rsidR="00117E5F" w:rsidRPr="00117E5F">
        <w:rPr>
          <w:sz w:val="28"/>
          <w:szCs w:val="28"/>
        </w:rPr>
        <w:t xml:space="preserve">Порядок </w:t>
      </w:r>
      <w:r w:rsidR="0093149A" w:rsidRPr="0093149A">
        <w:rPr>
          <w:sz w:val="28"/>
          <w:szCs w:val="28"/>
        </w:rPr>
        <w:t>предоставления и расходования субсидий из областного бюджета Новосибирской области на возмещение затрат на проведение капитального ремонта общего имущества в многоквартирных домах,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2014-2043 годы, утвержденной постановлением Правительства Новосибирской области от 27.11.2013 № 524-п, в связи с физическим износом, превышающим семьдесят процентов,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</w:r>
      <w:r w:rsidRPr="00674890">
        <w:rPr>
          <w:sz w:val="28"/>
          <w:szCs w:val="28"/>
        </w:rPr>
        <w:t xml:space="preserve"> </w:t>
      </w:r>
      <w:r w:rsidRPr="00674890">
        <w:rPr>
          <w:rFonts w:eastAsia="Calibri"/>
          <w:sz w:val="28"/>
          <w:szCs w:val="28"/>
          <w:lang w:eastAsia="en-US"/>
        </w:rPr>
        <w:t>согласно приложению № 1 к настоящему постановлению.</w:t>
      </w:r>
    </w:p>
    <w:p w:rsidR="00674890" w:rsidRDefault="0067489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E7B92" w:rsidRDefault="005E7B92" w:rsidP="00304B37">
      <w:pPr>
        <w:spacing w:before="0" w:after="0"/>
        <w:jc w:val="both"/>
        <w:rPr>
          <w:sz w:val="28"/>
          <w:szCs w:val="28"/>
        </w:rPr>
      </w:pPr>
    </w:p>
    <w:p w:rsidR="00166EBC" w:rsidRPr="007F1004" w:rsidRDefault="00166EBC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326B37" w:rsidRDefault="00326B37" w:rsidP="00B444CA">
      <w:pPr>
        <w:spacing w:before="0" w:after="0"/>
        <w:rPr>
          <w:sz w:val="20"/>
        </w:rPr>
      </w:pPr>
    </w:p>
    <w:p w:rsidR="00117E5F" w:rsidRDefault="00117E5F" w:rsidP="00B444CA">
      <w:pPr>
        <w:spacing w:before="0" w:after="0"/>
        <w:rPr>
          <w:sz w:val="20"/>
        </w:rPr>
      </w:pPr>
    </w:p>
    <w:p w:rsidR="00117E5F" w:rsidRDefault="00117E5F" w:rsidP="00B444CA">
      <w:pPr>
        <w:spacing w:before="0" w:after="0"/>
        <w:rPr>
          <w:sz w:val="20"/>
        </w:rPr>
      </w:pPr>
    </w:p>
    <w:p w:rsidR="00117E5F" w:rsidRDefault="00117E5F" w:rsidP="00B444CA">
      <w:pPr>
        <w:spacing w:before="0" w:after="0"/>
        <w:rPr>
          <w:sz w:val="20"/>
        </w:rPr>
      </w:pPr>
    </w:p>
    <w:p w:rsidR="0093149A" w:rsidRDefault="0093149A" w:rsidP="00B444CA">
      <w:pPr>
        <w:spacing w:before="0" w:after="0"/>
        <w:rPr>
          <w:sz w:val="20"/>
        </w:rPr>
      </w:pPr>
    </w:p>
    <w:p w:rsidR="0093149A" w:rsidRDefault="0093149A" w:rsidP="00B444CA">
      <w:pPr>
        <w:spacing w:before="0" w:after="0"/>
        <w:rPr>
          <w:sz w:val="20"/>
        </w:rPr>
      </w:pPr>
    </w:p>
    <w:p w:rsidR="0023638A" w:rsidRDefault="0023638A" w:rsidP="00B444CA">
      <w:pPr>
        <w:spacing w:before="0" w:after="0"/>
        <w:rPr>
          <w:sz w:val="20"/>
        </w:rPr>
      </w:pPr>
      <w:bookmarkStart w:id="0" w:name="_GoBack"/>
      <w:bookmarkEnd w:id="0"/>
    </w:p>
    <w:p w:rsidR="0093149A" w:rsidRDefault="0093149A" w:rsidP="00B444CA">
      <w:pPr>
        <w:spacing w:before="0" w:after="0"/>
        <w:rPr>
          <w:sz w:val="20"/>
        </w:rPr>
      </w:pPr>
    </w:p>
    <w:p w:rsidR="0093149A" w:rsidRDefault="0093149A" w:rsidP="00B444CA">
      <w:pPr>
        <w:spacing w:before="0" w:after="0"/>
        <w:rPr>
          <w:sz w:val="20"/>
        </w:rPr>
      </w:pPr>
    </w:p>
    <w:p w:rsidR="0093149A" w:rsidRDefault="0093149A" w:rsidP="00B444CA">
      <w:pPr>
        <w:spacing w:before="0" w:after="0"/>
        <w:rPr>
          <w:sz w:val="20"/>
        </w:rPr>
      </w:pPr>
    </w:p>
    <w:p w:rsidR="0093149A" w:rsidRDefault="0093149A" w:rsidP="00B444CA">
      <w:pPr>
        <w:spacing w:before="0" w:after="0"/>
        <w:rPr>
          <w:sz w:val="20"/>
        </w:rPr>
      </w:pPr>
    </w:p>
    <w:p w:rsidR="00117E5F" w:rsidRDefault="00117E5F" w:rsidP="00B444CA">
      <w:pPr>
        <w:spacing w:before="0" w:after="0"/>
        <w:rPr>
          <w:sz w:val="20"/>
        </w:rPr>
      </w:pPr>
    </w:p>
    <w:p w:rsidR="00D60C51" w:rsidRDefault="00605CA5" w:rsidP="00B444CA">
      <w:pPr>
        <w:spacing w:before="0" w:after="0"/>
        <w:rPr>
          <w:sz w:val="20"/>
        </w:rPr>
      </w:pPr>
      <w:r>
        <w:rPr>
          <w:sz w:val="20"/>
        </w:rPr>
        <w:t>Д.Н. Архипов</w:t>
      </w:r>
    </w:p>
    <w:p w:rsidR="00605CA5" w:rsidRDefault="00225B81" w:rsidP="00B444CA">
      <w:pPr>
        <w:spacing w:before="0" w:after="0"/>
        <w:rPr>
          <w:sz w:val="20"/>
        </w:rPr>
      </w:pPr>
      <w:r>
        <w:rPr>
          <w:sz w:val="20"/>
        </w:rPr>
        <w:t>238 76 09</w:t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5B2CF8" w:rsidRPr="00012D22" w:rsidTr="00C70984">
              <w:trPr>
                <w:trHeight w:val="558"/>
              </w:trPr>
              <w:tc>
                <w:tcPr>
                  <w:tcW w:w="5416" w:type="dxa"/>
                </w:tcPr>
                <w:p w:rsidR="005B2CF8" w:rsidRPr="00C65A37" w:rsidRDefault="005B2CF8" w:rsidP="005B2CF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5B2CF8" w:rsidRPr="00012D22" w:rsidRDefault="005B2CF8" w:rsidP="005B2CF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B2CF8" w:rsidRPr="00012D22" w:rsidRDefault="005B2CF8" w:rsidP="005B2CF8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E9509B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E9509B" w:rsidRDefault="00E9509B" w:rsidP="00E9509B">
                  <w:pPr>
                    <w:rPr>
                      <w:sz w:val="28"/>
                      <w:szCs w:val="28"/>
                    </w:rPr>
                  </w:pPr>
                </w:p>
                <w:p w:rsidR="00E9509B" w:rsidRDefault="00E9509B" w:rsidP="00E9509B">
                  <w:pPr>
                    <w:rPr>
                      <w:sz w:val="28"/>
                      <w:szCs w:val="28"/>
                    </w:rPr>
                  </w:pPr>
                </w:p>
                <w:p w:rsidR="00E9509B" w:rsidRDefault="00E9509B" w:rsidP="00E950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Pr="00AF5824">
                    <w:rPr>
                      <w:sz w:val="28"/>
                      <w:szCs w:val="28"/>
                    </w:rPr>
                    <w:t>ервый заместитель Председателя Правительства Новосибирской области</w:t>
                  </w:r>
                </w:p>
              </w:tc>
              <w:tc>
                <w:tcPr>
                  <w:tcW w:w="344" w:type="dxa"/>
                </w:tcPr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E9509B" w:rsidRPr="00012D22" w:rsidRDefault="00E9509B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E9509B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E9509B" w:rsidRDefault="00E9509B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Pr="00C65A37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Губернатора</w:t>
                  </w:r>
                  <w:r w:rsidR="00E9509B" w:rsidRPr="00C65A37">
                    <w:rPr>
                      <w:sz w:val="28"/>
                      <w:szCs w:val="28"/>
                    </w:rPr>
                    <w:t xml:space="preserve"> </w:t>
                  </w:r>
                </w:p>
                <w:p w:rsidR="00E9509B" w:rsidRPr="00012D22" w:rsidRDefault="00E9509B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 w:rsidRPr="00C65A37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E9509B" w:rsidRPr="00012D22" w:rsidRDefault="00E9509B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E9509B" w:rsidRPr="00012D22" w:rsidRDefault="00E9509B" w:rsidP="005E7B92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      </w:t>
                  </w:r>
                  <w:r w:rsidR="005E7B92"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5E7B92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Председателя Правительства </w:t>
                  </w:r>
                  <w:r w:rsidR="0000670D">
                    <w:rPr>
                      <w:sz w:val="28"/>
                      <w:szCs w:val="28"/>
                    </w:rPr>
                    <w:t>Новосибирской области – министр</w:t>
                  </w:r>
                  <w:r>
                    <w:rPr>
                      <w:sz w:val="28"/>
                      <w:szCs w:val="28"/>
                    </w:rPr>
                    <w:t xml:space="preserve"> финансов и налоговой политики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5E7B92" w:rsidRPr="00012D22" w:rsidRDefault="005E7B92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E7B92" w:rsidRPr="00012D22" w:rsidRDefault="005E7B92" w:rsidP="005E7B92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В.Ю. Голубенко</w:t>
                  </w:r>
                </w:p>
              </w:tc>
            </w:tr>
            <w:tr w:rsidR="005E7B92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5E7B92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</w:t>
                  </w:r>
                  <w:r w:rsidRPr="00C65A37">
                    <w:rPr>
                      <w:sz w:val="28"/>
                      <w:szCs w:val="28"/>
                    </w:rPr>
                    <w:t xml:space="preserve">инистр юстиции </w:t>
                  </w:r>
                </w:p>
                <w:p w:rsidR="005E7B92" w:rsidRPr="00C65A37" w:rsidRDefault="005E7B92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 w:rsidRPr="00C65A37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5E7B92" w:rsidRPr="00012D22" w:rsidRDefault="005E7B92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E7B92" w:rsidRPr="00012D22" w:rsidRDefault="005E7B92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Н.В. </w:t>
                  </w:r>
                  <w:proofErr w:type="spellStart"/>
                  <w:r w:rsidRPr="00012D22">
                    <w:rPr>
                      <w:sz w:val="28"/>
                      <w:szCs w:val="28"/>
                    </w:rPr>
                    <w:t>Омел</w:t>
                  </w:r>
                  <w:r>
                    <w:rPr>
                      <w:sz w:val="28"/>
                      <w:szCs w:val="28"/>
                    </w:rPr>
                    <w:t>ё</w:t>
                  </w:r>
                  <w:r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C70984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C70984" w:rsidRDefault="00C70984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C70984" w:rsidRDefault="00C70984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</w:p>
                <w:p w:rsidR="00C70984" w:rsidRDefault="00C70984" w:rsidP="005E7B92"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 экономического развития Новосибирской области</w:t>
                  </w:r>
                </w:p>
              </w:tc>
              <w:tc>
                <w:tcPr>
                  <w:tcW w:w="344" w:type="dxa"/>
                </w:tcPr>
                <w:p w:rsidR="00C70984" w:rsidRPr="00012D22" w:rsidRDefault="00C70984" w:rsidP="00E950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C70984" w:rsidRPr="00012D22" w:rsidRDefault="00C70984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Л.Н. Решетников</w:t>
                  </w:r>
                </w:p>
              </w:tc>
            </w:tr>
            <w:tr w:rsidR="00E9509B" w:rsidRPr="00012D22" w:rsidTr="00C70984">
              <w:trPr>
                <w:trHeight w:val="1360"/>
              </w:trPr>
              <w:tc>
                <w:tcPr>
                  <w:tcW w:w="5416" w:type="dxa"/>
                </w:tcPr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</w:p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Министр жилищно-коммунального хозяйства и энергетики Новосибирской области</w:t>
                  </w:r>
                </w:p>
              </w:tc>
              <w:tc>
                <w:tcPr>
                  <w:tcW w:w="344" w:type="dxa"/>
                </w:tcPr>
                <w:p w:rsidR="00E9509B" w:rsidRPr="00012D22" w:rsidRDefault="00E9509B" w:rsidP="00E9509B">
                  <w:pPr>
                    <w:rPr>
                      <w:sz w:val="28"/>
                      <w:szCs w:val="28"/>
                    </w:rPr>
                  </w:pPr>
                  <w:r w:rsidRPr="00012D2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197" w:type="dxa"/>
                  <w:vAlign w:val="bottom"/>
                </w:tcPr>
                <w:p w:rsidR="00E9509B" w:rsidRPr="00012D22" w:rsidRDefault="00E9509B" w:rsidP="00E950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Д.Н. Архипов</w:t>
                  </w:r>
                </w:p>
              </w:tc>
            </w:tr>
          </w:tbl>
          <w:p w:rsidR="005B2CF8" w:rsidRDefault="005B2CF8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p w:rsidR="00AF5824" w:rsidRDefault="00AF5824" w:rsidP="005B2CF8">
            <w:pPr>
              <w:rPr>
                <w:sz w:val="28"/>
              </w:rPr>
            </w:pPr>
          </w:p>
          <w:p w:rsidR="00787B76" w:rsidRDefault="00787B76" w:rsidP="005B2CF8">
            <w:pPr>
              <w:rPr>
                <w:sz w:val="28"/>
              </w:rPr>
            </w:pPr>
          </w:p>
          <w:p w:rsidR="00225B81" w:rsidRDefault="00225B81" w:rsidP="005B2CF8">
            <w:pPr>
              <w:rPr>
                <w:sz w:val="28"/>
              </w:rPr>
            </w:pPr>
          </w:p>
          <w:p w:rsidR="00225B81" w:rsidRDefault="00225B81" w:rsidP="005B2CF8">
            <w:pPr>
              <w:rPr>
                <w:sz w:val="28"/>
              </w:rPr>
            </w:pPr>
          </w:p>
          <w:p w:rsidR="005E7B92" w:rsidRDefault="005E7B92" w:rsidP="005B2CF8">
            <w:pPr>
              <w:rPr>
                <w:sz w:val="28"/>
              </w:rPr>
            </w:pPr>
          </w:p>
          <w:tbl>
            <w:tblPr>
              <w:tblpPr w:leftFromText="180" w:rightFromText="180" w:vertAnchor="text" w:horzAnchor="margin" w:tblpY="10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Е.В. Макавчик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Н.В. Хвистик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С.Г. Чикинева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AF47A4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 w:rsidRPr="00132095">
                    <w:rPr>
                      <w:sz w:val="18"/>
                      <w:szCs w:val="28"/>
                    </w:rPr>
                    <w:t>И.А. Шульга (юрист)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AF47A4" w:rsidRPr="00132095" w:rsidRDefault="00AF47A4" w:rsidP="00AF47A4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  <w:tr w:rsidR="00225B81" w:rsidRPr="00132095" w:rsidTr="00E242C6">
              <w:trPr>
                <w:trHeight w:val="398"/>
              </w:trPr>
              <w:tc>
                <w:tcPr>
                  <w:tcW w:w="2405" w:type="dxa"/>
                  <w:shd w:val="clear" w:color="auto" w:fill="auto"/>
                  <w:vAlign w:val="center"/>
                </w:tcPr>
                <w:p w:rsidR="00225B81" w:rsidRDefault="00225B81" w:rsidP="00225B8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 w:val="18"/>
                      <w:szCs w:val="28"/>
                    </w:rPr>
                  </w:pPr>
                  <w:r>
                    <w:rPr>
                      <w:sz w:val="18"/>
                      <w:szCs w:val="28"/>
                    </w:rPr>
                    <w:t>Е.А. Колотов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225B81" w:rsidRPr="00132095" w:rsidRDefault="00225B81" w:rsidP="00225B8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25B81" w:rsidRPr="00132095" w:rsidRDefault="00225B81" w:rsidP="00225B81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28"/>
                    </w:rPr>
                  </w:pPr>
                </w:p>
              </w:tc>
            </w:tr>
          </w:tbl>
          <w:p w:rsidR="005B2CF8" w:rsidRDefault="005B2CF8" w:rsidP="005B2CF8">
            <w:pPr>
              <w:spacing w:before="0" w:after="0"/>
              <w:rPr>
                <w:sz w:val="20"/>
              </w:rPr>
            </w:pPr>
          </w:p>
          <w:p w:rsidR="000574D1" w:rsidRPr="000874F9" w:rsidRDefault="000574D1" w:rsidP="00350395">
            <w:pPr>
              <w:spacing w:before="0" w:after="0"/>
              <w:rPr>
                <w:sz w:val="20"/>
              </w:rPr>
            </w:pPr>
          </w:p>
        </w:tc>
      </w:tr>
    </w:tbl>
    <w:p w:rsidR="002426DC" w:rsidRPr="00DD677D" w:rsidRDefault="002426DC" w:rsidP="006A0291">
      <w:pPr>
        <w:spacing w:before="0" w:after="0"/>
        <w:rPr>
          <w:sz w:val="20"/>
        </w:rPr>
      </w:pPr>
    </w:p>
    <w:sectPr w:rsidR="002426DC" w:rsidRPr="00DD677D" w:rsidSect="00787B76">
      <w:headerReference w:type="default" r:id="rId11"/>
      <w:pgSz w:w="11906" w:h="16838" w:code="9"/>
      <w:pgMar w:top="567" w:right="567" w:bottom="567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B6F" w:rsidRDefault="00533B6F">
      <w:pPr>
        <w:spacing w:before="0" w:after="0"/>
      </w:pPr>
      <w:r>
        <w:separator/>
      </w:r>
    </w:p>
  </w:endnote>
  <w:endnote w:type="continuationSeparator" w:id="0">
    <w:p w:rsidR="00533B6F" w:rsidRDefault="00533B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B6F" w:rsidRDefault="00533B6F">
      <w:pPr>
        <w:spacing w:before="0" w:after="0"/>
      </w:pPr>
      <w:r>
        <w:separator/>
      </w:r>
    </w:p>
  </w:footnote>
  <w:footnote w:type="continuationSeparator" w:id="0">
    <w:p w:rsidR="00533B6F" w:rsidRDefault="00533B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B079F"/>
    <w:multiLevelType w:val="hybridMultilevel"/>
    <w:tmpl w:val="CCFC55F6"/>
    <w:lvl w:ilvl="0" w:tplc="006EF1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0670D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4E04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66D5"/>
    <w:rsid w:val="000775F3"/>
    <w:rsid w:val="000777E1"/>
    <w:rsid w:val="0008060C"/>
    <w:rsid w:val="00083112"/>
    <w:rsid w:val="000832FD"/>
    <w:rsid w:val="00083318"/>
    <w:rsid w:val="00083D86"/>
    <w:rsid w:val="0008497E"/>
    <w:rsid w:val="000866AD"/>
    <w:rsid w:val="00086994"/>
    <w:rsid w:val="000879C9"/>
    <w:rsid w:val="00091EE7"/>
    <w:rsid w:val="00092744"/>
    <w:rsid w:val="0009596D"/>
    <w:rsid w:val="00095FEA"/>
    <w:rsid w:val="00096FC4"/>
    <w:rsid w:val="00097A51"/>
    <w:rsid w:val="00097F3B"/>
    <w:rsid w:val="000A1193"/>
    <w:rsid w:val="000A2F76"/>
    <w:rsid w:val="000A5800"/>
    <w:rsid w:val="000A589A"/>
    <w:rsid w:val="000B1E09"/>
    <w:rsid w:val="000B244F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06352"/>
    <w:rsid w:val="00110CE4"/>
    <w:rsid w:val="00110D9E"/>
    <w:rsid w:val="00111806"/>
    <w:rsid w:val="001127D5"/>
    <w:rsid w:val="00112A52"/>
    <w:rsid w:val="001174C1"/>
    <w:rsid w:val="001179B9"/>
    <w:rsid w:val="00117E5F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41B5"/>
    <w:rsid w:val="00154277"/>
    <w:rsid w:val="00154605"/>
    <w:rsid w:val="00155337"/>
    <w:rsid w:val="00160DD8"/>
    <w:rsid w:val="00161815"/>
    <w:rsid w:val="00161A95"/>
    <w:rsid w:val="00163B55"/>
    <w:rsid w:val="001656E0"/>
    <w:rsid w:val="00165DE0"/>
    <w:rsid w:val="0016640E"/>
    <w:rsid w:val="00166EBC"/>
    <w:rsid w:val="001675A5"/>
    <w:rsid w:val="00170E3D"/>
    <w:rsid w:val="001716F6"/>
    <w:rsid w:val="001723F5"/>
    <w:rsid w:val="00175150"/>
    <w:rsid w:val="00175620"/>
    <w:rsid w:val="0017697A"/>
    <w:rsid w:val="00177B2A"/>
    <w:rsid w:val="00182589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2BC0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3F"/>
    <w:rsid w:val="00220676"/>
    <w:rsid w:val="002211BB"/>
    <w:rsid w:val="00225B81"/>
    <w:rsid w:val="00226084"/>
    <w:rsid w:val="002270C4"/>
    <w:rsid w:val="00227BCA"/>
    <w:rsid w:val="00230229"/>
    <w:rsid w:val="002302CF"/>
    <w:rsid w:val="002307C1"/>
    <w:rsid w:val="00231C40"/>
    <w:rsid w:val="002334EE"/>
    <w:rsid w:val="00233AC5"/>
    <w:rsid w:val="002352D6"/>
    <w:rsid w:val="002355AB"/>
    <w:rsid w:val="002357B3"/>
    <w:rsid w:val="00235AD4"/>
    <w:rsid w:val="0023638A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D5D"/>
    <w:rsid w:val="00264738"/>
    <w:rsid w:val="00266814"/>
    <w:rsid w:val="00267805"/>
    <w:rsid w:val="002719E4"/>
    <w:rsid w:val="002727E7"/>
    <w:rsid w:val="00276D5F"/>
    <w:rsid w:val="00282549"/>
    <w:rsid w:val="00286E4A"/>
    <w:rsid w:val="00287656"/>
    <w:rsid w:val="00287F35"/>
    <w:rsid w:val="002906D9"/>
    <w:rsid w:val="00291372"/>
    <w:rsid w:val="00291ACA"/>
    <w:rsid w:val="00291D9D"/>
    <w:rsid w:val="00293F36"/>
    <w:rsid w:val="002942C1"/>
    <w:rsid w:val="00294D5D"/>
    <w:rsid w:val="00294EA9"/>
    <w:rsid w:val="0029596B"/>
    <w:rsid w:val="00296138"/>
    <w:rsid w:val="00296CB7"/>
    <w:rsid w:val="00296EB8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C44"/>
    <w:rsid w:val="00301D11"/>
    <w:rsid w:val="00302CBA"/>
    <w:rsid w:val="00303054"/>
    <w:rsid w:val="003038A3"/>
    <w:rsid w:val="00304B37"/>
    <w:rsid w:val="00304E59"/>
    <w:rsid w:val="00307EF4"/>
    <w:rsid w:val="00311658"/>
    <w:rsid w:val="00320AF4"/>
    <w:rsid w:val="003233B0"/>
    <w:rsid w:val="003239B0"/>
    <w:rsid w:val="00326785"/>
    <w:rsid w:val="00326B37"/>
    <w:rsid w:val="00330C1C"/>
    <w:rsid w:val="003321D7"/>
    <w:rsid w:val="00333CF6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46B44"/>
    <w:rsid w:val="00350395"/>
    <w:rsid w:val="0035055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2479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3C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59E5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674F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9151A"/>
    <w:rsid w:val="00493BD1"/>
    <w:rsid w:val="0049473D"/>
    <w:rsid w:val="00495476"/>
    <w:rsid w:val="00496CA5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1D1F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6F"/>
    <w:rsid w:val="00533BB5"/>
    <w:rsid w:val="00534348"/>
    <w:rsid w:val="00534D4F"/>
    <w:rsid w:val="00535301"/>
    <w:rsid w:val="005371BB"/>
    <w:rsid w:val="00537AD2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2223"/>
    <w:rsid w:val="00585343"/>
    <w:rsid w:val="00587714"/>
    <w:rsid w:val="00587AFC"/>
    <w:rsid w:val="005922BB"/>
    <w:rsid w:val="005931CD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0A36"/>
    <w:rsid w:val="005B1E73"/>
    <w:rsid w:val="005B2CF8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7B92"/>
    <w:rsid w:val="005F0BDF"/>
    <w:rsid w:val="005F3887"/>
    <w:rsid w:val="005F3DE3"/>
    <w:rsid w:val="005F6B92"/>
    <w:rsid w:val="00600B23"/>
    <w:rsid w:val="00603338"/>
    <w:rsid w:val="00605CA5"/>
    <w:rsid w:val="006070A4"/>
    <w:rsid w:val="006076E7"/>
    <w:rsid w:val="0061159D"/>
    <w:rsid w:val="00611798"/>
    <w:rsid w:val="006124EC"/>
    <w:rsid w:val="00612C75"/>
    <w:rsid w:val="00614237"/>
    <w:rsid w:val="00614B74"/>
    <w:rsid w:val="00615F46"/>
    <w:rsid w:val="00616477"/>
    <w:rsid w:val="006208C2"/>
    <w:rsid w:val="0062277C"/>
    <w:rsid w:val="006228D0"/>
    <w:rsid w:val="00624CE9"/>
    <w:rsid w:val="00624E7A"/>
    <w:rsid w:val="00630703"/>
    <w:rsid w:val="00631B5B"/>
    <w:rsid w:val="00633F02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0A9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4890"/>
    <w:rsid w:val="006759D3"/>
    <w:rsid w:val="00675D6C"/>
    <w:rsid w:val="006766A8"/>
    <w:rsid w:val="0067699E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291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62E4"/>
    <w:rsid w:val="006C66A1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464A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0A81"/>
    <w:rsid w:val="00781615"/>
    <w:rsid w:val="00787B76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2F5B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1DD"/>
    <w:rsid w:val="008B75F8"/>
    <w:rsid w:val="008B7ACD"/>
    <w:rsid w:val="008B7E6D"/>
    <w:rsid w:val="008C3662"/>
    <w:rsid w:val="008D03F3"/>
    <w:rsid w:val="008D2228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856"/>
    <w:rsid w:val="00912AC2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149A"/>
    <w:rsid w:val="009324FB"/>
    <w:rsid w:val="00936F0E"/>
    <w:rsid w:val="00937277"/>
    <w:rsid w:val="00940470"/>
    <w:rsid w:val="00941AA8"/>
    <w:rsid w:val="00943F64"/>
    <w:rsid w:val="009455EE"/>
    <w:rsid w:val="009472FC"/>
    <w:rsid w:val="00950C87"/>
    <w:rsid w:val="009535D0"/>
    <w:rsid w:val="00957265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17A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4E6A"/>
    <w:rsid w:val="00995D59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390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001E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17D48"/>
    <w:rsid w:val="00A204EE"/>
    <w:rsid w:val="00A20B25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3D6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6D9B"/>
    <w:rsid w:val="00A5712C"/>
    <w:rsid w:val="00A5765A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5F06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E6BFA"/>
    <w:rsid w:val="00AF302F"/>
    <w:rsid w:val="00AF46E0"/>
    <w:rsid w:val="00AF47A4"/>
    <w:rsid w:val="00AF5824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785F"/>
    <w:rsid w:val="00B21243"/>
    <w:rsid w:val="00B21984"/>
    <w:rsid w:val="00B22428"/>
    <w:rsid w:val="00B237E2"/>
    <w:rsid w:val="00B24BEE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6102"/>
    <w:rsid w:val="00B5758B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7510E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4F6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41D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3EA0"/>
    <w:rsid w:val="00C65ED8"/>
    <w:rsid w:val="00C66F43"/>
    <w:rsid w:val="00C67433"/>
    <w:rsid w:val="00C70984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5995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6DE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5F7"/>
    <w:rsid w:val="00D00D5D"/>
    <w:rsid w:val="00D01DD0"/>
    <w:rsid w:val="00D04907"/>
    <w:rsid w:val="00D04B29"/>
    <w:rsid w:val="00D05A91"/>
    <w:rsid w:val="00D068E2"/>
    <w:rsid w:val="00D10696"/>
    <w:rsid w:val="00D10A1D"/>
    <w:rsid w:val="00D15C37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65C13"/>
    <w:rsid w:val="00D7085A"/>
    <w:rsid w:val="00D70EE2"/>
    <w:rsid w:val="00D71CE9"/>
    <w:rsid w:val="00D72C90"/>
    <w:rsid w:val="00D7356D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F55"/>
    <w:rsid w:val="00DC3EF5"/>
    <w:rsid w:val="00DC57B8"/>
    <w:rsid w:val="00DC7983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3906"/>
    <w:rsid w:val="00E2415E"/>
    <w:rsid w:val="00E30F7F"/>
    <w:rsid w:val="00E33A92"/>
    <w:rsid w:val="00E36D5C"/>
    <w:rsid w:val="00E37875"/>
    <w:rsid w:val="00E40A96"/>
    <w:rsid w:val="00E41A14"/>
    <w:rsid w:val="00E42C78"/>
    <w:rsid w:val="00E42ECD"/>
    <w:rsid w:val="00E4350D"/>
    <w:rsid w:val="00E440FF"/>
    <w:rsid w:val="00E44897"/>
    <w:rsid w:val="00E46C15"/>
    <w:rsid w:val="00E46EF7"/>
    <w:rsid w:val="00E50BD7"/>
    <w:rsid w:val="00E50C08"/>
    <w:rsid w:val="00E5161F"/>
    <w:rsid w:val="00E51B72"/>
    <w:rsid w:val="00E52A6A"/>
    <w:rsid w:val="00E54535"/>
    <w:rsid w:val="00E5760C"/>
    <w:rsid w:val="00E6029E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509B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0A9"/>
    <w:rsid w:val="00EC458C"/>
    <w:rsid w:val="00EC4C79"/>
    <w:rsid w:val="00EC5668"/>
    <w:rsid w:val="00EC6556"/>
    <w:rsid w:val="00EC667A"/>
    <w:rsid w:val="00ED1C5D"/>
    <w:rsid w:val="00ED3E31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476C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417A3"/>
    <w:rsid w:val="00F42E96"/>
    <w:rsid w:val="00F43845"/>
    <w:rsid w:val="00F44AC5"/>
    <w:rsid w:val="00F453B5"/>
    <w:rsid w:val="00F45AC9"/>
    <w:rsid w:val="00F470FD"/>
    <w:rsid w:val="00F50DA4"/>
    <w:rsid w:val="00F53984"/>
    <w:rsid w:val="00F54F16"/>
    <w:rsid w:val="00F5634B"/>
    <w:rsid w:val="00F5683A"/>
    <w:rsid w:val="00F56C4D"/>
    <w:rsid w:val="00F57763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72E"/>
    <w:rsid w:val="00F81DD5"/>
    <w:rsid w:val="00F842DC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3F58"/>
    <w:rsid w:val="00FD7BF5"/>
    <w:rsid w:val="00FE0683"/>
    <w:rsid w:val="00FE1058"/>
    <w:rsid w:val="00FE13A5"/>
    <w:rsid w:val="00FE2036"/>
    <w:rsid w:val="00FE216A"/>
    <w:rsid w:val="00FE2566"/>
    <w:rsid w:val="00FE31ED"/>
    <w:rsid w:val="00FE449B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9338"/>
  <w15:docId w15:val="{43B4E821-38AE-4252-8160-00BDE957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14AB30292C403A47C8976832944EB74F9E2B50FCC095A2EBA828F3BCA3AA1C20BAE7261DAFB11E7548CB9AF53FC27D3E440B29A1D9B102B22CF9q5VD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F83D5C8F8898C589AE13063950B490B67048C811EDFE41DC6747984BB59D35419D788B826EE7663AC2578746E346C28AAF7E07F14CCFE0252FF97E44X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14AB30292C403A47C8976832944EB74F9E2B50FCC095A2EBA828F3BCA3AA1C20BAE7261DAFB11E7749CF95F53FC27D3E440B29A1D9B102B22CF9q5V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6CF403-2389-41AD-AA85-D072BEA2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Сивохина</dc:creator>
  <cp:lastModifiedBy>Колотов Евгений Александрович</cp:lastModifiedBy>
  <cp:revision>5</cp:revision>
  <cp:lastPrinted>2021-04-28T06:47:00Z</cp:lastPrinted>
  <dcterms:created xsi:type="dcterms:W3CDTF">2021-04-27T09:27:00Z</dcterms:created>
  <dcterms:modified xsi:type="dcterms:W3CDTF">2021-04-28T06:47:00Z</dcterms:modified>
</cp:coreProperties>
</file>