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040" w:type="dxa"/>
        <w:tblInd w:w="496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111"/>
        <w:gridCol w:w="41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0"/>
              </w:rPr>
              <w:br w:type="page" w:clear="all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ind w:firstLine="70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УТВЕРЖДЕН</w:t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  <w:p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здравоохранения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ind w:left="-108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 ________ № _________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ind w:left="88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ind w:firstLine="70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</w:tr>
    </w:tbl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>
        <w:rPr>
          <w:b/>
          <w:sz w:val="28"/>
          <w:szCs w:val="28"/>
        </w:rPr>
        <w:t xml:space="preserve">АЛГОРИТМ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 xml:space="preserve">обеспечения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 C»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bCs/>
          <w:sz w:val="28"/>
          <w:szCs w:val="28"/>
        </w:rPr>
        <w:t xml:space="preserve">1. Настоящий 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лгоритм устанавливает порядок </w:t>
      </w:r>
      <w:r>
        <w:rPr>
          <w:bCs/>
          <w:sz w:val="28"/>
          <w:szCs w:val="28"/>
        </w:rPr>
        <w:t xml:space="preserve">организации обеспечения в амбулаторных условиях противовирусными лекарственными препаратами (далее – препараты) лиц, находящихся под диспансерным наблюдением, с диагнозом «хронический вирусный гепатит C»</w:t>
      </w:r>
      <w:r>
        <w:rPr>
          <w:bCs/>
          <w:sz w:val="28"/>
          <w:szCs w:val="28"/>
        </w:rPr>
        <w:t xml:space="preserve"> (далее – пациенты) </w:t>
      </w:r>
      <w:r>
        <w:rPr>
          <w:bCs/>
          <w:sz w:val="28"/>
          <w:szCs w:val="28"/>
        </w:rPr>
        <w:t xml:space="preserve">в целях реализации результата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«Обеспечение в амбула</w:t>
      </w:r>
      <w:r>
        <w:rPr>
          <w:bCs/>
          <w:sz w:val="28"/>
          <w:szCs w:val="28"/>
        </w:rPr>
        <w:t xml:space="preserve">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 (далее – Результат) государственной программы «Развитие здравоохранения Новосибирской области», утвержде</w:t>
      </w:r>
      <w:r>
        <w:rPr>
          <w:bCs/>
          <w:sz w:val="28"/>
          <w:szCs w:val="28"/>
        </w:rPr>
        <w:t xml:space="preserve">нной постановлением Правительства Новосибирской области от 07.05.2013 № 199-п, (далее – Алгоритм)</w:t>
      </w:r>
      <w:r>
        <w:rPr>
          <w:bCs/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2. </w:t>
      </w:r>
      <w:r>
        <w:rPr>
          <w:bCs/>
          <w:sz w:val="28"/>
          <w:szCs w:val="28"/>
          <w:highlight w:val="none"/>
        </w:rPr>
        <w:t xml:space="preserve">Ответственное лицо, </w:t>
      </w:r>
      <w:r>
        <w:rPr>
          <w:sz w:val="28"/>
          <w:szCs w:val="28"/>
        </w:rPr>
        <w:t xml:space="preserve">назначенное руководителем </w:t>
      </w:r>
      <w:r>
        <w:rPr>
          <w:sz w:val="28"/>
          <w:szCs w:val="28"/>
        </w:rPr>
        <w:t xml:space="preserve">медиц</w:t>
      </w:r>
      <w:r>
        <w:rPr>
          <w:sz w:val="28"/>
          <w:szCs w:val="28"/>
        </w:rPr>
        <w:t xml:space="preserve">инского учреждения</w:t>
      </w:r>
      <w:r>
        <w:rPr>
          <w:sz w:val="28"/>
          <w:szCs w:val="28"/>
        </w:rPr>
        <w:t xml:space="preserve"> Новосибирской области, оказывающего первичную медико-санитарную помощь в рамках Территориальной программы государственных гарантий бесплатного оказания гражданам медицинской помощи в Новосибирской области, (далее – ответственное лицо, медицинская организа</w:t>
      </w:r>
      <w:r>
        <w:rPr>
          <w:sz w:val="28"/>
          <w:szCs w:val="28"/>
        </w:rPr>
        <w:t xml:space="preserve">ция)</w:t>
      </w:r>
      <w:r>
        <w:rPr>
          <w:bCs/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1) обес</w:t>
      </w:r>
      <w:r>
        <w:rPr>
          <w:sz w:val="28"/>
          <w:szCs w:val="28"/>
        </w:rPr>
        <w:t xml:space="preserve">печивает </w:t>
      </w:r>
      <w:r>
        <w:rPr>
          <w:sz w:val="28"/>
          <w:szCs w:val="28"/>
        </w:rPr>
        <w:t xml:space="preserve">получение доступа к </w:t>
      </w:r>
      <w:r>
        <w:rPr>
          <w:sz w:val="28"/>
          <w:szCs w:val="28"/>
        </w:rPr>
        <w:t xml:space="preserve">Системе мониторинга </w:t>
      </w:r>
      <w:r>
        <w:rPr>
          <w:sz w:val="28"/>
          <w:szCs w:val="28"/>
        </w:rPr>
        <w:t xml:space="preserve">больных вирусными гепатитами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«Регистр больных вирусными гепатитами»</w:t>
      </w:r>
      <w:r>
        <w:rPr>
          <w:sz w:val="28"/>
          <w:szCs w:val="28"/>
        </w:rPr>
        <w:t xml:space="preserve"> (далее – Регистр) через службу технической поддержки Регистра (</w:t>
      </w:r>
      <w:r>
        <w:rPr>
          <w:sz w:val="28"/>
          <w:szCs w:val="28"/>
        </w:rPr>
        <w:t xml:space="preserve">тел. 8 (495) 788 00 59, </w:t>
      </w:r>
      <w:r>
        <w:rPr>
          <w:sz w:val="28"/>
          <w:szCs w:val="28"/>
          <w:lang w:val="ru-RU"/>
        </w:rPr>
        <w:t xml:space="preserve">электронный адрес: </w:t>
      </w:r>
      <w:r>
        <w:rPr>
          <w:sz w:val="28"/>
          <w:szCs w:val="28"/>
          <w:lang w:val="en-US"/>
        </w:rPr>
        <w:t xml:space="preserve">support@hepreg.ru)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bCs/>
          <w:sz w:val="28"/>
          <w:szCs w:val="28"/>
          <w:highlight w:val="none"/>
        </w:rPr>
        <w:t xml:space="preserve">2) </w:t>
      </w:r>
      <w:r>
        <w:rPr>
          <w:sz w:val="28"/>
          <w:szCs w:val="28"/>
        </w:rPr>
        <w:t xml:space="preserve">осуществляет внесение данных о пациенте </w:t>
      </w:r>
      <w:r>
        <w:rPr>
          <w:sz w:val="28"/>
          <w:szCs w:val="28"/>
        </w:rPr>
        <w:t xml:space="preserve">(ПЦР, генотип, степень фиброза, общеклинические анализы, информацию </w:t>
      </w:r>
      <w:r>
        <w:rPr>
          <w:bCs/>
          <w:sz w:val="28"/>
          <w:szCs w:val="28"/>
          <w:highlight w:val="none"/>
        </w:rPr>
        <w:t xml:space="preserve">о начале и окончании курса противовирусной терапии, а также о результатах через 12 недель после окончания терапии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Реги</w:t>
      </w:r>
      <w:r>
        <w:rPr>
          <w:sz w:val="28"/>
          <w:szCs w:val="28"/>
        </w:rPr>
        <w:t xml:space="preserve">стр и </w:t>
      </w:r>
      <w:r>
        <w:rPr>
          <w:sz w:val="28"/>
          <w:szCs w:val="28"/>
        </w:rPr>
        <w:t xml:space="preserve">медицинскую информационную систему Новосибирской области (далее – МИС НСО)</w:t>
      </w:r>
      <w:r>
        <w:rPr>
          <w:sz w:val="28"/>
          <w:szCs w:val="28"/>
        </w:rPr>
        <w:t xml:space="preserve"> в соответствие с требованиями Федерального закона Российской Федерации от 27.07.2006 № 152-ФЗ «О персональных данных»;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осуществляет наблюдение за пациентом на протяжении всего курса терапии </w:t>
      </w:r>
      <w:r>
        <w:rPr>
          <w:sz w:val="28"/>
          <w:szCs w:val="28"/>
        </w:rPr>
        <w:t xml:space="preserve">в соответствие с приказом, утвержденным Министерством здравоохранения Российской Федерации от 25.07.2023 № 381н «Об утверждении стандарта </w:t>
      </w:r>
      <w:r>
        <w:rPr>
          <w:sz w:val="28"/>
          <w:szCs w:val="28"/>
        </w:rPr>
        <w:t xml:space="preserve">медицинской помощи взрослым при хроническом вирусном гепатите С (диагностика, лечение и диспансерное наблюдение)»;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  <w:t xml:space="preserve">4) </w:t>
      </w:r>
      <w:r>
        <w:rPr>
          <w:sz w:val="28"/>
          <w:szCs w:val="28"/>
        </w:rPr>
        <w:t xml:space="preserve">при выявлении у пациента фиброза 0-2 степени оформляет запрос в МИС НСО дл</w:t>
      </w:r>
      <w:r>
        <w:rPr>
          <w:bCs/>
          <w:sz w:val="28"/>
          <w:szCs w:val="28"/>
          <w:highlight w:val="none"/>
        </w:rPr>
        <w:t xml:space="preserve">я проведения </w:t>
      </w:r>
      <w:r>
        <w:rPr>
          <w:bCs/>
          <w:sz w:val="28"/>
          <w:szCs w:val="28"/>
        </w:rPr>
        <w:t xml:space="preserve">телемедицинской консультации</w:t>
      </w:r>
      <w:r>
        <w:rPr>
          <w:bCs/>
          <w:sz w:val="28"/>
          <w:szCs w:val="28"/>
          <w:highlight w:val="none"/>
        </w:rPr>
        <w:t xml:space="preserve"> с врачом-инфекционистом </w:t>
      </w:r>
      <w:r>
        <w:rPr>
          <w:bCs/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>
        <w:rPr>
          <w:bCs/>
          <w:sz w:val="28"/>
          <w:szCs w:val="28"/>
        </w:rPr>
        <w:t xml:space="preserve">«Государственная инфекционная клиническая больница № 1» (далее – ГБУЗ НСО «ГИКБ № 1»)</w:t>
      </w:r>
      <w:r>
        <w:rPr>
          <w:bCs/>
          <w:sz w:val="28"/>
          <w:szCs w:val="28"/>
          <w:highlight w:val="none"/>
        </w:rPr>
        <w:t xml:space="preserve"> согласно приложению;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при выявлении у пациента фиброза 3-4 степени незамедлительно направляет на консультацию к врачу-инфекционисту консультативно-диагностического центра </w:t>
      </w:r>
      <w:r>
        <w:rPr>
          <w:sz w:val="28"/>
          <w:szCs w:val="28"/>
        </w:rPr>
        <w:t xml:space="preserve">ГБУЗ НСО «ГИКБ № 1»;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6) при получении в МИС НСО протокола решения врачебной комиссии ГБУЗ НСО «ГИКБ № 1» о назначенном пациенту курсе противовирусной терапии </w:t>
      </w:r>
      <w:r>
        <w:rPr>
          <w:sz w:val="28"/>
          <w:szCs w:val="28"/>
          <w:highlight w:val="none"/>
        </w:rPr>
        <w:t xml:space="preserve">в течение двух рабочих дней осуществляет </w:t>
      </w:r>
      <w:r>
        <w:rPr>
          <w:bCs/>
          <w:sz w:val="28"/>
          <w:szCs w:val="28"/>
        </w:rPr>
        <w:t xml:space="preserve">внесение сведений о пациенте в автоматизированную систему льготного лекарственного обеспече</w:t>
      </w:r>
      <w:r>
        <w:rPr>
          <w:sz w:val="28"/>
          <w:szCs w:val="28"/>
        </w:rPr>
        <w:t xml:space="preserve">ния (далее – АС ЛЛО)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обязательной сверкой персональных данных пациента в МИС НСО.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Обязательным условием внесения сведений о пациенте в АС ЛЛО в рамках реализации Результата является факт нахождения пациента на диспансерном учете в медицинской организации и наличия протокола решения врачебной комиссии </w:t>
      </w:r>
      <w:r>
        <w:rPr>
          <w:bCs/>
          <w:sz w:val="28"/>
          <w:szCs w:val="28"/>
        </w:rPr>
        <w:t xml:space="preserve">ГБУЗ НСО «ГИКБ № 1»</w:t>
      </w:r>
      <w:r>
        <w:rPr>
          <w:bCs/>
          <w:sz w:val="28"/>
          <w:szCs w:val="28"/>
        </w:rPr>
        <w:t xml:space="preserve"> о необходимости проведения пациенту терапии препаратами.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3. Обеспечение пациентов препаратами осуществляется согласно персонифицированным разнарядкам, сформированным </w:t>
      </w:r>
      <w:r>
        <w:rPr>
          <w:bCs/>
          <w:sz w:val="28"/>
          <w:szCs w:val="28"/>
        </w:rPr>
        <w:t xml:space="preserve">ответственным лицом, назначенным руководителем </w:t>
      </w:r>
      <w:r>
        <w:rPr>
          <w:bCs/>
          <w:sz w:val="28"/>
          <w:szCs w:val="28"/>
        </w:rPr>
        <w:t xml:space="preserve">ГБУЗ НСО «ГИКБ № 1»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– специалист) </w:t>
      </w:r>
      <w:r>
        <w:rPr>
          <w:bCs/>
          <w:sz w:val="28"/>
          <w:szCs w:val="28"/>
        </w:rPr>
        <w:t xml:space="preserve">в АС ЛЛО с целью достижения Результата.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4. </w:t>
      </w:r>
      <w:r>
        <w:rPr>
          <w:bCs/>
          <w:sz w:val="28"/>
          <w:szCs w:val="28"/>
        </w:rPr>
        <w:t xml:space="preserve">Персонифицированные р</w:t>
      </w:r>
      <w:r>
        <w:rPr>
          <w:bCs/>
          <w:sz w:val="28"/>
          <w:szCs w:val="28"/>
        </w:rPr>
        <w:t xml:space="preserve">азнарядки специалиста </w:t>
      </w:r>
      <w:r>
        <w:rPr>
          <w:bCs/>
          <w:sz w:val="28"/>
          <w:szCs w:val="28"/>
        </w:rPr>
        <w:t xml:space="preserve">ГБУЗ НСО «ГИКБ № 1</w:t>
      </w:r>
      <w:r>
        <w:rPr>
          <w:bCs/>
          <w:sz w:val="28"/>
          <w:szCs w:val="28"/>
        </w:rPr>
        <w:t xml:space="preserve">» формируются на осн</w:t>
      </w:r>
      <w:r>
        <w:rPr>
          <w:bCs/>
          <w:sz w:val="28"/>
          <w:szCs w:val="28"/>
        </w:rPr>
        <w:t xml:space="preserve">овании протокола </w:t>
      </w:r>
      <w:r>
        <w:rPr>
          <w:bCs/>
          <w:sz w:val="28"/>
          <w:szCs w:val="28"/>
        </w:rPr>
        <w:t xml:space="preserve">решения врачебной комиссии</w:t>
      </w:r>
      <w:r>
        <w:rPr>
          <w:bCs/>
          <w:sz w:val="28"/>
          <w:szCs w:val="28"/>
        </w:rPr>
        <w:t xml:space="preserve"> указанной медицинской организации.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Заседание врачебной комиссии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назначении противовирусной терапии </w:t>
      </w:r>
      <w:r>
        <w:rPr>
          <w:bCs/>
          <w:sz w:val="28"/>
          <w:szCs w:val="28"/>
        </w:rPr>
        <w:t xml:space="preserve">ГБУЗ НСО «ГИКБ № 1»</w:t>
      </w:r>
      <w:r>
        <w:rPr>
          <w:bCs/>
          <w:sz w:val="28"/>
          <w:szCs w:val="28"/>
        </w:rPr>
        <w:t xml:space="preserve"> осуществляется по потребности, но не реже 1 раза в неделю.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</w:rPr>
        <w:t xml:space="preserve">Данные </w:t>
      </w:r>
      <w:r>
        <w:rPr>
          <w:bCs/>
          <w:sz w:val="28"/>
          <w:szCs w:val="28"/>
        </w:rPr>
        <w:t xml:space="preserve">о назначении препаратов </w:t>
      </w:r>
      <w:r>
        <w:rPr>
          <w:bCs/>
          <w:sz w:val="28"/>
          <w:szCs w:val="28"/>
        </w:rPr>
        <w:t xml:space="preserve">(суточная дозировка препарата, курс лечения (</w:t>
      </w:r>
      <w:r>
        <w:rPr>
          <w:bCs/>
          <w:sz w:val="28"/>
          <w:szCs w:val="28"/>
          <w:highlight w:val="none"/>
        </w:rPr>
        <w:t xml:space="preserve">на сколько дней/недель/месяцев назначается препарат)</w:t>
      </w:r>
      <w:r>
        <w:rPr>
          <w:bCs/>
          <w:sz w:val="28"/>
          <w:szCs w:val="28"/>
        </w:rPr>
        <w:t xml:space="preserve">, рекомендованные даты проведения </w:t>
      </w:r>
      <w:r>
        <w:rPr>
          <w:sz w:val="28"/>
          <w:szCs w:val="28"/>
        </w:rPr>
        <w:t xml:space="preserve">общеклинических анализов) </w:t>
      </w:r>
      <w:r>
        <w:rPr>
          <w:bCs/>
          <w:sz w:val="28"/>
          <w:szCs w:val="28"/>
        </w:rPr>
        <w:t xml:space="preserve">подлежат обязательному внесению в МИС НСО в день назначения пациенту противовирусной лекарственной терапии.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5. </w:t>
      </w:r>
      <w:r>
        <w:rPr>
          <w:bCs/>
          <w:sz w:val="28"/>
          <w:szCs w:val="28"/>
        </w:rPr>
        <w:t xml:space="preserve">Поступление препаратов по персонифицированным разнарядкам осуществляется </w:t>
      </w:r>
      <w:r>
        <w:rPr>
          <w:bCs/>
          <w:sz w:val="28"/>
          <w:szCs w:val="28"/>
          <w:highlight w:val="none"/>
        </w:rPr>
        <w:t xml:space="preserve">государственным казенным учреждением Новосибирской области «Новосибоблфарм» (далее – ГКУ НСО «Новосибоблфарм»)</w:t>
      </w:r>
      <w:r>
        <w:rPr>
          <w:bCs/>
          <w:sz w:val="28"/>
          <w:szCs w:val="28"/>
        </w:rPr>
        <w:t xml:space="preserve"> в прикрепленные к медицинским организациям аптечные пункты ГКУ НСО «Новосибоблфарм».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sz w:val="28"/>
          <w:szCs w:val="28"/>
        </w:rPr>
        <w:t xml:space="preserve">6. Оформление пациентам рецептов на препараты осуществляется лечащим врачом, участковым, фельдшером, акушеркой медицинской организации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в случае возложения на них полномочий лечащего врача в порядке, установленном приказом Министерства здравоохранения и социального развития Российской Федерации </w:t>
      </w:r>
      <w:r>
        <w:rPr>
          <w:bCs/>
          <w:sz w:val="28"/>
          <w:szCs w:val="28"/>
        </w:rPr>
        <w:t xml:space="preserve">от </w:t>
      </w:r>
      <w:r>
        <w:rPr>
          <w:bCs/>
          <w:sz w:val="28"/>
          <w:szCs w:val="28"/>
        </w:rPr>
        <w:t xml:space="preserve">23.03.2012 № 252н «</w:t>
      </w:r>
      <w:r>
        <w:rPr>
          <w:bCs/>
          <w:sz w:val="28"/>
          <w:szCs w:val="28"/>
        </w:rPr>
        <w:t xml:space="preserve">Об </w:t>
      </w:r>
      <w:r>
        <w:rPr>
          <w:bCs/>
          <w:sz w:val="28"/>
          <w:szCs w:val="28"/>
        </w:rPr>
        <w:t xml:space="preserve">утверждении Порядка возложения на фельдшера, акушерку руководител</w:t>
      </w:r>
      <w:r>
        <w:rPr>
          <w:bCs/>
          <w:sz w:val="28"/>
          <w:szCs w:val="28"/>
        </w:rPr>
        <w:t xml:space="preserve">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</w:t>
      </w:r>
      <w:r>
        <w:rPr>
          <w:bCs/>
          <w:sz w:val="28"/>
          <w:szCs w:val="28"/>
        </w:rPr>
        <w:t xml:space="preserve">сле по назначению и применению лекарственных препаратов, включая наркотические лекарственные препараты и психотропные лекарственные препараты» в АС ЛЛО в день осмотра пациентов, после поступления препаратов по персонифицированным разнарядкам.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 Закупка </w:t>
      </w:r>
      <w:r>
        <w:rPr>
          <w:bCs/>
          <w:sz w:val="28"/>
          <w:szCs w:val="28"/>
        </w:rPr>
        <w:t xml:space="preserve">препаратов осуществляется ГКУ НСО «Новосибоблфарм» на основании писем министерства здравоохранения Новосибирской области о закупке, которые </w:t>
      </w:r>
      <w:r>
        <w:rPr>
          <w:bCs/>
          <w:sz w:val="28"/>
          <w:szCs w:val="28"/>
        </w:rPr>
        <w:t xml:space="preserve">формируются в соответствие с </w:t>
      </w:r>
      <w:r>
        <w:rPr>
          <w:bCs/>
          <w:sz w:val="28"/>
          <w:szCs w:val="28"/>
          <w:highlight w:val="none"/>
        </w:rPr>
        <w:t xml:space="preserve">заявкой, предоставляемой </w:t>
      </w:r>
      <w:r>
        <w:rPr>
          <w:bCs/>
          <w:sz w:val="28"/>
          <w:szCs w:val="28"/>
        </w:rPr>
        <w:t xml:space="preserve">ГБУЗ НСО «ГИКБ № 1»</w:t>
      </w:r>
      <w:r>
        <w:rPr>
          <w:bCs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center"/>
      </w:pPr>
      <w:r>
        <w:rPr>
          <w:bCs/>
          <w:sz w:val="28"/>
          <w:szCs w:val="28"/>
        </w:rPr>
        <w:t xml:space="preserve">____________</w:t>
      </w:r>
      <w:bookmarkStart w:id="0" w:name="_GoBack"/>
      <w:r/>
      <w:bookmarkEnd w:id="0"/>
      <w:r/>
      <w:r/>
    </w:p>
    <w:sectPr>
      <w:headerReference w:type="default" r:id="rId9"/>
      <w:footerReference w:type="first" r:id="rId10"/>
      <w:footnotePr/>
      <w:endnotePr/>
      <w:type w:val="continuous"/>
      <w:pgSz w:w="11906" w:h="16838" w:orient="portrait"/>
      <w:pgMar w:top="1134" w:right="567" w:bottom="964" w:left="1418" w:header="709" w:footer="40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710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711"/>
      <w:isLgl w:val="false"/>
      <w:suff w:val="tab"/>
      <w:lvlText w:val="2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12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713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714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715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716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17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718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  <w:tabs>
          <w:tab w:val="num" w:pos="169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19"/>
    <w:link w:val="711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19"/>
    <w:link w:val="733"/>
    <w:uiPriority w:val="10"/>
    <w:rPr>
      <w:sz w:val="48"/>
      <w:szCs w:val="48"/>
    </w:rPr>
  </w:style>
  <w:style w:type="character" w:styleId="704">
    <w:name w:val="Subtitle Char"/>
    <w:basedOn w:val="719"/>
    <w:link w:val="735"/>
    <w:uiPriority w:val="11"/>
    <w:rPr>
      <w:sz w:val="24"/>
      <w:szCs w:val="24"/>
    </w:rPr>
  </w:style>
  <w:style w:type="character" w:styleId="705">
    <w:name w:val="Quote Char"/>
    <w:link w:val="737"/>
    <w:uiPriority w:val="29"/>
    <w:rPr>
      <w:i/>
    </w:rPr>
  </w:style>
  <w:style w:type="character" w:styleId="706">
    <w:name w:val="Intense Quote Char"/>
    <w:link w:val="739"/>
    <w:uiPriority w:val="30"/>
    <w:rPr>
      <w:i/>
    </w:rPr>
  </w:style>
  <w:style w:type="character" w:styleId="707">
    <w:name w:val="Footnote Text Char"/>
    <w:link w:val="874"/>
    <w:uiPriority w:val="99"/>
    <w:rPr>
      <w:sz w:val="18"/>
    </w:rPr>
  </w:style>
  <w:style w:type="character" w:styleId="708">
    <w:name w:val="Endnote Text Char"/>
    <w:link w:val="877"/>
    <w:uiPriority w:val="99"/>
    <w:rPr>
      <w:sz w:val="20"/>
    </w:rPr>
  </w:style>
  <w:style w:type="paragraph" w:styleId="709" w:default="1">
    <w:name w:val="Normal"/>
    <w:qFormat/>
    <w:rPr>
      <w:sz w:val="24"/>
      <w:szCs w:val="24"/>
    </w:rPr>
  </w:style>
  <w:style w:type="paragraph" w:styleId="710">
    <w:name w:val="Heading 1"/>
    <w:basedOn w:val="709"/>
    <w:next w:val="709"/>
    <w:link w:val="722"/>
    <w:qFormat/>
    <w:pPr>
      <w:numPr>
        <w:ilvl w:val="0"/>
        <w:numId w:val="1"/>
      </w:numPr>
      <w:jc w:val="both"/>
      <w:keepNext/>
      <w:outlineLvl w:val="0"/>
    </w:pPr>
    <w:rPr>
      <w:sz w:val="28"/>
      <w:szCs w:val="28"/>
    </w:rPr>
  </w:style>
  <w:style w:type="paragraph" w:styleId="711">
    <w:name w:val="Heading 2"/>
    <w:basedOn w:val="709"/>
    <w:next w:val="709"/>
    <w:link w:val="723"/>
    <w:qFormat/>
    <w:pPr>
      <w:numPr>
        <w:ilvl w:val="1"/>
        <w:numId w:val="1"/>
      </w:numPr>
      <w:ind w:right="27"/>
      <w:jc w:val="center"/>
      <w:keepNext/>
      <w:outlineLvl w:val="1"/>
    </w:pPr>
    <w:rPr>
      <w:b/>
      <w:bCs/>
      <w:sz w:val="32"/>
    </w:rPr>
  </w:style>
  <w:style w:type="paragraph" w:styleId="712">
    <w:name w:val="Heading 3"/>
    <w:basedOn w:val="709"/>
    <w:next w:val="709"/>
    <w:link w:val="724"/>
    <w:qFormat/>
    <w:pPr>
      <w:numPr>
        <w:ilvl w:val="2"/>
        <w:numId w:val="1"/>
      </w:numPr>
      <w:jc w:val="center"/>
      <w:keepNext/>
      <w:outlineLvl w:val="2"/>
    </w:pPr>
    <w:rPr>
      <w:sz w:val="28"/>
    </w:rPr>
  </w:style>
  <w:style w:type="paragraph" w:styleId="713">
    <w:name w:val="Heading 4"/>
    <w:basedOn w:val="709"/>
    <w:next w:val="709"/>
    <w:link w:val="725"/>
    <w:qFormat/>
    <w:pPr>
      <w:numPr>
        <w:ilvl w:val="3"/>
        <w:numId w:val="1"/>
      </w:numPr>
      <w:keepNext/>
      <w:outlineLvl w:val="3"/>
    </w:pPr>
    <w:rPr>
      <w:sz w:val="28"/>
    </w:rPr>
  </w:style>
  <w:style w:type="paragraph" w:styleId="714">
    <w:name w:val="Heading 5"/>
    <w:basedOn w:val="709"/>
    <w:next w:val="709"/>
    <w:link w:val="726"/>
    <w:qFormat/>
    <w:pPr>
      <w:numPr>
        <w:ilvl w:val="4"/>
        <w:numId w:val="1"/>
      </w:numPr>
      <w:jc w:val="center"/>
      <w:keepNext/>
      <w:outlineLvl w:val="4"/>
    </w:pPr>
    <w:rPr>
      <w:sz w:val="28"/>
      <w:szCs w:val="32"/>
    </w:rPr>
  </w:style>
  <w:style w:type="paragraph" w:styleId="715">
    <w:name w:val="Heading 6"/>
    <w:basedOn w:val="709"/>
    <w:next w:val="709"/>
    <w:link w:val="727"/>
    <w:qFormat/>
    <w:pPr>
      <w:numPr>
        <w:ilvl w:val="5"/>
        <w:numId w:val="1"/>
      </w:numPr>
      <w:jc w:val="center"/>
      <w:keepNext/>
      <w:outlineLvl w:val="5"/>
    </w:pPr>
    <w:rPr>
      <w:bCs/>
      <w:szCs w:val="20"/>
    </w:rPr>
  </w:style>
  <w:style w:type="paragraph" w:styleId="716">
    <w:name w:val="Heading 7"/>
    <w:basedOn w:val="709"/>
    <w:next w:val="709"/>
    <w:link w:val="728"/>
    <w:qFormat/>
    <w:pPr>
      <w:numPr>
        <w:ilvl w:val="6"/>
        <w:numId w:val="1"/>
      </w:numPr>
      <w:jc w:val="center"/>
      <w:keepNext/>
      <w:outlineLvl w:val="6"/>
    </w:pPr>
    <w:rPr>
      <w:sz w:val="32"/>
      <w:szCs w:val="20"/>
    </w:rPr>
  </w:style>
  <w:style w:type="paragraph" w:styleId="717">
    <w:name w:val="Heading 8"/>
    <w:basedOn w:val="709"/>
    <w:next w:val="709"/>
    <w:link w:val="729"/>
    <w:qFormat/>
    <w:pPr>
      <w:numPr>
        <w:ilvl w:val="7"/>
        <w:numId w:val="1"/>
      </w:numPr>
      <w:jc w:val="center"/>
      <w:keepNext/>
      <w:outlineLvl w:val="7"/>
    </w:pPr>
    <w:rPr>
      <w:b/>
      <w:bCs/>
    </w:rPr>
  </w:style>
  <w:style w:type="paragraph" w:styleId="718">
    <w:name w:val="Heading 9"/>
    <w:basedOn w:val="709"/>
    <w:next w:val="709"/>
    <w:link w:val="730"/>
    <w:qFormat/>
    <w:pPr>
      <w:numPr>
        <w:ilvl w:val="8"/>
        <w:numId w:val="1"/>
      </w:numPr>
      <w:jc w:val="right"/>
      <w:keepNext/>
      <w:tabs>
        <w:tab w:val="left" w:pos="1080" w:leader="none"/>
      </w:tabs>
      <w:outlineLvl w:val="8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link w:val="710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link w:val="711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709"/>
    <w:uiPriority w:val="34"/>
    <w:qFormat/>
    <w:pPr>
      <w:contextualSpacing/>
      <w:ind w:left="720"/>
    </w:pPr>
    <w:rPr>
      <w:sz w:val="28"/>
      <w:szCs w:val="20"/>
    </w:rPr>
  </w:style>
  <w:style w:type="paragraph" w:styleId="732">
    <w:name w:val="No Spacing"/>
    <w:uiPriority w:val="1"/>
    <w:qFormat/>
    <w:rPr>
      <w:sz w:val="24"/>
      <w:szCs w:val="24"/>
    </w:rPr>
  </w:style>
  <w:style w:type="paragraph" w:styleId="733">
    <w:name w:val="Title"/>
    <w:basedOn w:val="709"/>
    <w:next w:val="70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Заголовок Знак"/>
    <w:link w:val="733"/>
    <w:uiPriority w:val="10"/>
    <w:rPr>
      <w:sz w:val="48"/>
      <w:szCs w:val="48"/>
    </w:rPr>
  </w:style>
  <w:style w:type="paragraph" w:styleId="735">
    <w:name w:val="Subtitle"/>
    <w:basedOn w:val="709"/>
    <w:link w:val="736"/>
    <w:qFormat/>
    <w:pPr>
      <w:ind w:right="27"/>
      <w:jc w:val="center"/>
    </w:pPr>
    <w:rPr>
      <w:b/>
      <w:sz w:val="28"/>
    </w:r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709"/>
    <w:next w:val="70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09"/>
    <w:next w:val="70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709"/>
    <w:link w:val="904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character" w:styleId="742" w:customStyle="1">
    <w:name w:val="Header Char"/>
    <w:uiPriority w:val="99"/>
  </w:style>
  <w:style w:type="paragraph" w:styleId="743">
    <w:name w:val="Footer"/>
    <w:basedOn w:val="709"/>
    <w:link w:val="903"/>
    <w:pPr>
      <w:tabs>
        <w:tab w:val="center" w:pos="4677" w:leader="none"/>
        <w:tab w:val="right" w:pos="9355" w:leader="none"/>
      </w:tabs>
    </w:pPr>
  </w:style>
  <w:style w:type="character" w:styleId="744" w:customStyle="1">
    <w:name w:val="Footer Char"/>
    <w:uiPriority w:val="99"/>
  </w:style>
  <w:style w:type="paragraph" w:styleId="7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6" w:customStyle="1">
    <w:name w:val="Caption Char"/>
    <w:uiPriority w:val="99"/>
  </w:style>
  <w:style w:type="table" w:styleId="747">
    <w:name w:val="Table Grid"/>
    <w:basedOn w:val="720"/>
    <w:tblPr/>
  </w:style>
  <w:style w:type="table" w:styleId="74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3">
    <w:name w:val="Hyperlink"/>
    <w:uiPriority w:val="99"/>
    <w:unhideWhenUsed/>
    <w:rPr>
      <w:color w:val="0000ff"/>
      <w:u w:val="single"/>
    </w:rPr>
  </w:style>
  <w:style w:type="paragraph" w:styleId="874">
    <w:name w:val="footnote text"/>
    <w:basedOn w:val="709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709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709"/>
    <w:next w:val="709"/>
    <w:uiPriority w:val="39"/>
    <w:unhideWhenUsed/>
    <w:pPr>
      <w:spacing w:after="57"/>
    </w:pPr>
  </w:style>
  <w:style w:type="paragraph" w:styleId="881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2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3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84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85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86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87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88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  <w:rPr>
      <w:lang w:eastAsia="zh-CN"/>
    </w:rPr>
  </w:style>
  <w:style w:type="paragraph" w:styleId="890">
    <w:name w:val="table of figures"/>
    <w:basedOn w:val="709"/>
    <w:next w:val="709"/>
    <w:uiPriority w:val="99"/>
    <w:unhideWhenUsed/>
  </w:style>
  <w:style w:type="paragraph" w:styleId="891" w:customStyle="1">
    <w:name w:val="Название"/>
    <w:basedOn w:val="709"/>
    <w:qFormat/>
    <w:pPr>
      <w:ind w:right="27"/>
      <w:jc w:val="center"/>
    </w:pPr>
    <w:rPr>
      <w:b/>
      <w:sz w:val="28"/>
    </w:rPr>
  </w:style>
  <w:style w:type="paragraph" w:styleId="892">
    <w:name w:val="Normal (Web)"/>
    <w:basedOn w:val="709"/>
    <w:pPr>
      <w:spacing w:after="168"/>
    </w:pPr>
  </w:style>
  <w:style w:type="paragraph" w:styleId="893">
    <w:name w:val="Body Text 2"/>
    <w:basedOn w:val="709"/>
    <w:pPr>
      <w:ind w:firstLine="709"/>
      <w:jc w:val="both"/>
    </w:pPr>
    <w:rPr>
      <w:sz w:val="28"/>
      <w:szCs w:val="20"/>
    </w:rPr>
  </w:style>
  <w:style w:type="paragraph" w:styleId="894" w:customStyle="1">
    <w:name w:val="заголовок 2"/>
    <w:basedOn w:val="709"/>
    <w:next w:val="709"/>
    <w:pPr>
      <w:jc w:val="center"/>
      <w:keepNext/>
      <w:outlineLvl w:val="1"/>
    </w:pPr>
    <w:rPr>
      <w:sz w:val="28"/>
      <w:szCs w:val="28"/>
    </w:rPr>
  </w:style>
  <w:style w:type="paragraph" w:styleId="895">
    <w:name w:val="Balloon Text"/>
    <w:basedOn w:val="709"/>
    <w:semiHidden/>
    <w:rPr>
      <w:rFonts w:ascii="Tahoma" w:hAnsi="Tahoma" w:cs="Tahoma"/>
      <w:sz w:val="16"/>
      <w:szCs w:val="16"/>
    </w:rPr>
  </w:style>
  <w:style w:type="paragraph" w:styleId="896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97" w:customStyle="1">
    <w:name w:val="Без интервала1"/>
    <w:rPr>
      <w:rFonts w:ascii="Calibri" w:hAnsi="Calibri"/>
      <w:sz w:val="22"/>
      <w:szCs w:val="22"/>
    </w:rPr>
  </w:style>
  <w:style w:type="character" w:styleId="898">
    <w:name w:val="annotation reference"/>
    <w:rPr>
      <w:sz w:val="16"/>
      <w:szCs w:val="16"/>
    </w:rPr>
  </w:style>
  <w:style w:type="paragraph" w:styleId="899">
    <w:name w:val="annotation text"/>
    <w:basedOn w:val="709"/>
    <w:link w:val="900"/>
    <w:rPr>
      <w:sz w:val="20"/>
      <w:szCs w:val="20"/>
    </w:rPr>
  </w:style>
  <w:style w:type="character" w:styleId="900" w:customStyle="1">
    <w:name w:val="Текст примечания Знак"/>
    <w:basedOn w:val="719"/>
    <w:link w:val="899"/>
  </w:style>
  <w:style w:type="paragraph" w:styleId="901">
    <w:name w:val="annotation subject"/>
    <w:basedOn w:val="899"/>
    <w:next w:val="899"/>
    <w:link w:val="902"/>
    <w:rPr>
      <w:b/>
      <w:bCs/>
    </w:rPr>
  </w:style>
  <w:style w:type="character" w:styleId="902" w:customStyle="1">
    <w:name w:val="Тема примечания Знак"/>
    <w:link w:val="901"/>
    <w:rPr>
      <w:b/>
      <w:bCs/>
    </w:rPr>
  </w:style>
  <w:style w:type="character" w:styleId="903" w:customStyle="1">
    <w:name w:val="Нижний колонтитул Знак"/>
    <w:link w:val="743"/>
    <w:rPr>
      <w:sz w:val="24"/>
      <w:szCs w:val="24"/>
    </w:rPr>
  </w:style>
  <w:style w:type="character" w:styleId="904" w:customStyle="1">
    <w:name w:val="Верхний колонтитул Знак"/>
    <w:link w:val="741"/>
    <w:uiPriority w:val="99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revision>16</cp:revision>
  <dcterms:created xsi:type="dcterms:W3CDTF">2023-03-15T03:54:00Z</dcterms:created>
  <dcterms:modified xsi:type="dcterms:W3CDTF">2024-04-08T05:22:58Z</dcterms:modified>
  <cp:version>1048576</cp:version>
</cp:coreProperties>
</file>