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2169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Коченевского</w:t>
      </w:r>
      <w:r>
        <w:rPr>
          <w:sz w:val="28"/>
          <w:szCs w:val="28"/>
        </w:rPr>
        <w:t xml:space="preserve"> лесничества Новосибирской области, утвержденный приказом </w:t>
      </w:r>
      <w:r>
        <w:rPr>
          <w:sz w:val="28"/>
          <w:szCs w:val="28"/>
        </w:rPr>
        <w:t xml:space="preserve">министерства природных ресурсов и экологии Новосибирс</w:t>
      </w:r>
      <w:r>
        <w:rPr>
          <w:sz w:val="28"/>
          <w:szCs w:val="28"/>
        </w:rPr>
        <w:t xml:space="preserve">кой области от 27.12.2018 № 2169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лесохозяй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твенном регламенте Коченевского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разделе 2.1.3 таблицу 9 изложить в редакции, сог</w:t>
      </w:r>
      <w:r>
        <w:rPr>
          <w:sz w:val="28"/>
          <w:szCs w:val="28"/>
        </w:rPr>
        <w:t xml:space="preserve">ласно приложению № 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разделе 2.1</w:t>
      </w: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Приложение 14 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Style w:val="663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jc w:val="right"/>
        <w:rPr>
          <w:i/>
          <w:vertAlign w:val="superscript"/>
        </w:rPr>
      </w:pPr>
      <w:r>
        <w:rPr>
          <w:i/>
        </w:rPr>
        <w:t xml:space="preserve">площадь – га; запас – т</w:t>
      </w:r>
      <w:r>
        <w:rPr>
          <w:i/>
        </w:rPr>
        <w:t xml:space="preserve">.м3</w:t>
      </w:r>
      <w:r>
        <w:rPr>
          <w:i/>
          <w:vertAlign w:val="superscript"/>
        </w:rPr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5"/>
        <w:gridCol w:w="986"/>
        <w:gridCol w:w="985"/>
        <w:gridCol w:w="742"/>
        <w:gridCol w:w="851"/>
        <w:gridCol w:w="992"/>
        <w:gridCol w:w="851"/>
        <w:gridCol w:w="708"/>
        <w:gridCol w:w="993"/>
        <w:gridCol w:w="850"/>
        <w:gridCol w:w="709"/>
        <w:gridCol w:w="1091"/>
        <w:gridCol w:w="779"/>
        <w:gridCol w:w="1016"/>
        <w:gridCol w:w="1083"/>
        <w:gridCol w:w="850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5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486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3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>
              <w:rPr>
                <w:sz w:val="22"/>
                <w:szCs w:val="22"/>
              </w:rPr>
              <w:t xml:space="preserve">*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15,05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15,05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0,80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0,30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2668,84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642,70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3311,54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115,10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48,70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2668,84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97,0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43,30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657,75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18,90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5,70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3326,59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115,90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49,00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451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6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6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5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1" w:type="dxa"/>
            <w:vAlign w:val="bottom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9" w:type="dxa"/>
            <w:vAlign w:val="bottom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</w:rPr>
            </w:r>
          </w:p>
        </w:tc>
      </w:tr>
    </w:tbl>
    <w:p>
      <w:pPr>
        <w:jc w:val="both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color w:val="ffffff" w:themeColor="background1"/>
          <w:szCs w:val="28"/>
        </w:rPr>
        <w:t xml:space="preserve">«</w:t>
      </w:r>
      <w:r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lang w:val="en-US"/>
        </w:rPr>
        <w:t xml:space="preserve">III</w:t>
      </w:r>
      <w:r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«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jc w:val="both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395" w:bottom="85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63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2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/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/>
      <w:bookmarkEnd w:id="2"/>
      <w:r>
        <w:rPr>
          <w:sz w:val="28"/>
          <w:szCs w:val="28"/>
        </w:rPr>
        <w:t xml:space="preserve">15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sz w:val="28"/>
          <w:szCs w:val="28"/>
        </w:rPr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770"/>
        <w:gridCol w:w="837"/>
        <w:gridCol w:w="821"/>
        <w:gridCol w:w="1138"/>
        <w:gridCol w:w="1337"/>
        <w:gridCol w:w="1237"/>
        <w:gridCol w:w="1445"/>
        <w:gridCol w:w="841"/>
      </w:tblGrid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сплошная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выборочная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Выявленный фонд по лесоводственным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вырубки или уборки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изъятия древесины по резу</w:t>
            </w:r>
            <w:r>
              <w:rPr>
                <w:b/>
                <w:bCs/>
                <w:sz w:val="22"/>
                <w:szCs w:val="22"/>
              </w:rPr>
              <w:t xml:space="preserve">льтатам осуществлен</w:t>
            </w:r>
            <w:r>
              <w:rPr>
                <w:b/>
                <w:bCs/>
                <w:sz w:val="22"/>
                <w:szCs w:val="22"/>
              </w:rPr>
              <w:t xml:space="preserve">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color w:val="000000"/>
          <w:sz w:val="28"/>
          <w:szCs w:val="28"/>
        </w:rPr>
      </w:pPr>
      <w:r>
        <w:rPr>
          <w:i/>
          <w:lang w:eastAsia="en-US"/>
        </w:rPr>
        <w:t xml:space="preserve"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</w:t>
      </w:r>
      <w:r>
        <w:rPr>
          <w:i/>
          <w:lang w:eastAsia="en-US"/>
        </w:rPr>
        <w:t xml:space="preserve">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   </w:t>
      </w:r>
      <w:r>
        <w:rPr>
          <w:color w:val="ffffff" w:themeColor="background1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5"/>
    <w:uiPriority w:val="99"/>
  </w:style>
  <w:style w:type="character" w:styleId="45">
    <w:name w:val="Footer Char"/>
    <w:basedOn w:val="658"/>
    <w:link w:val="667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Balloon Text"/>
    <w:basedOn w:val="657"/>
    <w:link w:val="662"/>
    <w:uiPriority w:val="99"/>
    <w:semiHidden/>
    <w:unhideWhenUsed/>
    <w:rPr>
      <w:rFonts w:ascii="Tahoma" w:hAnsi="Tahoma" w:cs="Tahoma"/>
      <w:sz w:val="16"/>
      <w:szCs w:val="16"/>
    </w:rPr>
  </w:style>
  <w:style w:type="character" w:styleId="662" w:customStyle="1">
    <w:name w:val="Текст выноски Знак"/>
    <w:basedOn w:val="658"/>
    <w:link w:val="6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3">
    <w:name w:val="Table Grid"/>
    <w:basedOn w:val="659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List Paragraph"/>
    <w:basedOn w:val="657"/>
    <w:uiPriority w:val="34"/>
    <w:qFormat/>
    <w:pPr>
      <w:contextualSpacing/>
      <w:ind w:left="720"/>
    </w:pPr>
  </w:style>
  <w:style w:type="paragraph" w:styleId="665">
    <w:name w:val="Header"/>
    <w:basedOn w:val="657"/>
    <w:link w:val="6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8"/>
    <w:link w:val="6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>
    <w:name w:val="Footer"/>
    <w:basedOn w:val="657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8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Body Text"/>
    <w:basedOn w:val="657"/>
    <w:link w:val="670"/>
    <w:uiPriority w:val="99"/>
    <w:pPr>
      <w:jc w:val="both"/>
    </w:pPr>
    <w:rPr>
      <w:szCs w:val="18"/>
    </w:rPr>
  </w:style>
  <w:style w:type="character" w:styleId="670" w:customStyle="1">
    <w:name w:val="Основной текст Знак"/>
    <w:basedOn w:val="658"/>
    <w:link w:val="669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character" w:styleId="671">
    <w:name w:val="Hyperlink"/>
    <w:basedOn w:val="658"/>
    <w:uiPriority w:val="99"/>
    <w:semiHidden/>
    <w:unhideWhenUsed/>
    <w:rPr>
      <w:color w:val="0000ff"/>
      <w:u w:val="single"/>
    </w:rPr>
  </w:style>
  <w:style w:type="character" w:styleId="672">
    <w:name w:val="FollowedHyperlink"/>
    <w:basedOn w:val="658"/>
    <w:uiPriority w:val="99"/>
    <w:semiHidden/>
    <w:unhideWhenUsed/>
    <w:rPr>
      <w:color w:val="800080"/>
      <w:u w:val="single"/>
    </w:rPr>
  </w:style>
  <w:style w:type="paragraph" w:styleId="673" w:customStyle="1">
    <w:name w:val="font5"/>
    <w:basedOn w:val="657"/>
    <w:pPr>
      <w:spacing w:before="100" w:beforeAutospacing="1" w:after="100" w:afterAutospacing="1"/>
    </w:pPr>
    <w:rPr>
      <w:sz w:val="22"/>
      <w:szCs w:val="22"/>
    </w:rPr>
  </w:style>
  <w:style w:type="paragraph" w:styleId="674" w:customStyle="1">
    <w:name w:val="font6"/>
    <w:basedOn w:val="657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styleId="675" w:customStyle="1">
    <w:name w:val="xl63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6" w:customStyle="1">
    <w:name w:val="xl64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7" w:customStyle="1">
    <w:name w:val="xl6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8" w:customStyle="1">
    <w:name w:val="xl66"/>
    <w:basedOn w:val="6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9" w:customStyle="1">
    <w:name w:val="xl67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0" w:customStyle="1">
    <w:name w:val="xl68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1" w:customStyle="1">
    <w:name w:val="xl69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2" w:customStyle="1">
    <w:name w:val="xl70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3" w:customStyle="1">
    <w:name w:val="xl71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84" w:customStyle="1">
    <w:name w:val="xl72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5" w:customStyle="1">
    <w:name w:val="xl73"/>
    <w:basedOn w:val="65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6" w:customStyle="1">
    <w:name w:val="xl74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7" w:customStyle="1">
    <w:name w:val="xl75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8" w:customStyle="1">
    <w:name w:val="xl76"/>
    <w:basedOn w:val="657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9" w:customStyle="1">
    <w:name w:val="xl77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0" w:customStyle="1">
    <w:name w:val="xl78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1" w:customStyle="1">
    <w:name w:val="xl79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2" w:customStyle="1">
    <w:name w:val="xl80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3" w:customStyle="1">
    <w:name w:val="xl8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4" w:customStyle="1">
    <w:name w:val="xl82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5" w:customStyle="1">
    <w:name w:val="xl83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96" w:customStyle="1">
    <w:name w:val="xl84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7" w:customStyle="1">
    <w:name w:val="xl85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F37CD-481F-4EC4-836A-823BAAE5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13</cp:revision>
  <dcterms:created xsi:type="dcterms:W3CDTF">2020-01-27T04:16:00Z</dcterms:created>
  <dcterms:modified xsi:type="dcterms:W3CDTF">2023-12-22T03:10:35Z</dcterms:modified>
</cp:coreProperties>
</file>