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1412F9" w:rsidRDefault="00E74618" w:rsidP="00E74618">
      <w:pPr>
        <w:pStyle w:val="4"/>
        <w:jc w:val="center"/>
      </w:pPr>
    </w:p>
    <w:p w:rsidR="00E74618" w:rsidRPr="001412F9" w:rsidRDefault="00E74618" w:rsidP="00E74618">
      <w:pPr>
        <w:pStyle w:val="4"/>
        <w:jc w:val="center"/>
      </w:pPr>
      <w:r w:rsidRPr="001412F9">
        <w:t>ПРИКАЗ</w:t>
      </w:r>
    </w:p>
    <w:p w:rsidR="00F9620F" w:rsidRPr="001412F9" w:rsidRDefault="00F9620F" w:rsidP="00F9620F"/>
    <w:p w:rsidR="00F9620F" w:rsidRPr="001412F9" w:rsidRDefault="00F9620F" w:rsidP="00F9620F">
      <w:r w:rsidRPr="001412F9">
        <w:t xml:space="preserve">___ </w:t>
      </w:r>
      <w:r>
        <w:t>октября</w:t>
      </w:r>
      <w:r w:rsidRPr="001412F9">
        <w:t xml:space="preserve"> 2018 года </w:t>
      </w:r>
      <w:r w:rsidRPr="001412F9">
        <w:tab/>
        <w:t xml:space="preserve">                                                                      </w:t>
      </w:r>
      <w:r>
        <w:t xml:space="preserve">        </w:t>
      </w:r>
      <w:r w:rsidRPr="001412F9">
        <w:t xml:space="preserve"> № ___ – НПА</w:t>
      </w:r>
    </w:p>
    <w:p w:rsidR="00F9620F" w:rsidRPr="001412F9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84DFC" w:rsidRPr="001412F9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AF5491" w:rsidRPr="00AE0D2F" w:rsidRDefault="00AF5491" w:rsidP="00AF549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 w:rsidR="00A7461D">
        <w:rPr>
          <w:b/>
        </w:rPr>
        <w:t>приказ</w:t>
      </w:r>
      <w:r w:rsidR="002D7938">
        <w:rPr>
          <w:b/>
        </w:rPr>
        <w:t xml:space="preserve"> министерства финансов и налоговой политики Новосибирской области</w:t>
      </w:r>
      <w:r w:rsidR="00A7461D">
        <w:rPr>
          <w:b/>
        </w:rPr>
        <w:t xml:space="preserve"> и </w:t>
      </w:r>
      <w:r>
        <w:rPr>
          <w:b/>
        </w:rPr>
        <w:t xml:space="preserve">Порядок </w:t>
      </w:r>
      <w:r w:rsidR="00A7461D" w:rsidRPr="00A7461D">
        <w:rPr>
          <w:b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</w:t>
      </w:r>
      <w:r w:rsidR="00A7461D">
        <w:rPr>
          <w:b/>
        </w:rPr>
        <w:t xml:space="preserve"> </w:t>
      </w:r>
      <w:r w:rsidRPr="00A7461D">
        <w:rPr>
          <w:b/>
        </w:rPr>
        <w:t>областного бюджета Новосибирской области</w:t>
      </w:r>
    </w:p>
    <w:p w:rsidR="00AF5491" w:rsidRPr="00890A42" w:rsidRDefault="00AF5491" w:rsidP="00AF5491">
      <w:pPr>
        <w:pStyle w:val="a4"/>
        <w:ind w:firstLine="567"/>
        <w:jc w:val="center"/>
        <w:rPr>
          <w:b/>
          <w:sz w:val="28"/>
          <w:szCs w:val="28"/>
        </w:rPr>
      </w:pPr>
    </w:p>
    <w:p w:rsidR="00AF549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A7461D" w:rsidRDefault="00E47E88" w:rsidP="00A7461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t>1. </w:t>
      </w:r>
      <w:r w:rsidR="00A7461D">
        <w:t xml:space="preserve">Внести в наименование приказа министерства финансов и налоговой политики Новосибирской области от 30.11.2017 № 66-НПА </w:t>
      </w:r>
      <w:r w:rsidR="00A7461D">
        <w:rPr>
          <w:color w:val="0D0D0D" w:themeColor="text1" w:themeTint="F2"/>
        </w:rPr>
        <w:t>«</w:t>
      </w:r>
      <w:r w:rsidR="00A7461D" w:rsidRPr="00DF0673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</w:t>
      </w:r>
      <w:r w:rsidR="00A7461D">
        <w:rPr>
          <w:color w:val="0D0D0D" w:themeColor="text1" w:themeTint="F2"/>
        </w:rPr>
        <w:t xml:space="preserve">о бюджета Новосибирской области» </w:t>
      </w:r>
      <w:r w:rsidR="00A7461D" w:rsidRPr="00DF0673">
        <w:rPr>
          <w:color w:val="0D0D0D" w:themeColor="text1" w:themeTint="F2"/>
        </w:rPr>
        <w:t>(</w:t>
      </w:r>
      <w:r w:rsidR="00A7461D">
        <w:rPr>
          <w:color w:val="0D0D0D" w:themeColor="text1" w:themeTint="F2"/>
        </w:rPr>
        <w:t>в редакции</w:t>
      </w:r>
      <w:r w:rsidR="00A7461D" w:rsidRPr="00DF0673">
        <w:rPr>
          <w:color w:val="0D0D0D" w:themeColor="text1" w:themeTint="F2"/>
        </w:rPr>
        <w:t xml:space="preserve"> от 17.09.2018)</w:t>
      </w:r>
      <w:r w:rsidR="00A7461D">
        <w:rPr>
          <w:color w:val="0D0D0D" w:themeColor="text1" w:themeTint="F2"/>
        </w:rPr>
        <w:t>, изменение, дополнив после слов «сводной бюджетной росписи</w:t>
      </w:r>
      <w:r>
        <w:rPr>
          <w:color w:val="0D0D0D" w:themeColor="text1" w:themeTint="F2"/>
        </w:rPr>
        <w:t xml:space="preserve"> </w:t>
      </w:r>
      <w:r w:rsidR="00A7461D">
        <w:rPr>
          <w:color w:val="0D0D0D" w:themeColor="text1" w:themeTint="F2"/>
        </w:rPr>
        <w:t>областного бюджета Новосибирской области</w:t>
      </w:r>
      <w:r>
        <w:rPr>
          <w:color w:val="0D0D0D" w:themeColor="text1" w:themeTint="F2"/>
        </w:rPr>
        <w:t>,</w:t>
      </w:r>
      <w:r w:rsidR="00A7461D">
        <w:rPr>
          <w:color w:val="0D0D0D" w:themeColor="text1" w:themeTint="F2"/>
        </w:rPr>
        <w:t>»</w:t>
      </w:r>
      <w:r>
        <w:rPr>
          <w:color w:val="0D0D0D" w:themeColor="text1" w:themeTint="F2"/>
        </w:rPr>
        <w:t xml:space="preserve"> словами «лимитов бюджетных обязательств областного бюджета Новосибирской области,».</w:t>
      </w:r>
    </w:p>
    <w:p w:rsidR="00CC1DD0" w:rsidRDefault="00E47E88" w:rsidP="00DF0673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2. </w:t>
      </w:r>
      <w:r w:rsidR="00F9620F" w:rsidRPr="001412F9">
        <w:rPr>
          <w:color w:val="0D0D0D" w:themeColor="text1" w:themeTint="F2"/>
        </w:rPr>
        <w:t xml:space="preserve">Внести в Порядок </w:t>
      </w:r>
      <w:r w:rsidR="00DF0673" w:rsidRPr="00DF0673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</w:t>
      </w:r>
      <w:r w:rsidR="00F9620F" w:rsidRPr="001412F9">
        <w:rPr>
          <w:color w:val="0D0D0D" w:themeColor="text1" w:themeTint="F2"/>
        </w:rPr>
        <w:t>, утвержденный приказом министерства финансов и налоговой политики Новосиби</w:t>
      </w:r>
      <w:r w:rsidR="00DF0673">
        <w:rPr>
          <w:color w:val="0D0D0D" w:themeColor="text1" w:themeTint="F2"/>
        </w:rPr>
        <w:t xml:space="preserve">рской области </w:t>
      </w:r>
      <w:r w:rsidR="00CC1DD0">
        <w:rPr>
          <w:color w:val="0D0D0D" w:themeColor="text1" w:themeTint="F2"/>
        </w:rPr>
        <w:t xml:space="preserve">от 30.11.2017 </w:t>
      </w:r>
      <w:r w:rsidR="00DF0673">
        <w:rPr>
          <w:color w:val="0D0D0D" w:themeColor="text1" w:themeTint="F2"/>
        </w:rPr>
        <w:t>№ </w:t>
      </w:r>
      <w:r w:rsidR="00DF0673" w:rsidRPr="00DF0673">
        <w:rPr>
          <w:color w:val="0D0D0D" w:themeColor="text1" w:themeTint="F2"/>
        </w:rPr>
        <w:t>66-НПА</w:t>
      </w:r>
      <w:r w:rsidR="00CC1DD0">
        <w:rPr>
          <w:color w:val="0D0D0D" w:themeColor="text1" w:themeTint="F2"/>
        </w:rPr>
        <w:t xml:space="preserve"> «</w:t>
      </w:r>
      <w:r w:rsidR="00CC1DD0" w:rsidRPr="00DF0673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</w:t>
      </w:r>
      <w:r w:rsidR="00CC1DD0">
        <w:rPr>
          <w:color w:val="0D0D0D" w:themeColor="text1" w:themeTint="F2"/>
        </w:rPr>
        <w:t>о бюджета Новосибирской области»</w:t>
      </w:r>
      <w:r w:rsidR="00DF0673">
        <w:rPr>
          <w:color w:val="0D0D0D" w:themeColor="text1" w:themeTint="F2"/>
        </w:rPr>
        <w:t xml:space="preserve"> </w:t>
      </w:r>
      <w:r w:rsidR="00DF0673" w:rsidRPr="00DF0673">
        <w:rPr>
          <w:color w:val="0D0D0D" w:themeColor="text1" w:themeTint="F2"/>
        </w:rPr>
        <w:t>(</w:t>
      </w:r>
      <w:r w:rsidR="00CC1DD0">
        <w:rPr>
          <w:color w:val="0D0D0D" w:themeColor="text1" w:themeTint="F2"/>
        </w:rPr>
        <w:t>в редакции</w:t>
      </w:r>
      <w:r w:rsidR="00DF0673" w:rsidRPr="00DF0673">
        <w:rPr>
          <w:color w:val="0D0D0D" w:themeColor="text1" w:themeTint="F2"/>
        </w:rPr>
        <w:t xml:space="preserve"> от 17.09.2018)</w:t>
      </w:r>
      <w:r w:rsidR="00CC1DD0">
        <w:rPr>
          <w:color w:val="0D0D0D" w:themeColor="text1" w:themeTint="F2"/>
        </w:rPr>
        <w:t>, следующие изменения:</w:t>
      </w:r>
    </w:p>
    <w:p w:rsidR="00E47E88" w:rsidRDefault="00CC1DD0" w:rsidP="00E47E8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1412F9">
        <w:rPr>
          <w:color w:val="0D0D0D" w:themeColor="text1" w:themeTint="F2"/>
        </w:rPr>
        <w:lastRenderedPageBreak/>
        <w:t>1) </w:t>
      </w:r>
      <w:r w:rsidR="00E47E88">
        <w:rPr>
          <w:color w:val="0D0D0D" w:themeColor="text1" w:themeTint="F2"/>
        </w:rPr>
        <w:t>в наименовании после слов «сводной бюджетной росписи областного бюджета Новосибирской области,» дополнить словами «лимитов бюджетных обязательств областного бюджета Новосибирской области,»;</w:t>
      </w:r>
    </w:p>
    <w:p w:rsidR="000A4AEB" w:rsidRDefault="00E47E88" w:rsidP="00AE2B73">
      <w:pPr>
        <w:autoSpaceDE w:val="0"/>
        <w:autoSpaceDN w:val="0"/>
        <w:adjustRightInd w:val="0"/>
        <w:ind w:firstLine="708"/>
        <w:jc w:val="both"/>
      </w:pPr>
      <w:r>
        <w:rPr>
          <w:color w:val="0D0D0D" w:themeColor="text1" w:themeTint="F2"/>
        </w:rPr>
        <w:t>2) </w:t>
      </w:r>
      <w:r w:rsidR="00AE2B73">
        <w:t xml:space="preserve">наименование </w:t>
      </w:r>
      <w:r w:rsidR="007B035D" w:rsidRPr="00E74725">
        <w:t>главы «</w:t>
      </w:r>
      <w:r w:rsidR="007B035D">
        <w:t>Изменение и прекращение действия показателей росписи источников, утвержденных на плановый период</w:t>
      </w:r>
      <w:r w:rsidR="00AE2B73">
        <w:t>»</w:t>
      </w:r>
      <w:r w:rsidR="002D7938">
        <w:t xml:space="preserve"> </w:t>
      </w:r>
      <w:r w:rsidR="002D7938" w:rsidRPr="00E74725">
        <w:t xml:space="preserve">подраздела 3 раздела </w:t>
      </w:r>
      <w:r w:rsidR="002D7938" w:rsidRPr="00E74725">
        <w:rPr>
          <w:lang w:val="en-US"/>
        </w:rPr>
        <w:t>II</w:t>
      </w:r>
      <w:r w:rsidR="00AE2B73">
        <w:t xml:space="preserve"> изложить в следующей редакции:</w:t>
      </w:r>
    </w:p>
    <w:p w:rsidR="00AE2B73" w:rsidRDefault="00AE2B73" w:rsidP="00AE2B73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t>«</w:t>
      </w:r>
      <w:r w:rsidRPr="00AE2B73">
        <w:rPr>
          <w:color w:val="0D0D0D" w:themeColor="text1" w:themeTint="F2"/>
        </w:rPr>
        <w:t>Изменение показателей сводной бюджетной росписи и лимитов бюджетных обязательств, утвержденных на плановый период»</w:t>
      </w:r>
      <w:r w:rsidR="000A4AEB">
        <w:rPr>
          <w:color w:val="0D0D0D" w:themeColor="text1" w:themeTint="F2"/>
        </w:rPr>
        <w:t>;</w:t>
      </w:r>
    </w:p>
    <w:p w:rsidR="002D7938" w:rsidRPr="002D7938" w:rsidRDefault="002D7938" w:rsidP="002D7938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 w:rsidRPr="002D7938">
        <w:rPr>
          <w:color w:val="0D0D0D" w:themeColor="text1" w:themeTint="F2"/>
        </w:rPr>
        <w:t>3) в пункте 54 слова «, предусматривающие прекращение действия утвержденных министром показателей сводной бюджетной росписи и лимитов бюджетных обязательств планового периода (с учетом внесенных изменений в течение текущего финансового года)» исключить;</w:t>
      </w:r>
    </w:p>
    <w:p w:rsidR="001927C0" w:rsidRPr="001927C0" w:rsidRDefault="001927C0" w:rsidP="001927C0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4) в </w:t>
      </w:r>
      <w:r w:rsidRPr="001927C0">
        <w:rPr>
          <w:color w:val="0D0D0D" w:themeColor="text1" w:themeTint="F2"/>
        </w:rPr>
        <w:t>наименовании главы «Прекращение действия утвержденных показателей бюджетных росписей и лимитов бюджетных обязательств планового периода» подраздела 2 раздела III слова «Прекращение действия» заменить словом «Изменение».</w:t>
      </w:r>
    </w:p>
    <w:p w:rsidR="00CC1DD0" w:rsidRDefault="00CC1DD0" w:rsidP="00CC1DD0">
      <w:pPr>
        <w:spacing w:before="280" w:after="1" w:line="280" w:lineRule="atLeast"/>
        <w:ind w:firstLine="540"/>
        <w:jc w:val="both"/>
      </w:pPr>
    </w:p>
    <w:p w:rsidR="0075708C" w:rsidRPr="001412F9" w:rsidRDefault="0075708C" w:rsidP="0075708C">
      <w:pPr>
        <w:tabs>
          <w:tab w:val="right" w:pos="9923"/>
        </w:tabs>
        <w:rPr>
          <w:color w:val="0D0D0D" w:themeColor="text1" w:themeTint="F2"/>
        </w:rPr>
      </w:pPr>
    </w:p>
    <w:p w:rsidR="0075708C" w:rsidRPr="001412F9" w:rsidRDefault="0075708C" w:rsidP="0075708C">
      <w:pPr>
        <w:tabs>
          <w:tab w:val="right" w:pos="9923"/>
        </w:tabs>
        <w:rPr>
          <w:color w:val="0D0D0D" w:themeColor="text1" w:themeTint="F2"/>
        </w:rPr>
      </w:pPr>
    </w:p>
    <w:p w:rsidR="0075708C" w:rsidRPr="001412F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Правительства</w:t>
      </w:r>
    </w:p>
    <w:p w:rsidR="0075708C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Новосибирской области – 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В.Ю. Голубенко</w:t>
      </w:r>
    </w:p>
    <w:p w:rsidR="004A2F33" w:rsidRDefault="004A2F33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1927C0" w:rsidRDefault="001927C0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984"/>
        <w:gridCol w:w="2761"/>
      </w:tblGrid>
      <w:tr w:rsidR="003F2ECC" w:rsidRPr="001412F9" w:rsidTr="004D02AE">
        <w:tc>
          <w:tcPr>
            <w:tcW w:w="3460" w:type="dxa"/>
          </w:tcPr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:rsidR="00D7699F" w:rsidRPr="001412F9" w:rsidRDefault="00D7699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Начальник УКИБ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Начальник УП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</w:tc>
        <w:tc>
          <w:tcPr>
            <w:tcW w:w="3984" w:type="dxa"/>
          </w:tcPr>
          <w:p w:rsidR="003F2ECC" w:rsidRPr="001412F9" w:rsidRDefault="00D7699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В.А. Карунина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  <w:p w:rsidR="003F2ECC" w:rsidRPr="001412F9" w:rsidRDefault="00D7699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Е.С. Терон</w:t>
            </w:r>
          </w:p>
          <w:p w:rsidR="00D7699F" w:rsidRDefault="00D7699F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И.А. Мезенцева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761" w:type="dxa"/>
          </w:tcPr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  <w:lang w:val="en-US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1412F9">
              <w:rPr>
                <w:color w:val="0D0D0D" w:themeColor="text1" w:themeTint="F2"/>
                <w:lang w:val="en-US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  <w:lang w:val="en-US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1412F9">
              <w:rPr>
                <w:color w:val="0D0D0D" w:themeColor="text1" w:themeTint="F2"/>
                <w:lang w:val="en-US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val="en-US"/>
              </w:rPr>
            </w:pPr>
            <w:r w:rsidRPr="001412F9">
              <w:rPr>
                <w:color w:val="0D0D0D" w:themeColor="text1" w:themeTint="F2"/>
                <w:lang w:val="en-US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1412F9">
              <w:rPr>
                <w:color w:val="0D0D0D" w:themeColor="text1" w:themeTint="F2"/>
                <w:lang w:val="en-US"/>
              </w:rPr>
              <w:t>/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</w:tr>
    </w:tbl>
    <w:p w:rsidR="003F2ECC" w:rsidRPr="001412F9" w:rsidRDefault="003F2ECC" w:rsidP="003F2ECC">
      <w:pPr>
        <w:rPr>
          <w:rFonts w:eastAsia="Calibri"/>
          <w:sz w:val="20"/>
          <w:szCs w:val="20"/>
          <w:lang w:eastAsia="en-US"/>
        </w:rPr>
      </w:pPr>
    </w:p>
    <w:tbl>
      <w:tblPr>
        <w:tblStyle w:val="1"/>
        <w:tblW w:w="10206" w:type="dxa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F2ECC" w:rsidRPr="001412F9" w:rsidTr="004D02AE">
        <w:tc>
          <w:tcPr>
            <w:tcW w:w="10206" w:type="dxa"/>
            <w:tcBorders>
              <w:top w:val="dashSmallGap" w:sz="8" w:space="0" w:color="auto"/>
              <w:bottom w:val="dashSmallGap" w:sz="8" w:space="0" w:color="auto"/>
            </w:tcBorders>
          </w:tcPr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экспертизы с </w:t>
            </w:r>
            <w:r w:rsidR="00904D62">
              <w:rPr>
                <w:sz w:val="24"/>
              </w:rPr>
              <w:t>11</w:t>
            </w:r>
            <w:r w:rsidR="00D7699F">
              <w:rPr>
                <w:sz w:val="24"/>
              </w:rPr>
              <w:t>.10</w:t>
            </w:r>
            <w:r w:rsidRPr="001412F9">
              <w:rPr>
                <w:sz w:val="24"/>
              </w:rPr>
              <w:t xml:space="preserve">.2018 по </w:t>
            </w:r>
            <w:r w:rsidR="00904D62">
              <w:rPr>
                <w:sz w:val="24"/>
              </w:rPr>
              <w:t>18</w:t>
            </w:r>
            <w:bookmarkStart w:id="0" w:name="_GoBack"/>
            <w:bookmarkEnd w:id="0"/>
            <w:r w:rsidR="00D7699F">
              <w:rPr>
                <w:sz w:val="24"/>
              </w:rPr>
              <w:t>.10</w:t>
            </w:r>
            <w:r w:rsidRPr="001412F9">
              <w:rPr>
                <w:sz w:val="24"/>
              </w:rPr>
              <w:t>.2018                                                                     __________________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860C6B" w:rsidTr="004D02AE">
        <w:tc>
          <w:tcPr>
            <w:tcW w:w="10206" w:type="dxa"/>
            <w:tcBorders>
              <w:top w:val="dashSmallGap" w:sz="8" w:space="0" w:color="auto"/>
              <w:bottom w:val="double" w:sz="6" w:space="0" w:color="auto"/>
            </w:tcBorders>
          </w:tcPr>
          <w:p w:rsidR="003F2ECC" w:rsidRPr="0007271F" w:rsidRDefault="003F2ECC" w:rsidP="0007271F">
            <w:pPr>
              <w:autoSpaceDE w:val="0"/>
              <w:autoSpaceDN w:val="0"/>
              <w:adjustRightInd w:val="0"/>
              <w:ind w:firstLine="708"/>
              <w:rPr>
                <w:color w:val="0D0D0D" w:themeColor="text1" w:themeTint="F2"/>
              </w:rPr>
            </w:pPr>
          </w:p>
          <w:p w:rsidR="003F2ECC" w:rsidRPr="0007271F" w:rsidRDefault="003F2ECC" w:rsidP="0007271F">
            <w:pPr>
              <w:autoSpaceDE w:val="0"/>
              <w:autoSpaceDN w:val="0"/>
              <w:adjustRightInd w:val="0"/>
              <w:ind w:firstLine="708"/>
              <w:contextualSpacing/>
              <w:jc w:val="center"/>
              <w:rPr>
                <w:color w:val="0D0D0D" w:themeColor="text1" w:themeTint="F2"/>
              </w:rPr>
            </w:pPr>
            <w:r w:rsidRPr="0007271F">
              <w:rPr>
                <w:color w:val="0D0D0D" w:themeColor="text1" w:themeTint="F2"/>
              </w:rPr>
              <w:t>Обоснование принятия проекта</w:t>
            </w:r>
          </w:p>
          <w:p w:rsidR="003F2ECC" w:rsidRPr="0007271F" w:rsidRDefault="003F2ECC" w:rsidP="0007271F">
            <w:pPr>
              <w:autoSpaceDE w:val="0"/>
              <w:autoSpaceDN w:val="0"/>
              <w:adjustRightInd w:val="0"/>
              <w:ind w:firstLine="708"/>
              <w:contextualSpacing/>
              <w:rPr>
                <w:color w:val="0D0D0D" w:themeColor="text1" w:themeTint="F2"/>
              </w:rPr>
            </w:pPr>
          </w:p>
          <w:p w:rsidR="00C5682F" w:rsidRDefault="00860C6B" w:rsidP="0007271F">
            <w:pPr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07271F">
              <w:rPr>
                <w:color w:val="0D0D0D" w:themeColor="text1" w:themeTint="F2"/>
              </w:rPr>
              <w:t xml:space="preserve">Законом Новосибирской области от 02.10.2018 № 293-ОЗ «О внесении изменений в Закон Новосибирской области № 112-ОЗ «О бюджетном процессе в Новосибирской области» закреплены бюджетные полномочия финансового органа </w:t>
            </w:r>
            <w:r w:rsidR="001927C0" w:rsidRPr="0007271F">
              <w:rPr>
                <w:color w:val="0D0D0D" w:themeColor="text1" w:themeTint="F2"/>
              </w:rPr>
              <w:t>по установлению порядка утверждения (изменения), доведения (отзыва) лимитов бюджетных обязательств при организации исполнения областного бюджета</w:t>
            </w:r>
            <w:r w:rsidRPr="0007271F">
              <w:rPr>
                <w:color w:val="0D0D0D" w:themeColor="text1" w:themeTint="F2"/>
              </w:rPr>
              <w:t xml:space="preserve"> Новосибирской области</w:t>
            </w:r>
            <w:r w:rsidR="001927C0" w:rsidRPr="0007271F">
              <w:rPr>
                <w:color w:val="0D0D0D" w:themeColor="text1" w:themeTint="F2"/>
              </w:rPr>
              <w:t>.</w:t>
            </w:r>
            <w:r w:rsidRPr="0007271F">
              <w:rPr>
                <w:color w:val="0D0D0D" w:themeColor="text1" w:themeTint="F2"/>
              </w:rPr>
              <w:t xml:space="preserve"> В связи с че</w:t>
            </w:r>
            <w:r w:rsidR="004B4E3F">
              <w:rPr>
                <w:color w:val="0D0D0D" w:themeColor="text1" w:themeTint="F2"/>
              </w:rPr>
              <w:t>м</w:t>
            </w:r>
            <w:r w:rsidR="00C5682F">
              <w:rPr>
                <w:color w:val="0D0D0D" w:themeColor="text1" w:themeTint="F2"/>
              </w:rPr>
              <w:t xml:space="preserve"> предлагается внести изменения</w:t>
            </w:r>
            <w:r w:rsidRPr="0007271F">
              <w:rPr>
                <w:color w:val="0D0D0D" w:themeColor="text1" w:themeTint="F2"/>
              </w:rPr>
              <w:t xml:space="preserve"> в</w:t>
            </w:r>
            <w:r w:rsidR="004B4E3F">
              <w:rPr>
                <w:color w:val="0D0D0D" w:themeColor="text1" w:themeTint="F2"/>
              </w:rPr>
              <w:t xml:space="preserve"> наименование</w:t>
            </w:r>
            <w:r w:rsidRPr="0007271F">
              <w:rPr>
                <w:color w:val="0D0D0D" w:themeColor="text1" w:themeTint="F2"/>
              </w:rPr>
              <w:t xml:space="preserve">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</w:t>
            </w:r>
            <w:r w:rsidR="00C5682F">
              <w:rPr>
                <w:color w:val="0D0D0D" w:themeColor="text1" w:themeTint="F2"/>
              </w:rPr>
              <w:t xml:space="preserve"> (далее – Порядок), приказа об его утверждении</w:t>
            </w:r>
            <w:r w:rsidR="0007271F">
              <w:rPr>
                <w:color w:val="0D0D0D" w:themeColor="text1" w:themeTint="F2"/>
              </w:rPr>
              <w:t xml:space="preserve"> </w:t>
            </w:r>
            <w:r w:rsidR="00C5682F">
              <w:rPr>
                <w:color w:val="0D0D0D" w:themeColor="text1" w:themeTint="F2"/>
              </w:rPr>
              <w:t xml:space="preserve">и </w:t>
            </w:r>
            <w:r w:rsidR="004B4E3F">
              <w:rPr>
                <w:color w:val="0D0D0D" w:themeColor="text1" w:themeTint="F2"/>
              </w:rPr>
              <w:t>отдельных подразделов</w:t>
            </w:r>
            <w:r w:rsidR="00C5682F">
              <w:rPr>
                <w:color w:val="0D0D0D" w:themeColor="text1" w:themeTint="F2"/>
              </w:rPr>
              <w:t xml:space="preserve"> Порядка.</w:t>
            </w:r>
          </w:p>
          <w:p w:rsidR="007F17C8" w:rsidRDefault="004B4E3F" w:rsidP="007F1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D0D0D" w:themeColor="text1" w:themeTint="F2"/>
              </w:rPr>
              <w:t xml:space="preserve">В целях исключения противоречий </w:t>
            </w:r>
            <w:r w:rsidR="007F17C8">
              <w:rPr>
                <w:color w:val="0D0D0D" w:themeColor="text1" w:themeTint="F2"/>
              </w:rPr>
              <w:t xml:space="preserve">положений Порядка </w:t>
            </w:r>
            <w:r w:rsidR="0007271F">
              <w:rPr>
                <w:color w:val="0D0D0D" w:themeColor="text1" w:themeTint="F2"/>
              </w:rPr>
              <w:t xml:space="preserve">с пунктом 3 статьи 242 БК РФ </w:t>
            </w:r>
            <w:r>
              <w:rPr>
                <w:color w:val="0D0D0D" w:themeColor="text1" w:themeTint="F2"/>
              </w:rPr>
              <w:t>проектом</w:t>
            </w:r>
            <w:r w:rsidR="0007271F">
              <w:rPr>
                <w:color w:val="0D0D0D" w:themeColor="text1" w:themeTint="F2"/>
              </w:rPr>
              <w:t xml:space="preserve"> </w:t>
            </w:r>
            <w:r w:rsidR="007F17C8">
              <w:rPr>
                <w:color w:val="0D0D0D" w:themeColor="text1" w:themeTint="F2"/>
              </w:rPr>
              <w:t>предлагается уточнить</w:t>
            </w:r>
            <w:r w:rsidR="0007271F">
              <w:rPr>
                <w:color w:val="0D0D0D" w:themeColor="text1" w:themeTint="F2"/>
              </w:rPr>
              <w:t xml:space="preserve"> </w:t>
            </w:r>
            <w:r w:rsidR="0007271F">
              <w:rPr>
                <w:rFonts w:eastAsiaTheme="minorHAnsi"/>
                <w:lang w:eastAsia="en-US"/>
              </w:rPr>
              <w:t>содержание пункта 54 По</w:t>
            </w:r>
            <w:r w:rsidR="007F17C8">
              <w:rPr>
                <w:rFonts w:eastAsiaTheme="minorHAnsi"/>
                <w:lang w:eastAsia="en-US"/>
              </w:rPr>
              <w:t>рядка, а именно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C5682F">
              <w:rPr>
                <w:rFonts w:eastAsiaTheme="minorHAnsi"/>
                <w:lang w:eastAsia="en-US"/>
              </w:rPr>
              <w:t xml:space="preserve">исключить </w:t>
            </w:r>
            <w:r>
              <w:rPr>
                <w:rFonts w:eastAsiaTheme="minorHAnsi"/>
                <w:lang w:eastAsia="en-US"/>
              </w:rPr>
              <w:t>из текста слова</w:t>
            </w:r>
            <w:r w:rsidR="0007271F">
              <w:rPr>
                <w:rFonts w:eastAsiaTheme="minorHAnsi"/>
                <w:lang w:eastAsia="en-US"/>
              </w:rPr>
              <w:t xml:space="preserve"> о </w:t>
            </w:r>
            <w:r w:rsidR="0007271F" w:rsidRPr="00C5682F">
              <w:rPr>
                <w:rFonts w:eastAsiaTheme="minorHAnsi"/>
                <w:u w:val="single"/>
                <w:lang w:eastAsia="en-US"/>
              </w:rPr>
              <w:t>прекращении действия</w:t>
            </w:r>
            <w:r w:rsidR="0007271F">
              <w:rPr>
                <w:rFonts w:eastAsiaTheme="minorHAnsi"/>
                <w:lang w:eastAsia="en-US"/>
              </w:rPr>
              <w:t xml:space="preserve"> бюджетных ассигнований и лимитов бюджетных обязательств, утвержденных</w:t>
            </w:r>
            <w:r>
              <w:rPr>
                <w:rFonts w:eastAsiaTheme="minorHAnsi"/>
                <w:lang w:eastAsia="en-US"/>
              </w:rPr>
              <w:t xml:space="preserve"> в соответствии со сводной бюджетной росписью</w:t>
            </w:r>
            <w:r w:rsidR="0007271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на плановый период</w:t>
            </w:r>
            <w:r w:rsidR="007F17C8">
              <w:rPr>
                <w:rFonts w:eastAsiaTheme="minorHAnsi"/>
                <w:lang w:eastAsia="en-US"/>
              </w:rPr>
              <w:t xml:space="preserve"> (бюджетные ассигнования, лимиты бюджетных обязательств и предельные объемы финансирования </w:t>
            </w:r>
            <w:r w:rsidR="007F17C8" w:rsidRPr="007F17C8">
              <w:rPr>
                <w:rFonts w:eastAsiaTheme="minorHAnsi"/>
                <w:u w:val="single"/>
                <w:lang w:eastAsia="en-US"/>
              </w:rPr>
              <w:t>текущего</w:t>
            </w:r>
            <w:r w:rsidR="007F17C8">
              <w:rPr>
                <w:rFonts w:eastAsiaTheme="minorHAnsi"/>
                <w:lang w:eastAsia="en-US"/>
              </w:rPr>
              <w:t xml:space="preserve"> </w:t>
            </w:r>
            <w:r w:rsidR="007F17C8" w:rsidRPr="007F17C8">
              <w:rPr>
                <w:rFonts w:eastAsiaTheme="minorHAnsi"/>
                <w:u w:val="single"/>
                <w:lang w:eastAsia="en-US"/>
              </w:rPr>
              <w:t>финансового года прекращают свое действие 31 декабря</w:t>
            </w:r>
            <w:r w:rsidR="007F17C8">
              <w:rPr>
                <w:rFonts w:eastAsiaTheme="minorHAnsi"/>
                <w:lang w:eastAsia="en-US"/>
              </w:rPr>
              <w:t>).</w:t>
            </w:r>
          </w:p>
          <w:p w:rsidR="001927C0" w:rsidRPr="0007271F" w:rsidRDefault="001927C0" w:rsidP="007F17C8">
            <w:pPr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3F2ECC" w:rsidRPr="001412F9" w:rsidTr="004D02AE">
        <w:trPr>
          <w:trHeight w:val="2020"/>
        </w:trPr>
        <w:tc>
          <w:tcPr>
            <w:tcW w:w="10206" w:type="dxa"/>
            <w:tcBorders>
              <w:bottom w:val="single" w:sz="6" w:space="0" w:color="auto"/>
            </w:tcBorders>
          </w:tcPr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</w:pPr>
            <w:r w:rsidRPr="001412F9">
              <w:t xml:space="preserve">                             «__» __________ 20__ года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>Руководитель                                                                                                    С.П. Блинов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</w:pP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>Эксперт                                                                                                     _______________</w:t>
            </w:r>
          </w:p>
          <w:p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F2ECC" w:rsidRPr="001412F9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4"/>
                <w:szCs w:val="20"/>
                <w:lang w:eastAsia="en-US"/>
              </w:rPr>
            </w:pPr>
          </w:p>
        </w:tc>
      </w:tr>
    </w:tbl>
    <w:p w:rsidR="003F2ECC" w:rsidRPr="001412F9" w:rsidRDefault="003F2ECC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1412F9">
        <w:rPr>
          <w:sz w:val="20"/>
          <w:szCs w:val="20"/>
        </w:rPr>
        <w:t xml:space="preserve">Афонина Е.А. </w:t>
      </w:r>
    </w:p>
    <w:p w:rsidR="003F2ECC" w:rsidRPr="00846066" w:rsidRDefault="003F2ECC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1412F9">
        <w:rPr>
          <w:sz w:val="20"/>
          <w:szCs w:val="20"/>
        </w:rPr>
        <w:t>251</w:t>
      </w:r>
    </w:p>
    <w:sectPr w:rsidR="003F2ECC" w:rsidRPr="00846066" w:rsidSect="0038159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18D"/>
    <w:rsid w:val="000170E8"/>
    <w:rsid w:val="0002623E"/>
    <w:rsid w:val="000304D9"/>
    <w:rsid w:val="0003118E"/>
    <w:rsid w:val="00053422"/>
    <w:rsid w:val="00055260"/>
    <w:rsid w:val="0005528B"/>
    <w:rsid w:val="00055CAB"/>
    <w:rsid w:val="00056B2B"/>
    <w:rsid w:val="00062111"/>
    <w:rsid w:val="00062A9D"/>
    <w:rsid w:val="00062D92"/>
    <w:rsid w:val="00062DDA"/>
    <w:rsid w:val="00064A79"/>
    <w:rsid w:val="0007271F"/>
    <w:rsid w:val="00072F61"/>
    <w:rsid w:val="00074656"/>
    <w:rsid w:val="00074F7B"/>
    <w:rsid w:val="00083AEB"/>
    <w:rsid w:val="00092C4C"/>
    <w:rsid w:val="00094E64"/>
    <w:rsid w:val="000A0CBA"/>
    <w:rsid w:val="000A4AEB"/>
    <w:rsid w:val="000B5B5D"/>
    <w:rsid w:val="000C051C"/>
    <w:rsid w:val="000C061D"/>
    <w:rsid w:val="000C10E1"/>
    <w:rsid w:val="000C65EF"/>
    <w:rsid w:val="000D49F4"/>
    <w:rsid w:val="000D7C25"/>
    <w:rsid w:val="000E34A8"/>
    <w:rsid w:val="000F1C9F"/>
    <w:rsid w:val="000F1E0A"/>
    <w:rsid w:val="000F7CB0"/>
    <w:rsid w:val="00107D41"/>
    <w:rsid w:val="00111064"/>
    <w:rsid w:val="001154CC"/>
    <w:rsid w:val="0012452A"/>
    <w:rsid w:val="00130A11"/>
    <w:rsid w:val="00132CDA"/>
    <w:rsid w:val="001412F9"/>
    <w:rsid w:val="001441AE"/>
    <w:rsid w:val="0015004A"/>
    <w:rsid w:val="001540D9"/>
    <w:rsid w:val="0015692C"/>
    <w:rsid w:val="00161D1B"/>
    <w:rsid w:val="00167722"/>
    <w:rsid w:val="0017124C"/>
    <w:rsid w:val="0018343C"/>
    <w:rsid w:val="00190720"/>
    <w:rsid w:val="001927C0"/>
    <w:rsid w:val="00194BBD"/>
    <w:rsid w:val="00195A76"/>
    <w:rsid w:val="00197773"/>
    <w:rsid w:val="001A3D98"/>
    <w:rsid w:val="001B2F28"/>
    <w:rsid w:val="001B2F2A"/>
    <w:rsid w:val="001B45FF"/>
    <w:rsid w:val="001B4D62"/>
    <w:rsid w:val="001B4EA1"/>
    <w:rsid w:val="001B5ACE"/>
    <w:rsid w:val="001C02F1"/>
    <w:rsid w:val="001C167B"/>
    <w:rsid w:val="001C4E23"/>
    <w:rsid w:val="001D16F4"/>
    <w:rsid w:val="001D3619"/>
    <w:rsid w:val="001E4B6B"/>
    <w:rsid w:val="002163E1"/>
    <w:rsid w:val="00220AB3"/>
    <w:rsid w:val="00233CBF"/>
    <w:rsid w:val="002340AA"/>
    <w:rsid w:val="00235FFE"/>
    <w:rsid w:val="00236021"/>
    <w:rsid w:val="00236669"/>
    <w:rsid w:val="002378A4"/>
    <w:rsid w:val="00241706"/>
    <w:rsid w:val="00242FD2"/>
    <w:rsid w:val="00255FF6"/>
    <w:rsid w:val="00277339"/>
    <w:rsid w:val="00285142"/>
    <w:rsid w:val="002901C2"/>
    <w:rsid w:val="0029240D"/>
    <w:rsid w:val="002937B2"/>
    <w:rsid w:val="00293E4C"/>
    <w:rsid w:val="002A2B4B"/>
    <w:rsid w:val="002B6611"/>
    <w:rsid w:val="002C193A"/>
    <w:rsid w:val="002C3354"/>
    <w:rsid w:val="002C6E8D"/>
    <w:rsid w:val="002C77CC"/>
    <w:rsid w:val="002D3331"/>
    <w:rsid w:val="002D518C"/>
    <w:rsid w:val="002D6C97"/>
    <w:rsid w:val="002D7938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30A80"/>
    <w:rsid w:val="00330EBE"/>
    <w:rsid w:val="00331099"/>
    <w:rsid w:val="00332A19"/>
    <w:rsid w:val="00333D2B"/>
    <w:rsid w:val="00334A32"/>
    <w:rsid w:val="00341273"/>
    <w:rsid w:val="003414C6"/>
    <w:rsid w:val="0034221F"/>
    <w:rsid w:val="003524CA"/>
    <w:rsid w:val="003529DA"/>
    <w:rsid w:val="00355244"/>
    <w:rsid w:val="00366941"/>
    <w:rsid w:val="00367D55"/>
    <w:rsid w:val="0038159D"/>
    <w:rsid w:val="00386C10"/>
    <w:rsid w:val="00387503"/>
    <w:rsid w:val="003879B6"/>
    <w:rsid w:val="00392C6D"/>
    <w:rsid w:val="003943A6"/>
    <w:rsid w:val="00395597"/>
    <w:rsid w:val="003A3ACA"/>
    <w:rsid w:val="003A6BFD"/>
    <w:rsid w:val="003C2821"/>
    <w:rsid w:val="003C319F"/>
    <w:rsid w:val="003C527B"/>
    <w:rsid w:val="003C5973"/>
    <w:rsid w:val="003D3E25"/>
    <w:rsid w:val="003E4C6F"/>
    <w:rsid w:val="003E5282"/>
    <w:rsid w:val="003F045E"/>
    <w:rsid w:val="003F2ECC"/>
    <w:rsid w:val="003F4C3B"/>
    <w:rsid w:val="003F4F56"/>
    <w:rsid w:val="0040399C"/>
    <w:rsid w:val="00404641"/>
    <w:rsid w:val="004123E8"/>
    <w:rsid w:val="004153E5"/>
    <w:rsid w:val="0041776B"/>
    <w:rsid w:val="004211AB"/>
    <w:rsid w:val="00426D9B"/>
    <w:rsid w:val="00431A6F"/>
    <w:rsid w:val="0043464B"/>
    <w:rsid w:val="004363E4"/>
    <w:rsid w:val="00440A1C"/>
    <w:rsid w:val="00441172"/>
    <w:rsid w:val="00442221"/>
    <w:rsid w:val="00443662"/>
    <w:rsid w:val="0044556A"/>
    <w:rsid w:val="0045019A"/>
    <w:rsid w:val="00451AF9"/>
    <w:rsid w:val="004618DB"/>
    <w:rsid w:val="0046381D"/>
    <w:rsid w:val="00467F25"/>
    <w:rsid w:val="004728D4"/>
    <w:rsid w:val="004764B1"/>
    <w:rsid w:val="0047791C"/>
    <w:rsid w:val="004811EA"/>
    <w:rsid w:val="00487350"/>
    <w:rsid w:val="004A2F33"/>
    <w:rsid w:val="004A2F91"/>
    <w:rsid w:val="004B184F"/>
    <w:rsid w:val="004B26C0"/>
    <w:rsid w:val="004B4E3F"/>
    <w:rsid w:val="004C06DE"/>
    <w:rsid w:val="004C0AF2"/>
    <w:rsid w:val="004C1DD5"/>
    <w:rsid w:val="004C453B"/>
    <w:rsid w:val="004C5482"/>
    <w:rsid w:val="004C6866"/>
    <w:rsid w:val="004D6F47"/>
    <w:rsid w:val="004E035C"/>
    <w:rsid w:val="004E12C6"/>
    <w:rsid w:val="004E3054"/>
    <w:rsid w:val="004E48CA"/>
    <w:rsid w:val="004E4BBA"/>
    <w:rsid w:val="004F08A2"/>
    <w:rsid w:val="004F28D0"/>
    <w:rsid w:val="004F5E8F"/>
    <w:rsid w:val="00506E4A"/>
    <w:rsid w:val="0051043B"/>
    <w:rsid w:val="005258BC"/>
    <w:rsid w:val="0052681B"/>
    <w:rsid w:val="00530965"/>
    <w:rsid w:val="00536E01"/>
    <w:rsid w:val="0054445A"/>
    <w:rsid w:val="00546D1E"/>
    <w:rsid w:val="00553CE0"/>
    <w:rsid w:val="00554F7A"/>
    <w:rsid w:val="00555B6F"/>
    <w:rsid w:val="00560F43"/>
    <w:rsid w:val="00562C73"/>
    <w:rsid w:val="005644DB"/>
    <w:rsid w:val="00577B28"/>
    <w:rsid w:val="00584505"/>
    <w:rsid w:val="00586D9C"/>
    <w:rsid w:val="00586FE8"/>
    <w:rsid w:val="00591384"/>
    <w:rsid w:val="00592FC2"/>
    <w:rsid w:val="005946D2"/>
    <w:rsid w:val="00597F0B"/>
    <w:rsid w:val="005A4947"/>
    <w:rsid w:val="005A6F4B"/>
    <w:rsid w:val="005A74BD"/>
    <w:rsid w:val="005B4F03"/>
    <w:rsid w:val="005B6C37"/>
    <w:rsid w:val="005C550F"/>
    <w:rsid w:val="005C63BB"/>
    <w:rsid w:val="005D4542"/>
    <w:rsid w:val="005D61EE"/>
    <w:rsid w:val="005D78B5"/>
    <w:rsid w:val="005E0B87"/>
    <w:rsid w:val="005E4B78"/>
    <w:rsid w:val="005E541A"/>
    <w:rsid w:val="005E6521"/>
    <w:rsid w:val="005F1AC9"/>
    <w:rsid w:val="005F2232"/>
    <w:rsid w:val="006043EF"/>
    <w:rsid w:val="00605EF4"/>
    <w:rsid w:val="00613364"/>
    <w:rsid w:val="006147A5"/>
    <w:rsid w:val="00616EF1"/>
    <w:rsid w:val="0062057F"/>
    <w:rsid w:val="00621ADC"/>
    <w:rsid w:val="00627F80"/>
    <w:rsid w:val="00635D72"/>
    <w:rsid w:val="00650A2E"/>
    <w:rsid w:val="006655B5"/>
    <w:rsid w:val="00670A25"/>
    <w:rsid w:val="00671097"/>
    <w:rsid w:val="00685236"/>
    <w:rsid w:val="00686F02"/>
    <w:rsid w:val="00690BB2"/>
    <w:rsid w:val="0069168D"/>
    <w:rsid w:val="006935AE"/>
    <w:rsid w:val="006936EA"/>
    <w:rsid w:val="006A221D"/>
    <w:rsid w:val="006A7616"/>
    <w:rsid w:val="006B1191"/>
    <w:rsid w:val="006C17F5"/>
    <w:rsid w:val="006C2017"/>
    <w:rsid w:val="006C57EE"/>
    <w:rsid w:val="006C6B59"/>
    <w:rsid w:val="006E084B"/>
    <w:rsid w:val="006E362A"/>
    <w:rsid w:val="006E3C26"/>
    <w:rsid w:val="006E448D"/>
    <w:rsid w:val="006F010B"/>
    <w:rsid w:val="006F481C"/>
    <w:rsid w:val="006F5DFC"/>
    <w:rsid w:val="00710BBB"/>
    <w:rsid w:val="007116B7"/>
    <w:rsid w:val="007138C7"/>
    <w:rsid w:val="00717711"/>
    <w:rsid w:val="007200AC"/>
    <w:rsid w:val="007237B8"/>
    <w:rsid w:val="00725AFB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708C"/>
    <w:rsid w:val="00763D37"/>
    <w:rsid w:val="0076614D"/>
    <w:rsid w:val="0076714D"/>
    <w:rsid w:val="00771BF2"/>
    <w:rsid w:val="00777D96"/>
    <w:rsid w:val="00782BB2"/>
    <w:rsid w:val="007949D3"/>
    <w:rsid w:val="00795FD7"/>
    <w:rsid w:val="007B035D"/>
    <w:rsid w:val="007B09D6"/>
    <w:rsid w:val="007B507F"/>
    <w:rsid w:val="007B5581"/>
    <w:rsid w:val="007C4A15"/>
    <w:rsid w:val="007D0FA4"/>
    <w:rsid w:val="007D0FAA"/>
    <w:rsid w:val="007E1AC2"/>
    <w:rsid w:val="007E5296"/>
    <w:rsid w:val="007E5E5F"/>
    <w:rsid w:val="007F17C8"/>
    <w:rsid w:val="007F61F6"/>
    <w:rsid w:val="007F7534"/>
    <w:rsid w:val="00800499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6066"/>
    <w:rsid w:val="0085126E"/>
    <w:rsid w:val="008569FC"/>
    <w:rsid w:val="00860AFC"/>
    <w:rsid w:val="00860C6B"/>
    <w:rsid w:val="00861008"/>
    <w:rsid w:val="00862D49"/>
    <w:rsid w:val="0086636F"/>
    <w:rsid w:val="00866650"/>
    <w:rsid w:val="0086679A"/>
    <w:rsid w:val="00866889"/>
    <w:rsid w:val="00870238"/>
    <w:rsid w:val="00875EEE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A650C"/>
    <w:rsid w:val="008C4E00"/>
    <w:rsid w:val="008D3ECD"/>
    <w:rsid w:val="008D7C80"/>
    <w:rsid w:val="008E762D"/>
    <w:rsid w:val="008F4E2F"/>
    <w:rsid w:val="008F6C5F"/>
    <w:rsid w:val="009003F6"/>
    <w:rsid w:val="00902393"/>
    <w:rsid w:val="00904D62"/>
    <w:rsid w:val="009072E2"/>
    <w:rsid w:val="00911AA4"/>
    <w:rsid w:val="009135EE"/>
    <w:rsid w:val="00920FF0"/>
    <w:rsid w:val="00926118"/>
    <w:rsid w:val="00926202"/>
    <w:rsid w:val="009272F4"/>
    <w:rsid w:val="00931EBB"/>
    <w:rsid w:val="00932B11"/>
    <w:rsid w:val="009404C4"/>
    <w:rsid w:val="00962188"/>
    <w:rsid w:val="00967618"/>
    <w:rsid w:val="0097490D"/>
    <w:rsid w:val="00976BF5"/>
    <w:rsid w:val="0098110C"/>
    <w:rsid w:val="009869A2"/>
    <w:rsid w:val="00990B74"/>
    <w:rsid w:val="00995FD9"/>
    <w:rsid w:val="009A1155"/>
    <w:rsid w:val="009A5E8E"/>
    <w:rsid w:val="009B2F47"/>
    <w:rsid w:val="009B4687"/>
    <w:rsid w:val="009B70D8"/>
    <w:rsid w:val="009C04DA"/>
    <w:rsid w:val="009C1982"/>
    <w:rsid w:val="009C5527"/>
    <w:rsid w:val="009C59B2"/>
    <w:rsid w:val="009D4515"/>
    <w:rsid w:val="009D4F79"/>
    <w:rsid w:val="009D6628"/>
    <w:rsid w:val="009D6CC9"/>
    <w:rsid w:val="009E3D89"/>
    <w:rsid w:val="009E5692"/>
    <w:rsid w:val="009F3285"/>
    <w:rsid w:val="009F3FF5"/>
    <w:rsid w:val="009F7701"/>
    <w:rsid w:val="00A11177"/>
    <w:rsid w:val="00A15DF1"/>
    <w:rsid w:val="00A255A0"/>
    <w:rsid w:val="00A2690C"/>
    <w:rsid w:val="00A307DD"/>
    <w:rsid w:val="00A30985"/>
    <w:rsid w:val="00A32265"/>
    <w:rsid w:val="00A33DA4"/>
    <w:rsid w:val="00A36D2B"/>
    <w:rsid w:val="00A41755"/>
    <w:rsid w:val="00A4493D"/>
    <w:rsid w:val="00A47DF8"/>
    <w:rsid w:val="00A53860"/>
    <w:rsid w:val="00A5643A"/>
    <w:rsid w:val="00A6759C"/>
    <w:rsid w:val="00A70C5C"/>
    <w:rsid w:val="00A7461D"/>
    <w:rsid w:val="00A74FA9"/>
    <w:rsid w:val="00AA1663"/>
    <w:rsid w:val="00AB4429"/>
    <w:rsid w:val="00AB517A"/>
    <w:rsid w:val="00AC4C0D"/>
    <w:rsid w:val="00AC52E6"/>
    <w:rsid w:val="00AC6FB1"/>
    <w:rsid w:val="00AC7B3D"/>
    <w:rsid w:val="00AD0BF6"/>
    <w:rsid w:val="00AE2B73"/>
    <w:rsid w:val="00AE5AC4"/>
    <w:rsid w:val="00AF0C85"/>
    <w:rsid w:val="00AF1F46"/>
    <w:rsid w:val="00AF5491"/>
    <w:rsid w:val="00AF758B"/>
    <w:rsid w:val="00B0447B"/>
    <w:rsid w:val="00B04ECB"/>
    <w:rsid w:val="00B10928"/>
    <w:rsid w:val="00B12F16"/>
    <w:rsid w:val="00B142F1"/>
    <w:rsid w:val="00B20EF8"/>
    <w:rsid w:val="00B2206B"/>
    <w:rsid w:val="00B2345C"/>
    <w:rsid w:val="00B261EA"/>
    <w:rsid w:val="00B32E9F"/>
    <w:rsid w:val="00B42B2D"/>
    <w:rsid w:val="00B50857"/>
    <w:rsid w:val="00B62035"/>
    <w:rsid w:val="00B62498"/>
    <w:rsid w:val="00B62B27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646F"/>
    <w:rsid w:val="00B97370"/>
    <w:rsid w:val="00BA2A43"/>
    <w:rsid w:val="00BA5B71"/>
    <w:rsid w:val="00BB31CE"/>
    <w:rsid w:val="00BB3D98"/>
    <w:rsid w:val="00BB4BBC"/>
    <w:rsid w:val="00BC6D8D"/>
    <w:rsid w:val="00BD3C66"/>
    <w:rsid w:val="00BD49FC"/>
    <w:rsid w:val="00BD6EC5"/>
    <w:rsid w:val="00BE01F0"/>
    <w:rsid w:val="00BE0340"/>
    <w:rsid w:val="00BE7E4A"/>
    <w:rsid w:val="00BF134B"/>
    <w:rsid w:val="00BF635B"/>
    <w:rsid w:val="00C1039A"/>
    <w:rsid w:val="00C10503"/>
    <w:rsid w:val="00C106FA"/>
    <w:rsid w:val="00C218FD"/>
    <w:rsid w:val="00C21A48"/>
    <w:rsid w:val="00C248C8"/>
    <w:rsid w:val="00C24AFE"/>
    <w:rsid w:val="00C31EAF"/>
    <w:rsid w:val="00C32C6B"/>
    <w:rsid w:val="00C504EB"/>
    <w:rsid w:val="00C525E5"/>
    <w:rsid w:val="00C52FDB"/>
    <w:rsid w:val="00C53371"/>
    <w:rsid w:val="00C534A4"/>
    <w:rsid w:val="00C5682F"/>
    <w:rsid w:val="00C60E48"/>
    <w:rsid w:val="00C636D7"/>
    <w:rsid w:val="00C72313"/>
    <w:rsid w:val="00C72FB6"/>
    <w:rsid w:val="00C83116"/>
    <w:rsid w:val="00CA11F1"/>
    <w:rsid w:val="00CA5B7A"/>
    <w:rsid w:val="00CA66F0"/>
    <w:rsid w:val="00CB02F3"/>
    <w:rsid w:val="00CB4449"/>
    <w:rsid w:val="00CB4B42"/>
    <w:rsid w:val="00CB761A"/>
    <w:rsid w:val="00CC1DD0"/>
    <w:rsid w:val="00CC25EC"/>
    <w:rsid w:val="00CC5DEA"/>
    <w:rsid w:val="00CF2950"/>
    <w:rsid w:val="00CF553F"/>
    <w:rsid w:val="00CF7848"/>
    <w:rsid w:val="00D06902"/>
    <w:rsid w:val="00D10D15"/>
    <w:rsid w:val="00D140D6"/>
    <w:rsid w:val="00D157CC"/>
    <w:rsid w:val="00D20295"/>
    <w:rsid w:val="00D2167C"/>
    <w:rsid w:val="00D26154"/>
    <w:rsid w:val="00D262D7"/>
    <w:rsid w:val="00D26F50"/>
    <w:rsid w:val="00D321EC"/>
    <w:rsid w:val="00D37604"/>
    <w:rsid w:val="00D5748F"/>
    <w:rsid w:val="00D623C0"/>
    <w:rsid w:val="00D70DFC"/>
    <w:rsid w:val="00D72981"/>
    <w:rsid w:val="00D7699F"/>
    <w:rsid w:val="00D77146"/>
    <w:rsid w:val="00D77906"/>
    <w:rsid w:val="00D84A94"/>
    <w:rsid w:val="00D84DFC"/>
    <w:rsid w:val="00D872C1"/>
    <w:rsid w:val="00D93EB4"/>
    <w:rsid w:val="00D97182"/>
    <w:rsid w:val="00DA067E"/>
    <w:rsid w:val="00DA18A3"/>
    <w:rsid w:val="00DA20EF"/>
    <w:rsid w:val="00DA4063"/>
    <w:rsid w:val="00DB1341"/>
    <w:rsid w:val="00DC27E8"/>
    <w:rsid w:val="00DC3EC4"/>
    <w:rsid w:val="00DD16BD"/>
    <w:rsid w:val="00DF0673"/>
    <w:rsid w:val="00DF566D"/>
    <w:rsid w:val="00E0105B"/>
    <w:rsid w:val="00E027E1"/>
    <w:rsid w:val="00E24235"/>
    <w:rsid w:val="00E32CEC"/>
    <w:rsid w:val="00E40289"/>
    <w:rsid w:val="00E463E5"/>
    <w:rsid w:val="00E47E88"/>
    <w:rsid w:val="00E64940"/>
    <w:rsid w:val="00E6495B"/>
    <w:rsid w:val="00E66914"/>
    <w:rsid w:val="00E70D0D"/>
    <w:rsid w:val="00E70E3C"/>
    <w:rsid w:val="00E721B0"/>
    <w:rsid w:val="00E72DFA"/>
    <w:rsid w:val="00E74618"/>
    <w:rsid w:val="00E74725"/>
    <w:rsid w:val="00E77AC1"/>
    <w:rsid w:val="00E81A89"/>
    <w:rsid w:val="00E93B41"/>
    <w:rsid w:val="00EA42DF"/>
    <w:rsid w:val="00EA4D1C"/>
    <w:rsid w:val="00EA6E48"/>
    <w:rsid w:val="00EA7D1D"/>
    <w:rsid w:val="00EB30E9"/>
    <w:rsid w:val="00EB47F9"/>
    <w:rsid w:val="00EC61FD"/>
    <w:rsid w:val="00ED4021"/>
    <w:rsid w:val="00EE259E"/>
    <w:rsid w:val="00EE372E"/>
    <w:rsid w:val="00EF1574"/>
    <w:rsid w:val="00EF713C"/>
    <w:rsid w:val="00F028DD"/>
    <w:rsid w:val="00F033E0"/>
    <w:rsid w:val="00F06DC9"/>
    <w:rsid w:val="00F11FEF"/>
    <w:rsid w:val="00F21BA6"/>
    <w:rsid w:val="00F30EAA"/>
    <w:rsid w:val="00F31DD0"/>
    <w:rsid w:val="00F35C7C"/>
    <w:rsid w:val="00F42F75"/>
    <w:rsid w:val="00F55D68"/>
    <w:rsid w:val="00F61ACC"/>
    <w:rsid w:val="00F74E63"/>
    <w:rsid w:val="00F83DC7"/>
    <w:rsid w:val="00F86B45"/>
    <w:rsid w:val="00F86E37"/>
    <w:rsid w:val="00F874D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B1437"/>
    <w:rsid w:val="00FB5A60"/>
    <w:rsid w:val="00FC3481"/>
    <w:rsid w:val="00FC4933"/>
    <w:rsid w:val="00FC55BA"/>
    <w:rsid w:val="00FD73F4"/>
    <w:rsid w:val="00FE315D"/>
    <w:rsid w:val="00FF1A6B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8C17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927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C673-AC2D-44B6-B79E-0B016D8E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Афонина Елена Анатольевна</cp:lastModifiedBy>
  <cp:revision>7</cp:revision>
  <cp:lastPrinted>2018-10-09T10:26:00Z</cp:lastPrinted>
  <dcterms:created xsi:type="dcterms:W3CDTF">2018-10-09T10:02:00Z</dcterms:created>
  <dcterms:modified xsi:type="dcterms:W3CDTF">2018-10-11T03:40:00Z</dcterms:modified>
</cp:coreProperties>
</file>