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  <w:gridCol w:w="4014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609"/>
        <w:gridCol w:w="849"/>
        <w:gridCol w:w="849"/>
        <w:gridCol w:w="710"/>
        <w:gridCol w:w="567"/>
        <w:gridCol w:w="1562"/>
        <w:gridCol w:w="853"/>
        <w:gridCol w:w="421"/>
        <w:gridCol w:w="567"/>
        <w:gridCol w:w="2554"/>
        <w:gridCol w:w="1277"/>
        <w:gridCol w:w="1135"/>
        <w:gridCol w:w="1274"/>
        <w:gridCol w:w="853"/>
        <w:gridCol w:w="571"/>
        <w:gridCol w:w="856"/>
      </w:tblGrid>
      <w:tr w:rsidR="00AE132C" w:rsidRPr="005728E5" w14:paraId="5F4DACD1" w14:textId="77777777" w:rsidTr="00AE132C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2D2C68" w:rsidRPr="00AE132C" w:rsidRDefault="002D2C68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14:paraId="468F0D1A" w14:textId="1C254554" w:rsidR="002D2C68" w:rsidRPr="00AE132C" w:rsidRDefault="002D2C68" w:rsidP="00C15619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25.1.869018.1.0001</w:t>
            </w:r>
            <w:r w:rsidR="00C15619" w:rsidRPr="00AE132C">
              <w:rPr>
                <w:sz w:val="16"/>
                <w:szCs w:val="20"/>
              </w:rPr>
              <w:t>7</w:t>
            </w:r>
          </w:p>
        </w:tc>
        <w:tc>
          <w:tcPr>
            <w:tcW w:w="262" w:type="pct"/>
          </w:tcPr>
          <w:p w14:paraId="78F669D2" w14:textId="12A7B7C6" w:rsidR="002D2C68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Микроскопическое исследование различного диагностического материала на микобактерии (</w:t>
            </w:r>
            <w:proofErr w:type="spellStart"/>
            <w:r w:rsidRPr="00AE132C">
              <w:rPr>
                <w:sz w:val="16"/>
                <w:szCs w:val="20"/>
              </w:rPr>
              <w:t>Mycobacterium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spp</w:t>
            </w:r>
            <w:proofErr w:type="spellEnd"/>
            <w:r w:rsidRPr="00AE132C">
              <w:rPr>
                <w:sz w:val="16"/>
                <w:szCs w:val="20"/>
              </w:rPr>
              <w:t>.) (</w:t>
            </w:r>
            <w:proofErr w:type="spellStart"/>
            <w:r w:rsidRPr="00AE132C">
              <w:rPr>
                <w:sz w:val="16"/>
                <w:szCs w:val="20"/>
              </w:rPr>
              <w:t>люминисцентным</w:t>
            </w:r>
            <w:proofErr w:type="spellEnd"/>
            <w:r w:rsidRPr="00AE132C">
              <w:rPr>
                <w:sz w:val="16"/>
                <w:szCs w:val="20"/>
              </w:rPr>
              <w:t xml:space="preserve"> методом)</w:t>
            </w:r>
          </w:p>
        </w:tc>
        <w:tc>
          <w:tcPr>
            <w:tcW w:w="262" w:type="pct"/>
          </w:tcPr>
          <w:p w14:paraId="20469327" w14:textId="4620080D" w:rsidR="002D2C68" w:rsidRPr="00AE132C" w:rsidRDefault="002D2C68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</w:t>
            </w:r>
            <w:r w:rsidR="0093649A" w:rsidRPr="00AE132C">
              <w:rPr>
                <w:sz w:val="16"/>
                <w:szCs w:val="20"/>
              </w:rPr>
              <w:t>15</w:t>
            </w:r>
          </w:p>
        </w:tc>
        <w:tc>
          <w:tcPr>
            <w:tcW w:w="219" w:type="pct"/>
          </w:tcPr>
          <w:p w14:paraId="4E880E5E" w14:textId="03DC4526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AE132C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75" w:type="pct"/>
          </w:tcPr>
          <w:p w14:paraId="549C05C3" w14:textId="49327748" w:rsidR="002D2C68" w:rsidRPr="00AE132C" w:rsidRDefault="0093649A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482" w:type="pct"/>
          </w:tcPr>
          <w:p w14:paraId="3288E3A9" w14:textId="77777777" w:rsidR="0093649A" w:rsidRPr="00AE132C" w:rsidRDefault="0093649A" w:rsidP="0093649A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0095ECF9" w14:textId="4892A2CF" w:rsidR="002D2C68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263" w:type="pct"/>
            <w:shd w:val="clear" w:color="auto" w:fill="auto"/>
          </w:tcPr>
          <w:p w14:paraId="12B0CBD9" w14:textId="79A7B288" w:rsidR="002D2C68" w:rsidRPr="00AE132C" w:rsidRDefault="00AE132C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 xml:space="preserve">в </w:t>
            </w:r>
            <w:r w:rsidR="00FC0F68" w:rsidRPr="00AE132C">
              <w:rPr>
                <w:sz w:val="16"/>
                <w:szCs w:val="20"/>
              </w:rPr>
              <w:t>плановой форме</w:t>
            </w:r>
          </w:p>
        </w:tc>
        <w:tc>
          <w:tcPr>
            <w:tcW w:w="130" w:type="pct"/>
            <w:shd w:val="clear" w:color="auto" w:fill="auto"/>
          </w:tcPr>
          <w:p w14:paraId="238910F0" w14:textId="2544BE54" w:rsidR="002D2C68" w:rsidRPr="00AE132C" w:rsidRDefault="00FC0F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</w:p>
        </w:tc>
        <w:tc>
          <w:tcPr>
            <w:tcW w:w="175" w:type="pct"/>
            <w:shd w:val="clear" w:color="auto" w:fill="auto"/>
          </w:tcPr>
          <w:p w14:paraId="36ECC52F" w14:textId="77777777" w:rsidR="002D2C68" w:rsidRPr="00AE132C" w:rsidRDefault="00FC0F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rFonts w:cs="Times New Roman"/>
                <w:sz w:val="16"/>
                <w:szCs w:val="20"/>
              </w:rPr>
              <w:t>бесплатно</w:t>
            </w:r>
          </w:p>
          <w:p w14:paraId="5C5B82A4" w14:textId="57BE3464" w:rsidR="00FC0F68" w:rsidRPr="00AE132C" w:rsidRDefault="00FC0F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788" w:type="pct"/>
          </w:tcPr>
          <w:p w14:paraId="62722008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</w:t>
            </w:r>
            <w:bookmarkStart w:id="0" w:name="_GoBack"/>
            <w:bookmarkEnd w:id="0"/>
            <w:r w:rsidRPr="00AE132C">
              <w:rPr>
                <w:sz w:val="16"/>
                <w:szCs w:val="20"/>
              </w:rPr>
              <w:t>й по совершенствованию диагностики и лечения туберкулеза органов дыхания” Раздел II, пункт 1, подпункт 1.2. Раздел VII, пункт 4, подпункт 4.1</w:t>
            </w:r>
          </w:p>
          <w:p w14:paraId="4F43BC8E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"Обследование больных туберкулезом в период проведения химиотерапии", пункт 2. абзац 2, абзац 3.</w:t>
            </w:r>
          </w:p>
          <w:p w14:paraId="74A571C5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0A0A78C6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2033 г. № 109 "О совершенствовании противотуберкулезных мероприятий в Российской Федерации", Приложение 11, Раздел III.</w:t>
            </w:r>
          </w:p>
          <w:p w14:paraId="4EC7EE1D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6706B27D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2. пункт 2.3</w:t>
            </w:r>
          </w:p>
          <w:p w14:paraId="4D2A3E73" w14:textId="06FA4B17" w:rsidR="002D2C68" w:rsidRPr="00AE132C" w:rsidRDefault="0093649A" w:rsidP="0093649A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 xml:space="preserve"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</w:t>
            </w:r>
            <w:r w:rsidRPr="00AE132C">
              <w:rPr>
                <w:sz w:val="16"/>
                <w:szCs w:val="20"/>
              </w:rPr>
              <w:lastRenderedPageBreak/>
              <w:t>исследований с целью диагностики и мониторинга лечения больных туберкулезом в Новосибирской области", пункт 1</w:t>
            </w:r>
          </w:p>
        </w:tc>
        <w:tc>
          <w:tcPr>
            <w:tcW w:w="394" w:type="pct"/>
          </w:tcPr>
          <w:p w14:paraId="68AAA73A" w14:textId="5D0A52EF" w:rsidR="002D2C68" w:rsidRPr="00AE132C" w:rsidRDefault="00AE132C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м</w:t>
            </w:r>
            <w:r w:rsidR="00FC0F68" w:rsidRPr="00AE132C">
              <w:rPr>
                <w:sz w:val="16"/>
                <w:szCs w:val="20"/>
              </w:rPr>
              <w:t>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350" w:type="pct"/>
            <w:shd w:val="clear" w:color="auto" w:fill="auto"/>
          </w:tcPr>
          <w:p w14:paraId="75DE5A06" w14:textId="78A30335" w:rsidR="002D2C68" w:rsidRPr="00AE132C" w:rsidRDefault="00AE132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к</w:t>
            </w:r>
            <w:r w:rsidRPr="00AE132C">
              <w:rPr>
                <w:sz w:val="16"/>
                <w:szCs w:val="20"/>
              </w:rPr>
              <w:t>оличество исследований</w:t>
            </w:r>
            <w:r w:rsidR="002D2C68" w:rsidRPr="00AE132C">
              <w:rPr>
                <w:sz w:val="16"/>
                <w:szCs w:val="20"/>
              </w:rPr>
              <w:t xml:space="preserve"> (условная единица)</w:t>
            </w:r>
          </w:p>
        </w:tc>
        <w:tc>
          <w:tcPr>
            <w:tcW w:w="393" w:type="pct"/>
            <w:shd w:val="clear" w:color="auto" w:fill="auto"/>
          </w:tcPr>
          <w:p w14:paraId="7993DDD8" w14:textId="77777777" w:rsidR="002D2C68" w:rsidRPr="00AE132C" w:rsidRDefault="00AE132C" w:rsidP="00AE132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6E307EFB" w14:textId="35277CF4" w:rsidR="00AE132C" w:rsidRPr="00AE132C" w:rsidRDefault="00AE132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14:paraId="5584451D" w14:textId="5EC08D40" w:rsidR="002D2C68" w:rsidRPr="00AE132C" w:rsidRDefault="00FC0F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</w:t>
            </w:r>
            <w:r w:rsidR="002D2C68" w:rsidRPr="00AE132C">
              <w:rPr>
                <w:sz w:val="16"/>
                <w:szCs w:val="20"/>
              </w:rPr>
              <w:t>ской области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4E5C52F5" w14:textId="0B1F5F62" w:rsidR="002D2C68" w:rsidRPr="00AE132C" w:rsidRDefault="00EB1164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01.07.2023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2D2C68" w:rsidRPr="00AE132C" w:rsidRDefault="002D2C68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C93046" w14:textId="77777777" w:rsidR="002D2C68" w:rsidRPr="004D19A3" w:rsidRDefault="002D2C68" w:rsidP="002D2C68">
            <w:pPr>
              <w:ind w:firstLine="0"/>
            </w:pPr>
            <w:r w:rsidRPr="00AE132C">
              <w:t>».</w:t>
            </w:r>
          </w:p>
        </w:tc>
      </w:tr>
    </w:tbl>
    <w:p w14:paraId="41EBC164" w14:textId="20C28A51" w:rsidR="003D3DD0" w:rsidRDefault="003D3DD0" w:rsidP="002A5064">
      <w:pPr>
        <w:ind w:firstLine="0"/>
      </w:pPr>
    </w:p>
    <w:tbl>
      <w:tblPr>
        <w:tblStyle w:val="a3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609"/>
        <w:gridCol w:w="849"/>
        <w:gridCol w:w="849"/>
        <w:gridCol w:w="710"/>
        <w:gridCol w:w="567"/>
        <w:gridCol w:w="1559"/>
        <w:gridCol w:w="853"/>
        <w:gridCol w:w="425"/>
        <w:gridCol w:w="567"/>
        <w:gridCol w:w="2551"/>
        <w:gridCol w:w="1277"/>
        <w:gridCol w:w="1135"/>
        <w:gridCol w:w="1135"/>
        <w:gridCol w:w="995"/>
        <w:gridCol w:w="564"/>
        <w:gridCol w:w="862"/>
      </w:tblGrid>
      <w:tr w:rsidR="00AE132C" w:rsidRPr="005728E5" w14:paraId="513DAC34" w14:textId="77777777" w:rsidTr="00AE132C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15413" w14:textId="77777777" w:rsidR="00C15619" w:rsidRPr="00AE132C" w:rsidRDefault="00C15619" w:rsidP="00FE1E60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14:paraId="53C330BF" w14:textId="1865F34F" w:rsidR="00C15619" w:rsidRPr="00AE132C" w:rsidRDefault="00C15619" w:rsidP="00C15619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25.1.869018.1.0001</w:t>
            </w:r>
            <w:r w:rsidRPr="00AE132C">
              <w:rPr>
                <w:sz w:val="16"/>
                <w:szCs w:val="20"/>
              </w:rPr>
              <w:t>8</w:t>
            </w:r>
          </w:p>
        </w:tc>
        <w:tc>
          <w:tcPr>
            <w:tcW w:w="262" w:type="pct"/>
          </w:tcPr>
          <w:p w14:paraId="0231F30C" w14:textId="7EBB4D79" w:rsidR="00C15619" w:rsidRPr="00AE132C" w:rsidRDefault="0093649A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Микробиологическое (</w:t>
            </w:r>
            <w:proofErr w:type="spellStart"/>
            <w:r w:rsidRPr="00AE132C">
              <w:rPr>
                <w:sz w:val="16"/>
                <w:szCs w:val="20"/>
              </w:rPr>
              <w:t>культуральное</w:t>
            </w:r>
            <w:proofErr w:type="spellEnd"/>
            <w:r w:rsidRPr="00AE132C">
              <w:rPr>
                <w:sz w:val="16"/>
                <w:szCs w:val="20"/>
              </w:rPr>
              <w:t>) исследование различного диагностического материала на плотных питательных средах на микобактерии туберкулеза (</w:t>
            </w:r>
            <w:proofErr w:type="spellStart"/>
            <w:r w:rsidRPr="00AE132C">
              <w:rPr>
                <w:sz w:val="16"/>
                <w:szCs w:val="20"/>
              </w:rPr>
              <w:t>Mycobacterium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tuberculosis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complex</w:t>
            </w:r>
            <w:proofErr w:type="spellEnd"/>
            <w:r w:rsidRPr="00AE132C">
              <w:rPr>
                <w:sz w:val="16"/>
                <w:szCs w:val="20"/>
              </w:rPr>
              <w:t>)</w:t>
            </w:r>
          </w:p>
        </w:tc>
        <w:tc>
          <w:tcPr>
            <w:tcW w:w="262" w:type="pct"/>
          </w:tcPr>
          <w:p w14:paraId="5145B6CD" w14:textId="50EC920F" w:rsidR="00C15619" w:rsidRPr="00AE132C" w:rsidRDefault="00C15619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</w:t>
            </w:r>
            <w:r w:rsidR="0093649A" w:rsidRPr="00AE132C"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</w:tcPr>
          <w:p w14:paraId="7A82AD17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AE132C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75" w:type="pct"/>
          </w:tcPr>
          <w:p w14:paraId="02373B4D" w14:textId="328677E4" w:rsidR="00C15619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481" w:type="pct"/>
          </w:tcPr>
          <w:p w14:paraId="3AEB1954" w14:textId="77777777" w:rsidR="0093649A" w:rsidRPr="00AE132C" w:rsidRDefault="0093649A" w:rsidP="0093649A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1BEABAD6" w14:textId="68378F2B" w:rsidR="00C15619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263" w:type="pct"/>
          </w:tcPr>
          <w:p w14:paraId="170E70A0" w14:textId="2C6D1E10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131" w:type="pct"/>
          </w:tcPr>
          <w:p w14:paraId="20035C2E" w14:textId="40CE039A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</w:p>
        </w:tc>
        <w:tc>
          <w:tcPr>
            <w:tcW w:w="175" w:type="pct"/>
          </w:tcPr>
          <w:p w14:paraId="3BF41113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бесплатная</w:t>
            </w:r>
          </w:p>
        </w:tc>
        <w:tc>
          <w:tcPr>
            <w:tcW w:w="787" w:type="pct"/>
          </w:tcPr>
          <w:p w14:paraId="7F6B2C28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рекомендаций по совершенствованию диагностики и лечения туберкулеза органов дыхания”, Раздел II, пункт 2, подпункт 2.1</w:t>
            </w:r>
          </w:p>
          <w:p w14:paraId="4D89EE98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VII, пункт 4, подпункт 4.1, Раздел IX, Подраздел "Обследование больных туберкулезом в период проведения химиотерапии", пункт 2. абзац 2, абзац 3.</w:t>
            </w:r>
          </w:p>
          <w:p w14:paraId="3F9324FF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0AFF1412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2033 г. № 109 "О совершенствовании противотуберкулезных мероприятий в Российской Федерации", Приложение 11, Раздел IV.</w:t>
            </w:r>
          </w:p>
          <w:p w14:paraId="76B1AA50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18DFAC9C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2, пункт 2.3</w:t>
            </w:r>
          </w:p>
          <w:p w14:paraId="1D3FE0DE" w14:textId="57EDA5BA" w:rsidR="00C15619" w:rsidRPr="00AE132C" w:rsidRDefault="0093649A" w:rsidP="0093649A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исследований с целью диагностики и мониторинга лечения больных туберкулезом в Новосибирской области", пункт 1</w:t>
            </w:r>
          </w:p>
        </w:tc>
        <w:tc>
          <w:tcPr>
            <w:tcW w:w="394" w:type="pct"/>
          </w:tcPr>
          <w:p w14:paraId="36A26BC2" w14:textId="49BC893A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350" w:type="pct"/>
          </w:tcPr>
          <w:p w14:paraId="100CB36B" w14:textId="1106B349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количество исследований (условная единица</w:t>
            </w:r>
          </w:p>
        </w:tc>
        <w:tc>
          <w:tcPr>
            <w:tcW w:w="350" w:type="pct"/>
          </w:tcPr>
          <w:p w14:paraId="3A595DA8" w14:textId="77777777" w:rsidR="00AE132C" w:rsidRPr="00AE132C" w:rsidRDefault="00AE132C" w:rsidP="00AE132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524BBD5A" w14:textId="116AB832" w:rsidR="00C15619" w:rsidRPr="00AE132C" w:rsidRDefault="00AE132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</w:tcPr>
          <w:p w14:paraId="3EAC095A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 xml:space="preserve">министерство </w:t>
            </w:r>
            <w:proofErr w:type="spellStart"/>
            <w:r w:rsidRPr="00AE132C">
              <w:rPr>
                <w:sz w:val="16"/>
                <w:szCs w:val="20"/>
              </w:rPr>
              <w:t>здравоохра</w:t>
            </w:r>
            <w:proofErr w:type="spellEnd"/>
            <w:r w:rsidRPr="00AE132C">
              <w:rPr>
                <w:sz w:val="16"/>
                <w:szCs w:val="20"/>
              </w:rPr>
              <w:t xml:space="preserve">-нения </w:t>
            </w:r>
            <w:proofErr w:type="spellStart"/>
            <w:r w:rsidRPr="00AE132C">
              <w:rPr>
                <w:sz w:val="16"/>
                <w:szCs w:val="20"/>
              </w:rPr>
              <w:t>Новосибир-ской</w:t>
            </w:r>
            <w:proofErr w:type="spellEnd"/>
            <w:r w:rsidRPr="00AE132C">
              <w:rPr>
                <w:sz w:val="16"/>
                <w:szCs w:val="20"/>
              </w:rPr>
              <w:t xml:space="preserve"> области</w:t>
            </w:r>
          </w:p>
        </w:tc>
        <w:tc>
          <w:tcPr>
            <w:tcW w:w="174" w:type="pct"/>
            <w:tcBorders>
              <w:right w:val="single" w:sz="4" w:space="0" w:color="auto"/>
            </w:tcBorders>
          </w:tcPr>
          <w:p w14:paraId="68EF8B7F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01.07.2023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7841E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9244BD7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07E41E2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B25F95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409A0EE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06FC771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312FE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73C650D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2FD8834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35EFC9F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E0E2F6A" w14:textId="77777777" w:rsidR="00C15619" w:rsidRPr="004D19A3" w:rsidRDefault="00C15619" w:rsidP="00FE1E60">
            <w:pPr>
              <w:ind w:firstLine="0"/>
            </w:pPr>
            <w:r w:rsidRPr="00AE132C">
              <w:t>».</w:t>
            </w:r>
          </w:p>
        </w:tc>
      </w:tr>
    </w:tbl>
    <w:p w14:paraId="62410351" w14:textId="6C70E2C7" w:rsidR="002D2C68" w:rsidRDefault="002D2C68" w:rsidP="002A5064">
      <w:pPr>
        <w:ind w:firstLine="0"/>
      </w:pPr>
    </w:p>
    <w:p w14:paraId="72CA22D2" w14:textId="0CB0D77B" w:rsidR="002535A4" w:rsidRDefault="002535A4" w:rsidP="002A5064">
      <w:pPr>
        <w:ind w:firstLine="0"/>
      </w:pPr>
    </w:p>
    <w:p w14:paraId="4C8D0D0A" w14:textId="77777777" w:rsidR="002535A4" w:rsidRDefault="002535A4" w:rsidP="002A5064">
      <w:pPr>
        <w:ind w:firstLine="0"/>
      </w:pPr>
    </w:p>
    <w:tbl>
      <w:tblPr>
        <w:tblStyle w:val="a3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610"/>
        <w:gridCol w:w="854"/>
        <w:gridCol w:w="849"/>
        <w:gridCol w:w="710"/>
        <w:gridCol w:w="567"/>
        <w:gridCol w:w="1417"/>
        <w:gridCol w:w="992"/>
        <w:gridCol w:w="425"/>
        <w:gridCol w:w="567"/>
        <w:gridCol w:w="2551"/>
        <w:gridCol w:w="1277"/>
        <w:gridCol w:w="1131"/>
        <w:gridCol w:w="1135"/>
        <w:gridCol w:w="992"/>
        <w:gridCol w:w="571"/>
        <w:gridCol w:w="859"/>
      </w:tblGrid>
      <w:tr w:rsidR="00AE132C" w:rsidRPr="005728E5" w14:paraId="42A8F5E6" w14:textId="77777777" w:rsidTr="00AE132C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437A8" w14:textId="77777777" w:rsidR="00C15619" w:rsidRPr="00AE132C" w:rsidRDefault="00C15619" w:rsidP="00FE1E60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88" w:type="pct"/>
            <w:tcBorders>
              <w:left w:val="single" w:sz="4" w:space="0" w:color="auto"/>
            </w:tcBorders>
          </w:tcPr>
          <w:p w14:paraId="3E24BF32" w14:textId="77777777" w:rsidR="00C15619" w:rsidRPr="00AE132C" w:rsidRDefault="00C15619" w:rsidP="00C15619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25.1.869018.1.0001</w:t>
            </w:r>
            <w:r w:rsidRPr="00AE132C">
              <w:rPr>
                <w:sz w:val="16"/>
                <w:szCs w:val="20"/>
              </w:rPr>
              <w:t>9</w:t>
            </w:r>
          </w:p>
          <w:p w14:paraId="2AD81009" w14:textId="3AADF1DF" w:rsidR="00C15619" w:rsidRPr="00AE132C" w:rsidRDefault="00C15619" w:rsidP="00C15619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63" w:type="pct"/>
          </w:tcPr>
          <w:p w14:paraId="3DEBE13E" w14:textId="431EADF6" w:rsidR="00C15619" w:rsidRPr="00AE132C" w:rsidRDefault="0093649A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262" w:type="pct"/>
          </w:tcPr>
          <w:p w14:paraId="1D2CD54D" w14:textId="4D7C37ED" w:rsidR="00C15619" w:rsidRPr="00AE132C" w:rsidRDefault="00C15619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</w:t>
            </w:r>
            <w:r w:rsidR="0093649A" w:rsidRPr="00AE132C">
              <w:rPr>
                <w:sz w:val="16"/>
                <w:szCs w:val="20"/>
              </w:rPr>
              <w:t>5</w:t>
            </w:r>
          </w:p>
        </w:tc>
        <w:tc>
          <w:tcPr>
            <w:tcW w:w="219" w:type="pct"/>
          </w:tcPr>
          <w:p w14:paraId="5BFFB347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AE132C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75" w:type="pct"/>
          </w:tcPr>
          <w:p w14:paraId="7B8D8F7E" w14:textId="58B3E02D" w:rsidR="00C15619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437" w:type="pct"/>
          </w:tcPr>
          <w:p w14:paraId="5ACDA000" w14:textId="77777777" w:rsidR="0093649A" w:rsidRPr="00AE132C" w:rsidRDefault="0093649A" w:rsidP="0093649A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00C6D9C6" w14:textId="1D7FF8F1" w:rsidR="00C15619" w:rsidRPr="00AE132C" w:rsidRDefault="0093649A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306" w:type="pct"/>
          </w:tcPr>
          <w:p w14:paraId="679D444A" w14:textId="011C600C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131" w:type="pct"/>
          </w:tcPr>
          <w:p w14:paraId="1751B00A" w14:textId="03632470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</w:p>
        </w:tc>
        <w:tc>
          <w:tcPr>
            <w:tcW w:w="175" w:type="pct"/>
          </w:tcPr>
          <w:p w14:paraId="33DB36D1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бесплатная</w:t>
            </w:r>
          </w:p>
        </w:tc>
        <w:tc>
          <w:tcPr>
            <w:tcW w:w="787" w:type="pct"/>
          </w:tcPr>
          <w:p w14:paraId="0F0F4FA2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рекомендаций по совершенствованию диагностики и лечения туберкулеза органов дыхания”, Раздел II, пункт 3, абзац 2. Раздел VII, пункт 4, подпункт 4.1, Раздел IX, Подраздел "Обследование больных туберкулезом в период проведения химиотерапии", пункт 2. абзац 2, абзац 3.</w:t>
            </w:r>
          </w:p>
          <w:p w14:paraId="596EBA83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07F62A6E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2033 г. № 109 "О совершенствовании противотуберкулезных мероприятий в Российской Федерации", Приложение 11, Раздел VI, пункт 6.3.</w:t>
            </w:r>
          </w:p>
          <w:p w14:paraId="09C67496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1D7361EE" w14:textId="77777777" w:rsidR="0093649A" w:rsidRPr="00AE132C" w:rsidRDefault="0093649A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2, пункт 2.3</w:t>
            </w:r>
          </w:p>
          <w:p w14:paraId="7BD2B8D4" w14:textId="6E80AD37" w:rsidR="00C15619" w:rsidRPr="00AE132C" w:rsidRDefault="0093649A" w:rsidP="0093649A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исследований с целью диагностики и мониторинга лечения больных туберкулезом в Новосибирской области", пункт 1</w:t>
            </w:r>
          </w:p>
        </w:tc>
        <w:tc>
          <w:tcPr>
            <w:tcW w:w="394" w:type="pct"/>
          </w:tcPr>
          <w:p w14:paraId="5E09931A" w14:textId="72D0A21F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349" w:type="pct"/>
          </w:tcPr>
          <w:p w14:paraId="305D307A" w14:textId="559DC531" w:rsidR="00C15619" w:rsidRPr="00AE132C" w:rsidRDefault="00AE132C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количество исследований (условная единица</w:t>
            </w:r>
          </w:p>
        </w:tc>
        <w:tc>
          <w:tcPr>
            <w:tcW w:w="350" w:type="pct"/>
          </w:tcPr>
          <w:p w14:paraId="319FB084" w14:textId="77777777" w:rsidR="00AE132C" w:rsidRPr="00AE132C" w:rsidRDefault="00AE132C" w:rsidP="00AE132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02197E9B" w14:textId="7700E427" w:rsidR="00C15619" w:rsidRPr="00AE132C" w:rsidRDefault="00AE132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14:paraId="271AC253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 xml:space="preserve">министерство </w:t>
            </w:r>
            <w:proofErr w:type="spellStart"/>
            <w:r w:rsidRPr="00AE132C">
              <w:rPr>
                <w:sz w:val="16"/>
                <w:szCs w:val="20"/>
              </w:rPr>
              <w:t>здравоохра</w:t>
            </w:r>
            <w:proofErr w:type="spellEnd"/>
            <w:r w:rsidRPr="00AE132C">
              <w:rPr>
                <w:sz w:val="16"/>
                <w:szCs w:val="20"/>
              </w:rPr>
              <w:t xml:space="preserve">-нения </w:t>
            </w:r>
            <w:proofErr w:type="spellStart"/>
            <w:r w:rsidRPr="00AE132C">
              <w:rPr>
                <w:sz w:val="16"/>
                <w:szCs w:val="20"/>
              </w:rPr>
              <w:t>Новосибир-ской</w:t>
            </w:r>
            <w:proofErr w:type="spellEnd"/>
            <w:r w:rsidRPr="00AE132C">
              <w:rPr>
                <w:sz w:val="16"/>
                <w:szCs w:val="20"/>
              </w:rPr>
              <w:t xml:space="preserve"> области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489D9E9B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01.07.2023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A707B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41A062A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56B26D0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ABCE430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B8ACB1E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69F3B42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5B1021A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2AAA951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82E444C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1FED01A" w14:textId="77777777" w:rsidR="00C15619" w:rsidRPr="00AE132C" w:rsidRDefault="00C15619" w:rsidP="00FE1E60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7827400" w14:textId="77777777" w:rsidR="00C15619" w:rsidRPr="004D19A3" w:rsidRDefault="00C15619" w:rsidP="00FE1E60">
            <w:pPr>
              <w:ind w:firstLine="0"/>
            </w:pPr>
            <w:r w:rsidRPr="00AE132C">
              <w:t>».</w:t>
            </w:r>
          </w:p>
        </w:tc>
      </w:tr>
    </w:tbl>
    <w:p w14:paraId="0C66EFA6" w14:textId="66EE407C" w:rsidR="003D3DD0" w:rsidRDefault="003D3DD0" w:rsidP="003D3DD0">
      <w:pPr>
        <w:ind w:firstLine="0"/>
        <w:jc w:val="center"/>
      </w:pPr>
    </w:p>
    <w:sectPr w:rsidR="003D3DD0" w:rsidSect="00BA5C39">
      <w:headerReference w:type="first" r:id="rId8"/>
      <w:pgSz w:w="16838" w:h="11906" w:orient="landscape"/>
      <w:pgMar w:top="568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CC88" w14:textId="77777777" w:rsidR="00D316AB" w:rsidRDefault="00D316AB" w:rsidP="00853B43">
      <w:r>
        <w:separator/>
      </w:r>
    </w:p>
  </w:endnote>
  <w:endnote w:type="continuationSeparator" w:id="0">
    <w:p w14:paraId="73FBA364" w14:textId="77777777" w:rsidR="00D316AB" w:rsidRDefault="00D316AB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ADF9" w14:textId="77777777" w:rsidR="00D316AB" w:rsidRDefault="00D316AB" w:rsidP="00853B43">
      <w:r>
        <w:separator/>
      </w:r>
    </w:p>
  </w:footnote>
  <w:footnote w:type="continuationSeparator" w:id="0">
    <w:p w14:paraId="34C63797" w14:textId="77777777" w:rsidR="00D316AB" w:rsidRDefault="00D316AB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5E88" w14:textId="77777777" w:rsidR="00E96329" w:rsidRPr="00E96329" w:rsidRDefault="00E96329">
    <w:pPr>
      <w:pStyle w:val="a7"/>
      <w:jc w:val="center"/>
      <w:rPr>
        <w:sz w:val="20"/>
        <w:szCs w:val="20"/>
      </w:rPr>
    </w:pPr>
  </w:p>
  <w:p w14:paraId="1E6A588E" w14:textId="77777777" w:rsidR="00AC6AEA" w:rsidRDefault="00AC6A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F0B41"/>
    <w:rsid w:val="001F7C74"/>
    <w:rsid w:val="0020210F"/>
    <w:rsid w:val="0020473F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35A4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45097"/>
    <w:rsid w:val="00445980"/>
    <w:rsid w:val="004471F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B0286"/>
    <w:rsid w:val="004B2579"/>
    <w:rsid w:val="004B7E67"/>
    <w:rsid w:val="004D19A3"/>
    <w:rsid w:val="004D2D19"/>
    <w:rsid w:val="004D57B8"/>
    <w:rsid w:val="004D7546"/>
    <w:rsid w:val="004E3F0B"/>
    <w:rsid w:val="004E563D"/>
    <w:rsid w:val="004E77E7"/>
    <w:rsid w:val="004F2B5F"/>
    <w:rsid w:val="004F3438"/>
    <w:rsid w:val="004F547F"/>
    <w:rsid w:val="004F7CA7"/>
    <w:rsid w:val="004F7D1D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B6D52"/>
    <w:rsid w:val="005C2055"/>
    <w:rsid w:val="005C4037"/>
    <w:rsid w:val="005D351F"/>
    <w:rsid w:val="005D69A2"/>
    <w:rsid w:val="005E011A"/>
    <w:rsid w:val="005E3969"/>
    <w:rsid w:val="005E4B5B"/>
    <w:rsid w:val="005E5DB7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49A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32C"/>
    <w:rsid w:val="00AE15F2"/>
    <w:rsid w:val="00AE3192"/>
    <w:rsid w:val="00AE5903"/>
    <w:rsid w:val="00AF1043"/>
    <w:rsid w:val="00AF20B9"/>
    <w:rsid w:val="00AF4E5B"/>
    <w:rsid w:val="00B01058"/>
    <w:rsid w:val="00B022A7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71378"/>
    <w:rsid w:val="00B7589E"/>
    <w:rsid w:val="00B761E8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5619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2A88"/>
    <w:rsid w:val="00C61DA4"/>
    <w:rsid w:val="00C63886"/>
    <w:rsid w:val="00C64313"/>
    <w:rsid w:val="00C6440E"/>
    <w:rsid w:val="00C654D5"/>
    <w:rsid w:val="00C676C0"/>
    <w:rsid w:val="00C67BB2"/>
    <w:rsid w:val="00C727BD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16AB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420E"/>
    <w:rsid w:val="00F4462D"/>
    <w:rsid w:val="00F47859"/>
    <w:rsid w:val="00F56991"/>
    <w:rsid w:val="00F6354B"/>
    <w:rsid w:val="00F63D34"/>
    <w:rsid w:val="00F64717"/>
    <w:rsid w:val="00F67718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0F68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5AF0-DCA1-46E6-8195-4E6B9F59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Ищенко Вячеслав Андреевич</cp:lastModifiedBy>
  <cp:revision>8</cp:revision>
  <cp:lastPrinted>2023-06-14T10:00:00Z</cp:lastPrinted>
  <dcterms:created xsi:type="dcterms:W3CDTF">2023-06-08T05:44:00Z</dcterms:created>
  <dcterms:modified xsi:type="dcterms:W3CDTF">2023-06-14T10:21:00Z</dcterms:modified>
</cp:coreProperties>
</file>